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Bold Italic" w:hAnsi="Times New Roman Bold Italic" w:cs="Times New Roman Bold Italic"/>
          <w:b/>
          <w:bCs/>
          <w:i/>
          <w:iCs/>
          <w:sz w:val="24"/>
        </w:rPr>
      </w:pPr>
      <w:bookmarkStart w:id="0" w:name="_GoBack"/>
      <w:bookmarkEnd w:id="0"/>
      <w:r>
        <w:rPr>
          <w:rFonts w:ascii="Times New Roman Bold Italic" w:hAnsi="Times New Roman Bold Italic" w:cs="Times New Roman Bold Italic"/>
          <w:b/>
          <w:bCs/>
          <w:i/>
          <w:iCs/>
          <w:sz w:val="24"/>
        </w:rPr>
        <w:t>Journal of Epidemiology and Global Health</w:t>
      </w:r>
    </w:p>
    <w:p>
      <w:pPr>
        <w:jc w:val="left"/>
        <w:rPr>
          <w:rFonts w:ascii="Times New Roman Bold" w:hAnsi="Times New Roman Bold" w:cs="Times New Roman Bold"/>
          <w:b/>
          <w:bCs/>
          <w:sz w:val="24"/>
        </w:rPr>
      </w:pPr>
    </w:p>
    <w:p>
      <w:pPr>
        <w:jc w:val="left"/>
        <w:rPr>
          <w:rFonts w:ascii="Times New Roman Regular" w:hAnsi="Times New Roman Regular" w:cs="Times New Roman Regular"/>
          <w:sz w:val="24"/>
        </w:rPr>
      </w:pPr>
      <w:r>
        <w:rPr>
          <w:rFonts w:ascii="Times New Roman Bold" w:hAnsi="Times New Roman Bold" w:cs="Times New Roman Bold"/>
          <w:b/>
          <w:bCs/>
          <w:sz w:val="24"/>
        </w:rPr>
        <w:t>Supplementary Materials</w:t>
      </w:r>
    </w:p>
    <w:p>
      <w:pPr>
        <w:jc w:val="center"/>
        <w:rPr>
          <w:rFonts w:ascii="Times New Roman Bold" w:hAnsi="Times New Roman Bold" w:cs="Times New Roman Bold"/>
          <w:b/>
          <w:bCs/>
          <w:sz w:val="24"/>
        </w:rPr>
      </w:pPr>
    </w:p>
    <w:p>
      <w:pPr>
        <w:spacing w:line="480" w:lineRule="auto"/>
        <w:rPr>
          <w:rFonts w:ascii="Times New Roman Bold" w:hAnsi="Times New Roman Bold" w:cs="Times New Roman Bold"/>
          <w:b/>
          <w:bCs/>
          <w:sz w:val="24"/>
        </w:rPr>
      </w:pPr>
      <w:r>
        <w:rPr>
          <w:rFonts w:ascii="Times New Roman Bold" w:hAnsi="Times New Roman Bold" w:cs="Times New Roman Bold"/>
          <w:b/>
          <w:bCs/>
          <w:sz w:val="24"/>
        </w:rPr>
        <w:t>Gender Disparities in Blood Pressure and the Role of Body Mass Index: A Birth Cohort Analysis in China</w:t>
      </w:r>
    </w:p>
    <w:p>
      <w:pPr>
        <w:rPr>
          <w:rFonts w:ascii="Times New Roman Bold" w:hAnsi="Times New Roman Bold" w:cs="Times New Roman Bold"/>
          <w:b/>
          <w:bCs/>
          <w:sz w:val="24"/>
        </w:rPr>
      </w:pPr>
    </w:p>
    <w:p>
      <w:pPr>
        <w:pStyle w:val="4"/>
        <w:spacing w:before="200" w:beforeAutospacing="0" w:afterAutospacing="0" w:line="240" w:lineRule="auto"/>
        <w:jc w:val="center"/>
        <w:rPr>
          <w:rFonts w:ascii="Times New Roman Bold" w:hAnsi="Times New Roman Bold" w:cs="Times New Roman Bold"/>
          <w:b/>
          <w:bCs/>
          <w:vertAlign w:val="superscript"/>
        </w:rPr>
      </w:pPr>
      <w:r>
        <w:rPr>
          <w:rFonts w:ascii="Times New Roman Bold" w:hAnsi="Times New Roman Bold" w:cs="Times New Roman Bold"/>
          <w:b/>
          <w:bCs/>
        </w:rPr>
        <w:t>Jinjing Wu</w:t>
      </w:r>
      <w:r>
        <w:rPr>
          <w:rFonts w:ascii="Times New Roman Bold" w:hAnsi="Times New Roman Bold" w:cs="Times New Roman Bold"/>
          <w:b/>
          <w:bCs/>
          <w:vertAlign w:val="superscript"/>
        </w:rPr>
        <w:t>1</w:t>
      </w:r>
      <w:r>
        <w:rPr>
          <w:rFonts w:ascii="Times New Roman Bold" w:hAnsi="Times New Roman Bold" w:cs="Times New Roman Bold"/>
          <w:b/>
          <w:bCs/>
        </w:rPr>
        <w:t>, Boshen Jiao</w:t>
      </w:r>
      <w:r>
        <w:rPr>
          <w:rFonts w:ascii="Times New Roman Bold" w:hAnsi="Times New Roman Bold" w:cs="Times New Roman Bold"/>
          <w:b/>
          <w:bCs/>
          <w:vertAlign w:val="superscript"/>
        </w:rPr>
        <w:t>2</w:t>
      </w:r>
      <w:r>
        <w:rPr>
          <w:rFonts w:ascii="Times New Roman Bold" w:hAnsi="Times New Roman Bold" w:cs="Times New Roman Bold"/>
          <w:b/>
          <w:bCs/>
        </w:rPr>
        <w:t>, Jiaying Zhao</w:t>
      </w:r>
      <w:r>
        <w:rPr>
          <w:rFonts w:ascii="Times New Roman Bold" w:hAnsi="Times New Roman Bold" w:cs="Times New Roman Bold"/>
          <w:b/>
          <w:bCs/>
          <w:vertAlign w:val="superscript"/>
        </w:rPr>
        <w:t>3*</w:t>
      </w:r>
    </w:p>
    <w:p>
      <w:pPr>
        <w:pStyle w:val="4"/>
        <w:spacing w:before="200" w:beforeAutospacing="0" w:afterAutospacing="0" w:line="240" w:lineRule="auto"/>
        <w:jc w:val="center"/>
        <w:rPr>
          <w:rFonts w:ascii="Times New Roman Bold" w:hAnsi="Times New Roman Bold" w:cs="Times New Roman Bold"/>
          <w:b/>
          <w:bCs/>
          <w:vertAlign w:val="superscript"/>
        </w:rPr>
      </w:pPr>
    </w:p>
    <w:p>
      <w:pPr>
        <w:spacing w:before="200" w:after="0" w:line="480" w:lineRule="auto"/>
        <w:rPr>
          <w:rFonts w:ascii="Times New Roman Regular" w:hAnsi="Times New Roman Regular" w:cs="Times New Roman Regular"/>
          <w:color w:val="000000"/>
          <w:kern w:val="24"/>
          <w:sz w:val="24"/>
          <w:lang w:bidi="ar"/>
        </w:rPr>
      </w:pPr>
      <w:r>
        <w:rPr>
          <w:rFonts w:ascii="Times New Roman Regular" w:hAnsi="Times New Roman Regular" w:cs="Times New Roman Regular"/>
          <w:color w:val="000000"/>
          <w:kern w:val="24"/>
          <w:sz w:val="24"/>
          <w:vertAlign w:val="superscript"/>
          <w:lang w:bidi="ar"/>
        </w:rPr>
        <w:t xml:space="preserve">1 </w:t>
      </w:r>
      <w:r>
        <w:rPr>
          <w:rFonts w:ascii="Times New Roman Regular" w:hAnsi="Times New Roman Regular" w:cs="Times New Roman Regular"/>
          <w:color w:val="000000"/>
          <w:kern w:val="24"/>
          <w:sz w:val="24"/>
          <w:lang w:bidi="ar"/>
        </w:rPr>
        <w:t>Asian Demographic Research Institute, Shanghai University, 200444 Shanghai, China.</w:t>
      </w:r>
    </w:p>
    <w:p>
      <w:pPr>
        <w:spacing w:line="480" w:lineRule="auto"/>
        <w:rPr>
          <w:rFonts w:ascii="Times New Roman Regular" w:hAnsi="Times New Roman Regular" w:cs="Times New Roman Regular"/>
          <w:sz w:val="24"/>
        </w:rPr>
      </w:pPr>
      <w:r>
        <w:rPr>
          <w:rFonts w:ascii="Times New Roman Regular" w:hAnsi="Times New Roman Regular" w:cs="Times New Roman Regular"/>
          <w:color w:val="000000"/>
          <w:kern w:val="24"/>
          <w:sz w:val="24"/>
          <w:vertAlign w:val="superscript"/>
          <w:lang w:bidi="ar"/>
        </w:rPr>
        <w:t xml:space="preserve">2 </w:t>
      </w:r>
      <w:r>
        <w:rPr>
          <w:rFonts w:ascii="Times New Roman Regular" w:hAnsi="Times New Roman Regular" w:cs="Times New Roman Regular"/>
          <w:sz w:val="24"/>
        </w:rPr>
        <w:t>Harvard T.H. Chan School of Public Health, Harvard University, 02115 Boston, USA.</w:t>
      </w:r>
    </w:p>
    <w:p>
      <w:pPr>
        <w:spacing w:line="480" w:lineRule="auto"/>
        <w:rPr>
          <w:rFonts w:ascii="Times New Roman Regular" w:hAnsi="Times New Roman Regular" w:cs="Times New Roman Regular"/>
          <w:sz w:val="24"/>
        </w:rPr>
      </w:pPr>
      <w:r>
        <w:rPr>
          <w:rFonts w:ascii="Times New Roman Regular" w:hAnsi="Times New Roman Regular" w:cs="Times New Roman Regular"/>
          <w:sz w:val="24"/>
          <w:vertAlign w:val="superscript"/>
        </w:rPr>
        <w:t xml:space="preserve">3 </w:t>
      </w:r>
      <w:r>
        <w:rPr>
          <w:rFonts w:ascii="Times New Roman Regular" w:hAnsi="Times New Roman Regular" w:cs="Times New Roman Regular"/>
          <w:sz w:val="24"/>
        </w:rPr>
        <w:t>College of Arts and Social Sciences, Australian National University, 2601 Canberra, Australia.</w:t>
      </w:r>
    </w:p>
    <w:p>
      <w:pPr>
        <w:spacing w:before="200"/>
        <w:rPr>
          <w:rFonts w:ascii="Times New Roman Regular" w:hAnsi="Times New Roman Regular" w:cs="Times New Roman Regular"/>
          <w:sz w:val="24"/>
        </w:rPr>
      </w:pPr>
    </w:p>
    <w:p>
      <w:pPr>
        <w:spacing w:line="480" w:lineRule="auto"/>
        <w:rPr>
          <w:rFonts w:ascii="Times New Roman" w:hAnsi="Times New Roman" w:cs="Times New Roman"/>
          <w:sz w:val="24"/>
        </w:rPr>
      </w:pPr>
      <w:r>
        <w:rPr>
          <w:rFonts w:ascii="Times New Roman Bold" w:hAnsi="Times New Roman Bold" w:cs="Times New Roman Bold"/>
          <w:b/>
          <w:bCs/>
          <w:sz w:val="24"/>
        </w:rPr>
        <w:t xml:space="preserve">*Corresponding author </w:t>
      </w:r>
      <w:r>
        <w:rPr>
          <w:rFonts w:ascii="Times New Roman" w:hAnsi="Times New Roman" w:cs="Times New Roman"/>
          <w:sz w:val="24"/>
        </w:rPr>
        <w:t>Jiaying Zhao, Ph.D., RSSS Building, 146 Ellery Crescent, School of Demography, ANU College of Arts and Social Sciences, The Australian National University, Acton ACT 2601, Australia. Email: zjl789@gmail.com; Tel:</w:t>
      </w:r>
      <w:r>
        <w:rPr>
          <w:rFonts w:hint="eastAsia" w:ascii="Times New Roman" w:hAnsi="Times New Roman" w:cs="Times New Roman"/>
          <w:sz w:val="24"/>
        </w:rPr>
        <w:t xml:space="preserve"> </w:t>
      </w:r>
      <w:r>
        <w:rPr>
          <w:rFonts w:ascii="Times New Roman" w:hAnsi="Times New Roman" w:cs="Times New Roman"/>
          <w:sz w:val="24"/>
        </w:rPr>
        <w:t>61-423966870.</w:t>
      </w:r>
    </w:p>
    <w:p>
      <w:pPr>
        <w:spacing w:line="480" w:lineRule="auto"/>
        <w:rPr>
          <w:rFonts w:ascii="Times New Roman" w:hAnsi="Times New Roman" w:cs="Times New Roman"/>
          <w:sz w:val="24"/>
        </w:rPr>
      </w:pPr>
    </w:p>
    <w:p>
      <w:pPr>
        <w:rPr>
          <w:rFonts w:ascii="Times New Roman Regular" w:hAnsi="Times New Roman Regular" w:cs="Times New Roman Regular"/>
          <w:sz w:val="24"/>
        </w:rPr>
      </w:pPr>
      <w:r>
        <w:rPr>
          <w:rFonts w:ascii="Times New Roman Regular" w:hAnsi="Times New Roman Regular" w:cs="Times New Roman Regular"/>
          <w:sz w:val="24"/>
        </w:rPr>
        <w:drawing>
          <wp:inline distT="0" distB="0" distL="114300" distR="114300">
            <wp:extent cx="5967095" cy="4478020"/>
            <wp:effectExtent l="0" t="0" r="1905" b="17780"/>
            <wp:docPr id="3" name="Picture 4" descr="1601-Survey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1601-Survey regions"/>
                    <pic:cNvPicPr>
                      <a:picLocks noChangeAspect="1"/>
                    </pic:cNvPicPr>
                  </pic:nvPicPr>
                  <pic:blipFill>
                    <a:blip r:embed="rId6"/>
                    <a:stretch>
                      <a:fillRect/>
                    </a:stretch>
                  </pic:blipFill>
                  <pic:spPr>
                    <a:xfrm>
                      <a:off x="0" y="0"/>
                      <a:ext cx="5967095" cy="4478020"/>
                    </a:xfrm>
                    <a:prstGeom prst="rect">
                      <a:avLst/>
                    </a:prstGeom>
                  </pic:spPr>
                </pic:pic>
              </a:graphicData>
            </a:graphic>
          </wp:inline>
        </w:drawing>
      </w:r>
    </w:p>
    <w:p>
      <w:pPr>
        <w:rPr>
          <w:rFonts w:ascii="Times New Roman Regular" w:hAnsi="Times New Roman Regular" w:cs="Times New Roman Regular"/>
          <w:sz w:val="24"/>
        </w:rPr>
      </w:pPr>
      <w:r>
        <w:rPr>
          <w:rFonts w:ascii="Times New Roman Bold" w:hAnsi="Times New Roman Bold" w:cs="Times New Roman Bold"/>
          <w:b/>
          <w:bCs/>
          <w:sz w:val="24"/>
        </w:rPr>
        <w:t>Figure S</w:t>
      </w:r>
      <w:r>
        <w:rPr>
          <w:rFonts w:hint="eastAsia" w:ascii="Times New Roman Bold" w:hAnsi="Times New Roman Bold" w:cs="Times New Roman Bold"/>
          <w:b/>
          <w:bCs/>
          <w:sz w:val="24"/>
        </w:rPr>
        <w:t>1</w:t>
      </w:r>
      <w:r>
        <w:rPr>
          <w:rFonts w:ascii="Times New Roman Regular" w:hAnsi="Times New Roman Regular" w:cs="Times New Roman Regular"/>
          <w:sz w:val="24"/>
        </w:rPr>
        <w:t xml:space="preserve"> The survey regions of the China Health and Nutrition Survey (1991-2015)</w:t>
      </w:r>
    </w:p>
    <w:p>
      <w:pPr>
        <w:spacing w:line="480" w:lineRule="auto"/>
        <w:rPr>
          <w:rFonts w:ascii="Times New Roman Regular" w:hAnsi="Times New Roman Regular" w:cs="Times New Roman Regular"/>
          <w:sz w:val="24"/>
        </w:rPr>
      </w:pPr>
    </w:p>
    <w:p>
      <w:pPr>
        <w:rPr>
          <w:rFonts w:ascii="Times New Roman Regular" w:hAnsi="Times New Roman Regular" w:cs="Times New Roman Regular"/>
          <w:sz w:val="24"/>
        </w:rPr>
      </w:pPr>
      <w:r>
        <w:rPr>
          <w:rFonts w:ascii="Times New Roman Regular" w:hAnsi="Times New Roman Regular" w:cs="Times New Roman Regular"/>
          <w:sz w:val="24"/>
        </w:rPr>
        <w:drawing>
          <wp:inline distT="0" distB="0" distL="114300" distR="114300">
            <wp:extent cx="5269865" cy="6149340"/>
            <wp:effectExtent l="0" t="0" r="13335" b="22860"/>
            <wp:docPr id="1" name="Picture 1" descr="1601-Sample selection process-manu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601-Sample selection process-manuscript"/>
                    <pic:cNvPicPr>
                      <a:picLocks noChangeAspect="1"/>
                    </pic:cNvPicPr>
                  </pic:nvPicPr>
                  <pic:blipFill>
                    <a:blip r:embed="rId7"/>
                    <a:stretch>
                      <a:fillRect/>
                    </a:stretch>
                  </pic:blipFill>
                  <pic:spPr>
                    <a:xfrm>
                      <a:off x="0" y="0"/>
                      <a:ext cx="5269865" cy="6149340"/>
                    </a:xfrm>
                    <a:prstGeom prst="rect">
                      <a:avLst/>
                    </a:prstGeom>
                  </pic:spPr>
                </pic:pic>
              </a:graphicData>
            </a:graphic>
          </wp:inline>
        </w:drawing>
      </w:r>
    </w:p>
    <w:p>
      <w:pPr>
        <w:rPr>
          <w:rFonts w:ascii="Times New Roman Regular" w:hAnsi="Times New Roman Regular" w:cs="Times New Roman Regular"/>
          <w:sz w:val="24"/>
        </w:rPr>
      </w:pPr>
      <w:r>
        <w:rPr>
          <w:rFonts w:ascii="Times New Roman Bold" w:hAnsi="Times New Roman Bold" w:cs="Times New Roman Bold"/>
          <w:b/>
          <w:bCs/>
          <w:sz w:val="24"/>
        </w:rPr>
        <w:t>Figure S</w:t>
      </w:r>
      <w:r>
        <w:rPr>
          <w:rFonts w:hint="eastAsia" w:ascii="Times New Roman Bold" w:hAnsi="Times New Roman Bold" w:cs="Times New Roman Bold"/>
          <w:b/>
          <w:bCs/>
          <w:sz w:val="24"/>
        </w:rPr>
        <w:t>2</w:t>
      </w:r>
      <w:r>
        <w:rPr>
          <w:rFonts w:ascii="Times New Roman Regular" w:hAnsi="Times New Roman Regular" w:cs="Times New Roman Regular"/>
          <w:sz w:val="24"/>
        </w:rPr>
        <w:t xml:space="preserve"> Sample selection process, China Health and Nutrition Survey (1991-2015)</w:t>
      </w:r>
    </w:p>
    <w:p>
      <w:pPr>
        <w:rPr>
          <w:rFonts w:ascii="Times New Roman Regular" w:hAnsi="Times New Roman Regular" w:cs="Times New Roman Regular"/>
          <w:sz w:val="24"/>
        </w:rPr>
        <w:sectPr>
          <w:footerReference r:id="rId3" w:type="default"/>
          <w:pgSz w:w="11906" w:h="16838"/>
          <w:pgMar w:top="1440" w:right="1800" w:bottom="1440" w:left="1800" w:header="851" w:footer="992" w:gutter="0"/>
          <w:cols w:space="425" w:num="1"/>
          <w:docGrid w:type="lines" w:linePitch="312" w:charSpace="0"/>
        </w:sectPr>
      </w:pPr>
    </w:p>
    <w:p>
      <w:pPr>
        <w:spacing w:line="480" w:lineRule="auto"/>
        <w:rPr>
          <w:rFonts w:ascii="Times New Roman" w:hAnsi="Times New Roman" w:cs="Times New Roman"/>
          <w:i/>
          <w:iCs/>
          <w:sz w:val="24"/>
          <w:lang w:eastAsia="zh-Hans"/>
        </w:rPr>
      </w:pPr>
      <w:r>
        <w:rPr>
          <w:rFonts w:ascii="Times New Roman Bold" w:hAnsi="Times New Roman Bold" w:cs="Times New Roman Bold"/>
          <w:b/>
          <w:bCs/>
          <w:sz w:val="24"/>
        </w:rPr>
        <w:t xml:space="preserve">Table S1 </w:t>
      </w:r>
      <w:r>
        <w:rPr>
          <w:rFonts w:ascii="Times New Roman" w:hAnsi="Times New Roman" w:cs="Times New Roman"/>
          <w:bCs/>
          <w:sz w:val="24"/>
        </w:rPr>
        <w:t>The measurements and classification</w:t>
      </w:r>
      <w:r>
        <w:rPr>
          <w:rFonts w:hint="eastAsia" w:ascii="Times New Roman" w:hAnsi="Times New Roman" w:cs="Times New Roman"/>
          <w:bCs/>
          <w:sz w:val="24"/>
          <w:lang w:eastAsia="zh-Hans"/>
        </w:rPr>
        <w:t>s</w:t>
      </w:r>
      <w:r>
        <w:rPr>
          <w:rFonts w:ascii="Times New Roman" w:hAnsi="Times New Roman" w:cs="Times New Roman"/>
          <w:bCs/>
          <w:sz w:val="24"/>
        </w:rPr>
        <w:t xml:space="preserve"> </w:t>
      </w:r>
      <w:r>
        <w:rPr>
          <w:rFonts w:ascii="Times New Roman" w:hAnsi="Times New Roman" w:cs="Times New Roman"/>
          <w:sz w:val="24"/>
        </w:rPr>
        <w:t>of dependent, independent, and control variables, the China Health and Nutrition Survey (1991-2015)</w:t>
      </w:r>
    </w:p>
    <w:tbl>
      <w:tblPr>
        <w:tblStyle w:val="7"/>
        <w:tblW w:w="14311"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55"/>
        <w:gridCol w:w="4095"/>
        <w:gridCol w:w="3259"/>
        <w:gridCol w:w="280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76" w:hRule="atLeast"/>
        </w:trPr>
        <w:tc>
          <w:tcPr>
            <w:tcW w:w="4155" w:type="dxa"/>
            <w:tcBorders>
              <w:bottom w:val="single" w:color="auto" w:sz="4" w:space="0"/>
            </w:tcBorders>
            <w:vAlign w:val="center"/>
          </w:tcPr>
          <w:p>
            <w:pPr>
              <w:spacing w:line="240" w:lineRule="auto"/>
              <w:ind w:left="720"/>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Dependent variables</w:t>
            </w:r>
          </w:p>
        </w:tc>
        <w:tc>
          <w:tcPr>
            <w:tcW w:w="4095" w:type="dxa"/>
            <w:tcBorders>
              <w:bottom w:val="single" w:color="auto" w:sz="4" w:space="0"/>
            </w:tcBorders>
            <w:vAlign w:val="center"/>
          </w:tcPr>
          <w:p>
            <w:pPr>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b/>
                <w:bCs/>
                <w:color w:val="000000"/>
                <w:sz w:val="24"/>
              </w:rPr>
              <w:t>Measurement question</w:t>
            </w:r>
            <w:r>
              <w:rPr>
                <w:rFonts w:ascii="Times New Roman" w:hAnsi="Times New Roman" w:cs="Times New Roman"/>
                <w:b/>
                <w:bCs/>
                <w:color w:val="000000"/>
                <w:sz w:val="24"/>
                <w:lang w:eastAsia="zh-Hans"/>
              </w:rPr>
              <w:t>s</w:t>
            </w:r>
          </w:p>
        </w:tc>
        <w:tc>
          <w:tcPr>
            <w:tcW w:w="3259" w:type="dxa"/>
            <w:tcBorders>
              <w:bottom w:val="single" w:color="auto" w:sz="4" w:space="0"/>
            </w:tcBorders>
            <w:vAlign w:val="center"/>
          </w:tcPr>
          <w:p>
            <w:pPr>
              <w:spacing w:line="24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b/>
                <w:bCs/>
                <w:color w:val="000000"/>
                <w:sz w:val="24"/>
              </w:rPr>
              <w:t>Original response categories</w:t>
            </w:r>
          </w:p>
        </w:tc>
        <w:tc>
          <w:tcPr>
            <w:tcW w:w="2802" w:type="dxa"/>
            <w:tcBorders>
              <w:bottom w:val="single" w:color="auto" w:sz="4" w:space="0"/>
            </w:tcBorders>
            <w:vAlign w:val="center"/>
          </w:tcPr>
          <w:p>
            <w:pPr>
              <w:spacing w:line="240" w:lineRule="auto"/>
              <w:jc w:val="center"/>
              <w:rPr>
                <w:rFonts w:hint="eastAsia" w:ascii="Cambria Math" w:hAnsi="Cambria Math" w:cs="Times New Roman"/>
                <w:color w:val="000000" w:themeColor="text1"/>
                <w:sz w:val="24"/>
                <w14:textFill>
                  <w14:solidFill>
                    <w14:schemeClr w14:val="tx1"/>
                  </w14:solidFill>
                </w14:textFill>
                <w:oMath/>
              </w:rPr>
            </w:pPr>
            <w:r>
              <w:rPr>
                <w:rFonts w:ascii="Times New Roman" w:hAnsi="Times New Roman" w:cs="Times New Roman"/>
                <w:b/>
                <w:bCs/>
                <w:color w:val="000000"/>
                <w:sz w:val="24"/>
              </w:rPr>
              <w:t xml:space="preserve">Analytical categories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op w:val="single" w:color="auto" w:sz="4" w:space="0"/>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Systolic blood pressure level (mm Hg)</w:t>
            </w:r>
          </w:p>
        </w:tc>
        <w:tc>
          <w:tcPr>
            <w:tcW w:w="4095" w:type="dxa"/>
            <w:vMerge w:val="restart"/>
            <w:tcBorders>
              <w:top w:val="single" w:color="auto" w:sz="4" w:space="0"/>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The assessment of blood pressure was conducted by </w:t>
            </w:r>
            <w:r>
              <w:rPr>
                <w:rFonts w:ascii="Times New Roman" w:hAnsi="Times New Roman" w:cs="Times New Roman"/>
                <w:sz w:val="24"/>
              </w:rPr>
              <w:t xml:space="preserve">trained </w:t>
            </w:r>
            <w:r>
              <w:rPr>
                <w:rFonts w:ascii="Times New Roman" w:hAnsi="Times New Roman" w:cs="Times New Roman"/>
                <w:color w:val="000000" w:themeColor="text1"/>
                <w:sz w:val="24"/>
                <w14:textFill>
                  <w14:solidFill>
                    <w14:schemeClr w14:val="tx1"/>
                  </w14:solidFill>
                </w14:textFill>
              </w:rPr>
              <w:t xml:space="preserve">healthcare professionals </w:t>
            </w:r>
            <w:r>
              <w:rPr>
                <w:rFonts w:ascii="Times New Roman" w:hAnsi="Times New Roman" w:cs="Times New Roman"/>
                <w:color w:val="000000" w:themeColor="text1"/>
                <w:sz w:val="24"/>
                <w:lang w:eastAsia="zh-Hans"/>
                <w14:textFill>
                  <w14:solidFill>
                    <w14:schemeClr w14:val="tx1"/>
                  </w14:solidFill>
                </w14:textFill>
              </w:rPr>
              <w:t>including</w:t>
            </w:r>
            <w:r>
              <w:rPr>
                <w:rFonts w:ascii="Times New Roman" w:hAnsi="Times New Roman" w:cs="Times New Roman"/>
                <w:color w:val="000000" w:themeColor="text1"/>
                <w:sz w:val="24"/>
                <w14:textFill>
                  <w14:solidFill>
                    <w14:schemeClr w14:val="tx1"/>
                  </w14:solidFill>
                </w14:textFill>
              </w:rPr>
              <w:t xml:space="preserve"> physicians, nurses, and other healthcare workers</w:t>
            </w:r>
          </w:p>
        </w:tc>
        <w:tc>
          <w:tcPr>
            <w:tcW w:w="3259" w:type="dxa"/>
            <w:tcBorders>
              <w:top w:val="single" w:color="auto" w:sz="4" w:space="0"/>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Systolic blood pressure levels: </w:t>
            </w:r>
            <w:r>
              <w:rPr>
                <w:rFonts w:ascii="Times New Roman" w:hAnsi="Times New Roman" w:cs="Times New Roman"/>
                <w:color w:val="000000"/>
                <w:sz w:val="24"/>
              </w:rPr>
              <w:t>_mm Hg</w:t>
            </w:r>
          </w:p>
        </w:tc>
        <w:tc>
          <w:tcPr>
            <w:tcW w:w="2802" w:type="dxa"/>
            <w:tcBorders>
              <w:top w:val="single" w:color="auto" w:sz="4" w:space="0"/>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Continuous variable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Diastolic blood pressure level (mm Hg)</w:t>
            </w:r>
          </w:p>
        </w:tc>
        <w:tc>
          <w:tcPr>
            <w:tcW w:w="4095" w:type="dxa"/>
            <w:vMerge w:val="continue"/>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p>
        </w:tc>
        <w:tc>
          <w:tcPr>
            <w:tcW w:w="3259"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Diastolic blood pressure levels: </w:t>
            </w:r>
            <w:r>
              <w:rPr>
                <w:rFonts w:ascii="Times New Roman" w:hAnsi="Times New Roman" w:cs="Times New Roman"/>
                <w:color w:val="000000"/>
                <w:sz w:val="24"/>
              </w:rPr>
              <w:t>_mm Hg</w:t>
            </w:r>
          </w:p>
        </w:tc>
        <w:tc>
          <w:tcPr>
            <w:tcW w:w="2802"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Continuous variable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Independent variables</w:t>
            </w:r>
          </w:p>
        </w:tc>
        <w:tc>
          <w:tcPr>
            <w:tcW w:w="409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p>
        </w:tc>
        <w:tc>
          <w:tcPr>
            <w:tcW w:w="3259"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p>
        </w:tc>
        <w:tc>
          <w:tcPr>
            <w:tcW w:w="2802"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Male</w:t>
            </w:r>
          </w:p>
        </w:tc>
        <w:tc>
          <w:tcPr>
            <w:tcW w:w="409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Sex:</w:t>
            </w:r>
          </w:p>
        </w:tc>
        <w:tc>
          <w:tcPr>
            <w:tcW w:w="3259"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1=Male 2=Female</w:t>
            </w:r>
          </w:p>
        </w:tc>
        <w:tc>
          <w:tcPr>
            <w:tcW w:w="2802"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1=Male 0=Female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Birth cohort</w:t>
            </w:r>
          </w:p>
        </w:tc>
        <w:tc>
          <w:tcPr>
            <w:tcW w:w="409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Date of birth:_year_month_day</w:t>
            </w:r>
          </w:p>
        </w:tc>
        <w:tc>
          <w:tcPr>
            <w:tcW w:w="3259"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Birth year</w:t>
            </w:r>
          </w:p>
        </w:tc>
        <w:tc>
          <w:tcPr>
            <w:tcW w:w="2802"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Continuous variable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Body mass index (kg/m</w:t>
            </w:r>
            <w:r>
              <w:rPr>
                <w:rFonts w:ascii="Times New Roman" w:hAnsi="Times New Roman" w:cs="Times New Roman"/>
                <w:color w:val="000000" w:themeColor="text1"/>
                <w:sz w:val="24"/>
                <w:vertAlign w:val="superscript"/>
                <w14:textFill>
                  <w14:solidFill>
                    <w14:schemeClr w14:val="tx1"/>
                  </w14:solidFill>
                </w14:textFill>
              </w:rPr>
              <w:t>2</w:t>
            </w:r>
            <w:r>
              <w:rPr>
                <w:rFonts w:ascii="Times New Roman" w:hAnsi="Times New Roman" w:cs="Times New Roman"/>
                <w:color w:val="000000" w:themeColor="text1"/>
                <w:sz w:val="24"/>
                <w14:textFill>
                  <w14:solidFill>
                    <w14:schemeClr w14:val="tx1"/>
                  </w14:solidFill>
                </w14:textFill>
              </w:rPr>
              <w:t>)</w:t>
            </w:r>
          </w:p>
        </w:tc>
        <w:tc>
          <w:tcPr>
            <w:tcW w:w="409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The assessment of weight and height was conducted by </w:t>
            </w:r>
            <w:r>
              <w:rPr>
                <w:rFonts w:ascii="Times New Roman" w:hAnsi="Times New Roman" w:cs="Times New Roman"/>
                <w:sz w:val="24"/>
              </w:rPr>
              <w:t xml:space="preserve">trained </w:t>
            </w:r>
            <w:r>
              <w:rPr>
                <w:rFonts w:ascii="Times New Roman" w:hAnsi="Times New Roman" w:cs="Times New Roman"/>
                <w:color w:val="000000" w:themeColor="text1"/>
                <w:sz w:val="24"/>
                <w14:textFill>
                  <w14:solidFill>
                    <w14:schemeClr w14:val="tx1"/>
                  </w14:solidFill>
                </w14:textFill>
              </w:rPr>
              <w:t xml:space="preserve">healthcare professionals </w:t>
            </w:r>
            <w:r>
              <w:rPr>
                <w:rFonts w:ascii="Times New Roman" w:hAnsi="Times New Roman" w:cs="Times New Roman"/>
                <w:color w:val="000000" w:themeColor="text1"/>
                <w:sz w:val="24"/>
                <w:lang w:eastAsia="zh-Hans"/>
                <w14:textFill>
                  <w14:solidFill>
                    <w14:schemeClr w14:val="tx1"/>
                  </w14:solidFill>
                </w14:textFill>
              </w:rPr>
              <w:t>including</w:t>
            </w:r>
            <w:r>
              <w:rPr>
                <w:rFonts w:ascii="Times New Roman" w:hAnsi="Times New Roman" w:cs="Times New Roman"/>
                <w:color w:val="000000" w:themeColor="text1"/>
                <w:sz w:val="24"/>
                <w14:textFill>
                  <w14:solidFill>
                    <w14:schemeClr w14:val="tx1"/>
                  </w14:solidFill>
                </w14:textFill>
              </w:rPr>
              <w:t xml:space="preserve"> physicians, nurses, and other healthcare workers.</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sz w:val="24"/>
              </w:rPr>
              <w:t xml:space="preserve">Trained </w:t>
            </w:r>
            <w:r>
              <w:rPr>
                <w:rFonts w:ascii="Times New Roman" w:hAnsi="Times New Roman" w:cs="Times New Roman"/>
                <w:color w:val="000000" w:themeColor="text1"/>
                <w:sz w:val="24"/>
                <w14:textFill>
                  <w14:solidFill>
                    <w14:schemeClr w14:val="tx1"/>
                  </w14:solidFill>
                </w14:textFill>
              </w:rPr>
              <w:t>healthcare professionals</w:t>
            </w:r>
            <w:r>
              <w:rPr>
                <w:rFonts w:ascii="Times New Roman" w:hAnsi="Times New Roman" w:cs="Times New Roman"/>
                <w:sz w:val="24"/>
              </w:rPr>
              <w:t xml:space="preserve"> assessed weight (accurate to 0.1 kg while wearing light clothing) using a balance-beam scale, and height (accurate to 0.1 cm without shoes) uses a stadiometer.</w:t>
            </w:r>
          </w:p>
        </w:tc>
        <w:tc>
          <w:tcPr>
            <w:tcW w:w="3259" w:type="dxa"/>
            <w:tcBorders>
              <w:tl2br w:val="nil"/>
              <w:tr2bl w:val="nil"/>
            </w:tcBorders>
          </w:tcPr>
          <w:p>
            <w:pPr>
              <w:spacing w:line="240" w:lineRule="auto"/>
              <w:rPr>
                <w:rFonts w:ascii="Times New Roman" w:hAnsi="Times New Roman" w:cs="Times New Roman"/>
                <w:color w:val="000000"/>
                <w:sz w:val="24"/>
              </w:rPr>
            </w:pPr>
            <w:r>
              <w:rPr>
                <w:rFonts w:ascii="Times New Roman" w:hAnsi="Times New Roman" w:cs="Times New Roman"/>
                <w:color w:val="000000"/>
                <w:sz w:val="24"/>
              </w:rPr>
              <w:t>Weight: _ _ _._kilogram</w:t>
            </w:r>
          </w:p>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sz w:val="24"/>
              </w:rPr>
              <w:t>Height.: _ _ _._cm</w:t>
            </w:r>
          </w:p>
        </w:tc>
        <w:tc>
          <w:tcPr>
            <w:tcW w:w="2802"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Continuous variable. Body mass index</w:t>
            </w:r>
            <w:r>
              <w:rPr>
                <w:rFonts w:ascii="Times New Roman" w:hAnsi="Times New Roman" w:cs="Times New Roman"/>
                <w:sz w:val="24"/>
              </w:rPr>
              <w:t xml:space="preserve"> was calculated as weight (in kg) divided by the square of height (in meters).</w:t>
            </w:r>
          </w:p>
          <w:p>
            <w:pPr>
              <w:spacing w:line="240" w:lineRule="auto"/>
              <w:rPr>
                <w:rFonts w:ascii="Times New Roman" w:hAnsi="Times New Roman" w:cs="Times New Roman"/>
                <w:color w:val="000000" w:themeColor="text1"/>
                <w:sz w:val="24"/>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Control variables</w:t>
            </w:r>
          </w:p>
        </w:tc>
        <w:tc>
          <w:tcPr>
            <w:tcW w:w="409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p>
        </w:tc>
        <w:tc>
          <w:tcPr>
            <w:tcW w:w="3259"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p>
        </w:tc>
        <w:tc>
          <w:tcPr>
            <w:tcW w:w="2802"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Age</w:t>
            </w:r>
          </w:p>
        </w:tc>
        <w:tc>
          <w:tcPr>
            <w:tcW w:w="4095"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Date of birth:_year_month_day</w:t>
            </w:r>
          </w:p>
        </w:tc>
        <w:tc>
          <w:tcPr>
            <w:tcW w:w="3259"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Birth </w:t>
            </w:r>
            <w:r>
              <w:rPr>
                <w:rFonts w:ascii="Times New Roman" w:hAnsi="Times New Roman" w:cs="Times New Roman"/>
                <w:color w:val="000000" w:themeColor="text1"/>
                <w:sz w:val="24"/>
                <w:lang w:eastAsia="zh-Hans"/>
                <w14:textFill>
                  <w14:solidFill>
                    <w14:schemeClr w14:val="tx1"/>
                  </w14:solidFill>
                </w14:textFill>
              </w:rPr>
              <w:t>date</w:t>
            </w:r>
          </w:p>
        </w:tc>
        <w:tc>
          <w:tcPr>
            <w:tcW w:w="2802"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Continuous variable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ind w:left="480" w:hanging="480" w:hanging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Marital status</w:t>
            </w:r>
          </w:p>
        </w:tc>
        <w:tc>
          <w:tcPr>
            <w:tcW w:w="4095"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What is your marital status?</w:t>
            </w:r>
          </w:p>
        </w:tc>
        <w:tc>
          <w:tcPr>
            <w:tcW w:w="3259"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1=Never married 2=Married 3=Divorced 4=Widowed 5=Separated 9=Unknown</w:t>
            </w:r>
          </w:p>
        </w:tc>
        <w:tc>
          <w:tcPr>
            <w:tcW w:w="2802" w:type="dxa"/>
            <w:tcBorders>
              <w:tl2br w:val="nil"/>
              <w:tr2bl w:val="nil"/>
            </w:tcBorders>
          </w:tcPr>
          <w:p>
            <w:pPr>
              <w:widowControl/>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1=Married 0=Not married (never married, divorced, widowed, or separated). Any response marked as "unknown" was treated as missing data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ind w:left="480" w:hanging="480" w:hanging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Place of residence</w:t>
            </w:r>
          </w:p>
        </w:tc>
        <w:tc>
          <w:tcPr>
            <w:tcW w:w="4095"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Urban/rural site: </w:t>
            </w:r>
          </w:p>
        </w:tc>
        <w:tc>
          <w:tcPr>
            <w:tcW w:w="3259"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1=Urban site 2=Rural site</w:t>
            </w:r>
          </w:p>
        </w:tc>
        <w:tc>
          <w:tcPr>
            <w:tcW w:w="2802" w:type="dxa"/>
            <w:tcBorders>
              <w:tl2br w:val="nil"/>
              <w:tr2bl w:val="nil"/>
            </w:tcBorders>
          </w:tcPr>
          <w:p>
            <w:pPr>
              <w:widowControl/>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1=Urban</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 xml:space="preserve">residence 0=Rural </w:t>
            </w:r>
            <w:r>
              <w:rPr>
                <w:rFonts w:hint="eastAsia" w:ascii="Times New Roman" w:hAnsi="Times New Roman" w:cs="Times New Roman"/>
                <w:color w:val="000000" w:themeColor="text1"/>
                <w:sz w:val="24"/>
                <w14:textFill>
                  <w14:solidFill>
                    <w14:schemeClr w14:val="tx1"/>
                  </w14:solidFill>
                </w14:textFill>
              </w:rPr>
              <w:t>re</w:t>
            </w:r>
            <w:r>
              <w:rPr>
                <w:rFonts w:ascii="Times New Roman" w:hAnsi="Times New Roman" w:cs="Times New Roman"/>
                <w:color w:val="000000" w:themeColor="text1"/>
                <w:sz w:val="24"/>
                <w14:textFill>
                  <w14:solidFill>
                    <w14:schemeClr w14:val="tx1"/>
                  </w14:solidFill>
                </w14:textFill>
              </w:rPr>
              <w:t>sidence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ind w:left="480" w:hanging="480" w:hanging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Educational attainment</w:t>
            </w:r>
          </w:p>
        </w:tc>
        <w:tc>
          <w:tcPr>
            <w:tcW w:w="4095"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What is the highest level of education you have attained?</w:t>
            </w:r>
          </w:p>
        </w:tc>
        <w:tc>
          <w:tcPr>
            <w:tcW w:w="3259"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0=None </w:t>
            </w:r>
          </w:p>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1=Graduated from primary school </w:t>
            </w:r>
          </w:p>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2=Lower middle school degree 3=Upper middle school degree 4=Technical or vocational degree </w:t>
            </w:r>
          </w:p>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5=University or college degree 6=Master’s degree or higher 9=Unknown</w:t>
            </w:r>
          </w:p>
        </w:tc>
        <w:tc>
          <w:tcPr>
            <w:tcW w:w="2802" w:type="dxa"/>
            <w:tcBorders>
              <w:tl2br w:val="nil"/>
              <w:tr2bl w:val="nil"/>
            </w:tcBorders>
          </w:tcPr>
          <w:p>
            <w:pPr>
              <w:widowControl/>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We categorized participants' educational attainment into four groups: primary education or below (serving as the reference group), lower secondary education, upper secondary education, and tertiary education or above. Subsequently, the categories of lower secondary education, upper secondary education, and tertiary education or above were coded as dummy variables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ind w:left="480" w:hanging="480" w:hanging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Household income per capita (in thousands of Chinese yuan)</w:t>
            </w:r>
          </w:p>
        </w:tc>
        <w:tc>
          <w:tcPr>
            <w:tcW w:w="4095"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There are questions about nine potential sources of income in the questionnaires: business, subsidies, and other income</w:t>
            </w:r>
          </w:p>
        </w:tc>
        <w:tc>
          <w:tcPr>
            <w:tcW w:w="3259"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After calculating household income from each source, total household income was constructed as the sum from all nine sources. </w:t>
            </w:r>
            <w:r>
              <w:rPr>
                <w:rFonts w:ascii="Times New Roman" w:hAnsi="Times New Roman" w:cs="Times New Roman"/>
                <w:sz w:val="24"/>
              </w:rPr>
              <w:t>Household income per capita</w:t>
            </w:r>
            <w:r>
              <w:rPr>
                <w:rFonts w:ascii="Times New Roman" w:hAnsi="Times New Roman" w:cs="Times New Roman"/>
                <w:color w:val="000000" w:themeColor="text1"/>
                <w:sz w:val="24"/>
                <w14:textFill>
                  <w14:solidFill>
                    <w14:schemeClr w14:val="tx1"/>
                  </w14:solidFill>
                </w14:textFill>
              </w:rPr>
              <w:t xml:space="preserve"> was calculated by dividing total household income by household size. To account for </w:t>
            </w:r>
            <w:r>
              <w:rPr>
                <w:rFonts w:ascii="Times New Roman" w:hAnsi="Times New Roman" w:cs="Times New Roman"/>
                <w:sz w:val="24"/>
              </w:rPr>
              <w:t xml:space="preserve">Household income per capita was adjusted for </w:t>
            </w:r>
            <w:r>
              <w:rPr>
                <w:rFonts w:ascii="Times New Roman" w:hAnsi="Times New Roman" w:cs="Times New Roman"/>
                <w:sz w:val="24"/>
                <w:lang w:eastAsia="zh-Hans"/>
              </w:rPr>
              <w:t>inflation,</w:t>
            </w:r>
            <w:r>
              <w:rPr>
                <w:rFonts w:ascii="Times New Roman" w:hAnsi="Times New Roman" w:cs="Times New Roman"/>
                <w:sz w:val="24"/>
              </w:rPr>
              <w:t xml:space="preserve"> the </w:t>
            </w:r>
            <w:r>
              <w:rPr>
                <w:rFonts w:ascii="Times New Roman" w:hAnsi="Times New Roman" w:cs="Times New Roman"/>
                <w:sz w:val="24"/>
                <w:lang w:eastAsia="zh-Hans"/>
              </w:rPr>
              <w:t>household income per capita was adjusted using</w:t>
            </w:r>
            <w:r>
              <w:rPr>
                <w:rFonts w:ascii="Times New Roman" w:hAnsi="Times New Roman" w:cs="Times New Roman"/>
                <w:sz w:val="24"/>
              </w:rPr>
              <w:t xml:space="preserve"> </w:t>
            </w:r>
            <w:r>
              <w:rPr>
                <w:rFonts w:ascii="Times New Roman" w:hAnsi="Times New Roman" w:cs="Times New Roman"/>
                <w:sz w:val="24"/>
                <w:lang w:eastAsia="zh-Hans"/>
              </w:rPr>
              <w:t>the</w:t>
            </w:r>
            <w:r>
              <w:rPr>
                <w:rFonts w:ascii="Times New Roman" w:hAnsi="Times New Roman" w:cs="Times New Roman"/>
                <w:sz w:val="24"/>
              </w:rPr>
              <w:t xml:space="preserve"> 2015 Consumer Price Index</w:t>
            </w:r>
          </w:p>
        </w:tc>
        <w:tc>
          <w:tcPr>
            <w:tcW w:w="2802"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Continuous variable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Employment</w:t>
            </w:r>
          </w:p>
        </w:tc>
        <w:tc>
          <w:tcPr>
            <w:tcW w:w="4095"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Are you presently working?</w:t>
            </w:r>
          </w:p>
        </w:tc>
        <w:tc>
          <w:tcPr>
            <w:tcW w:w="3259"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1=Yes 0=No</w:t>
            </w:r>
          </w:p>
        </w:tc>
        <w:tc>
          <w:tcPr>
            <w:tcW w:w="2802"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sz w:val="24"/>
              </w:rPr>
              <w:t>1=Employed 0=Unemployed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Smoking</w:t>
            </w:r>
          </w:p>
        </w:tc>
        <w:tc>
          <w:tcPr>
            <w:tcW w:w="4095"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Have you ever smoked cigarettes (including hand-rolled or device-rolled)?</w:t>
            </w:r>
          </w:p>
        </w:tc>
        <w:tc>
          <w:tcPr>
            <w:tcW w:w="3259"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0=Never smoked 1=Yes 9=Unknown</w:t>
            </w:r>
          </w:p>
        </w:tc>
        <w:tc>
          <w:tcPr>
            <w:tcW w:w="2802" w:type="dxa"/>
            <w:tcBorders>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1=Ever smoked 0=Never smoked. Any response marked as "unknown" was treated as missing data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bottom w:val="single" w:color="auto" w:sz="4" w:space="0"/>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Frequent alcohol drinking</w:t>
            </w:r>
          </w:p>
        </w:tc>
        <w:tc>
          <w:tcPr>
            <w:tcW w:w="4095" w:type="dxa"/>
            <w:tcBorders>
              <w:bottom w:val="single" w:color="auto" w:sz="4" w:space="0"/>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In the year of survey, did you drink beer or any other alcoholic beverage? How often did you drink beer or any alcoholic beverage?</w:t>
            </w:r>
          </w:p>
        </w:tc>
        <w:tc>
          <w:tcPr>
            <w:tcW w:w="3259" w:type="dxa"/>
            <w:tcBorders>
              <w:bottom w:val="single" w:color="auto" w:sz="4" w:space="0"/>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Drink alcoholic beverage or not: 0=No 1=Yes 9=Unknown</w:t>
            </w:r>
          </w:p>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Frequency of alcohol drinking: 1=Almost every day 2=3-4 times a week 3=Once or twice a week 4=Once or twice a month 5=No more than once a month 9=Unknown</w:t>
            </w:r>
          </w:p>
        </w:tc>
        <w:tc>
          <w:tcPr>
            <w:tcW w:w="2802" w:type="dxa"/>
            <w:tcBorders>
              <w:bottom w:val="single" w:color="auto" w:sz="4" w:space="0"/>
              <w:tl2br w:val="nil"/>
              <w:tr2bl w:val="nil"/>
            </w:tcBorders>
          </w:tcPr>
          <w:p>
            <w:pPr>
              <w:widowControl/>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In accordance with the classifications used in prior research by Pan &amp; Palmer (2018)</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vertAlign w:val="superscript"/>
                <w14:textFill>
                  <w14:solidFill>
                    <w14:schemeClr w14:val="tx1"/>
                  </w14:solidFill>
                </w14:textFill>
              </w:rPr>
              <w:t>a</w:t>
            </w:r>
            <w:r>
              <w:rPr>
                <w:rFonts w:ascii="Times New Roman" w:hAnsi="Times New Roman" w:cs="Times New Roman"/>
                <w:color w:val="000000" w:themeColor="text1"/>
                <w:sz w:val="24"/>
                <w14:textFill>
                  <w14:solidFill>
                    <w14:schemeClr w14:val="tx1"/>
                  </w14:solidFill>
                </w14:textFill>
              </w:rPr>
              <w:t>, individuals who consume alcohol more than 3-4 times per week were categorized as frequent alcohol drinkers.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op w:val="single" w:color="auto" w:sz="4" w:space="0"/>
              <w:bottom w:val="nil"/>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Loss to follow-up</w:t>
            </w:r>
          </w:p>
        </w:tc>
        <w:tc>
          <w:tcPr>
            <w:tcW w:w="7354" w:type="dxa"/>
            <w:gridSpan w:val="2"/>
            <w:tcBorders>
              <w:top w:val="single" w:color="auto" w:sz="4" w:space="0"/>
              <w:bottom w:val="nil"/>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Individuals who participated in previous survey waves but did not attend the 2015 wave and were not deceased were classified as lost to follow-up.</w:t>
            </w:r>
          </w:p>
        </w:tc>
        <w:tc>
          <w:tcPr>
            <w:tcW w:w="2802" w:type="dxa"/>
            <w:vMerge w:val="restart"/>
            <w:tcBorders>
              <w:top w:val="single" w:color="auto" w:sz="4" w:space="0"/>
              <w:bottom w:val="nil"/>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C</w:t>
            </w:r>
            <w:r>
              <w:rPr>
                <w:rFonts w:ascii="Times New Roman" w:hAnsi="Times New Roman" w:cs="Times New Roman"/>
                <w:color w:val="000000" w:themeColor="text1"/>
                <w:sz w:val="24"/>
                <w:lang w:eastAsia="zh-Hans"/>
                <w14:textFill>
                  <w14:solidFill>
                    <w14:schemeClr w14:val="tx1"/>
                  </w14:solidFill>
                </w14:textFill>
              </w:rPr>
              <w:t>onsistent with prior research</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vertAlign w:val="superscript"/>
                <w:lang w:eastAsia="zh-Hans"/>
                <w14:textFill>
                  <w14:solidFill>
                    <w14:schemeClr w14:val="tx1"/>
                  </w14:solidFill>
                </w14:textFill>
              </w:rPr>
              <w:t>b</w:t>
            </w:r>
            <w:r>
              <w:rPr>
                <w:rFonts w:hint="eastAsia" w:ascii="Times New Roman" w:hAnsi="Times New Roman" w:cs="Times New Roman"/>
                <w:color w:val="000000" w:themeColor="text1"/>
                <w:sz w:val="24"/>
                <w:vertAlign w:val="superscript"/>
                <w14:textFill>
                  <w14:solidFill>
                    <w14:schemeClr w14:val="tx1"/>
                  </w14:solidFill>
                </w14:textFill>
              </w:rPr>
              <w:t>,</w:t>
            </w:r>
            <w:r>
              <w:rPr>
                <w:rFonts w:ascii="Times New Roman" w:hAnsi="Times New Roman" w:cs="Times New Roman"/>
                <w:color w:val="000000" w:themeColor="text1"/>
                <w:sz w:val="24"/>
                <w:vertAlign w:val="superscript"/>
                <w:lang w:eastAsia="zh-Hans"/>
                <w14:textFill>
                  <w14:solidFill>
                    <w14:schemeClr w14:val="tx1"/>
                  </w14:solidFill>
                </w14:textFill>
              </w:rPr>
              <w:t xml:space="preserve"> c</w:t>
            </w:r>
            <w:r>
              <w:rPr>
                <w:rFonts w:ascii="Times New Roman" w:hAnsi="Times New Roman" w:cs="Times New Roman"/>
                <w:color w:val="000000" w:themeColor="text1"/>
                <w:sz w:val="24"/>
                <w:lang w:eastAsia="zh-Hans"/>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 xml:space="preserve">we constructed two time-invariant dummy variables to indicate loss to follow-up and death, respectively, to </w:t>
            </w:r>
            <w:r>
              <w:rPr>
                <w:rFonts w:ascii="Times New Roman" w:hAnsi="Times New Roman" w:cs="Times New Roman"/>
                <w:color w:val="000000" w:themeColor="text1"/>
                <w:sz w:val="24"/>
                <w:lang w:eastAsia="zh-Hans"/>
                <w14:textFill>
                  <w14:solidFill>
                    <w14:schemeClr w14:val="tx1"/>
                  </w14:solidFill>
                </w14:textFill>
              </w:rPr>
              <w:t>account</w:t>
            </w:r>
            <w:r>
              <w:rPr>
                <w:rFonts w:ascii="Times New Roman" w:hAnsi="Times New Roman" w:cs="Times New Roman"/>
                <w:color w:val="000000" w:themeColor="text1"/>
                <w:sz w:val="24"/>
                <w14:textFill>
                  <w14:solidFill>
                    <w14:schemeClr w14:val="tx1"/>
                  </w14:solidFill>
                </w14:textFill>
              </w:rPr>
              <w:t xml:space="preserve"> for the potential selection bias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op w:val="nil"/>
              <w:bottom w:val="nil"/>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Death</w:t>
            </w:r>
          </w:p>
        </w:tc>
        <w:tc>
          <w:tcPr>
            <w:tcW w:w="4095" w:type="dxa"/>
            <w:tcBorders>
              <w:top w:val="nil"/>
              <w:bottom w:val="nil"/>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Date of death:_year_month_day</w:t>
            </w:r>
          </w:p>
        </w:tc>
        <w:tc>
          <w:tcPr>
            <w:tcW w:w="3259" w:type="dxa"/>
            <w:tcBorders>
              <w:top w:val="nil"/>
              <w:bottom w:val="nil"/>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Year of death</w:t>
            </w:r>
          </w:p>
        </w:tc>
        <w:tc>
          <w:tcPr>
            <w:tcW w:w="2802" w:type="dxa"/>
            <w:vMerge w:val="continue"/>
            <w:tcBorders>
              <w:top w:val="nil"/>
              <w:bottom w:val="nil"/>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155" w:type="dxa"/>
            <w:tcBorders>
              <w:top w:val="nil"/>
              <w:bottom w:val="single" w:color="auto" w:sz="4" w:space="0"/>
              <w:tl2br w:val="nil"/>
              <w:tr2bl w:val="nil"/>
            </w:tcBorders>
          </w:tcPr>
          <w:p>
            <w:pPr>
              <w:spacing w:line="24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Province</w:t>
            </w:r>
          </w:p>
        </w:tc>
        <w:tc>
          <w:tcPr>
            <w:tcW w:w="4095" w:type="dxa"/>
            <w:tcBorders>
              <w:top w:val="nil"/>
              <w:bottom w:val="single" w:color="auto" w:sz="4" w:space="0"/>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Province:</w:t>
            </w:r>
          </w:p>
        </w:tc>
        <w:tc>
          <w:tcPr>
            <w:tcW w:w="3259" w:type="dxa"/>
            <w:tcBorders>
              <w:top w:val="nil"/>
              <w:bottom w:val="single" w:color="auto" w:sz="4" w:space="0"/>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sz w:val="24"/>
              </w:rPr>
              <w:t>23=Heilongjiang 21=Liaoning 37=Shandong 41=Henan 32=Jiangsu 42=Hubei 43=Hunan 52=Guizhou 45=Guangxi 11=Beijing 31=Shanghai 55=Chongqing</w:t>
            </w:r>
          </w:p>
        </w:tc>
        <w:tc>
          <w:tcPr>
            <w:tcW w:w="2802" w:type="dxa"/>
            <w:tcBorders>
              <w:top w:val="nil"/>
              <w:bottom w:val="single" w:color="auto" w:sz="4" w:space="0"/>
              <w:tl2br w:val="nil"/>
              <w:tr2bl w:val="nil"/>
            </w:tcBorders>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Beijing was used as the reference group. The remaining eleven provincial-level regions were represented using dummy variables.</w:t>
            </w:r>
          </w:p>
        </w:tc>
      </w:tr>
    </w:tbl>
    <w:p>
      <w:pPr>
        <w:widowControl/>
        <w:spacing w:after="0" w:line="240" w:lineRule="auto"/>
        <w:rPr>
          <w:rFonts w:ascii="Times New Roman Regular" w:hAnsi="Times New Roman Regular" w:cs="Times New Roman Regular"/>
          <w:color w:val="000000" w:themeColor="text1"/>
          <w:sz w:val="24"/>
          <w14:textFill>
            <w14:solidFill>
              <w14:schemeClr w14:val="tx1"/>
            </w14:solidFill>
          </w14:textFill>
        </w:rPr>
      </w:pPr>
      <w:r>
        <w:rPr>
          <w:vertAlign w:val="superscript"/>
        </w:rPr>
        <w:t>a</w:t>
      </w:r>
      <w:r>
        <w:t xml:space="preserve"> </w:t>
      </w:r>
      <w:r>
        <w:rPr>
          <w:rFonts w:ascii="Times New Roman Regular" w:hAnsi="Times New Roman Regular" w:cs="Times New Roman Regular"/>
          <w:color w:val="000000" w:themeColor="text1"/>
          <w:sz w:val="24"/>
          <w14:textFill>
            <w14:solidFill>
              <w14:schemeClr w14:val="tx1"/>
            </w14:solidFill>
          </w14:textFill>
        </w:rPr>
        <w:t>Pan, T., &amp; Palmer, M. (2018). Risk factors and non-communicable disease diagnosis in China. China Economic Review, 50, 72-84.</w:t>
      </w:r>
    </w:p>
    <w:p>
      <w:pPr>
        <w:widowControl/>
        <w:spacing w:after="0" w:line="240" w:lineRule="auto"/>
        <w:rPr>
          <w:rFonts w:ascii="Times New Roman Regular" w:hAnsi="Times New Roman Regular" w:cs="Times New Roman Regular"/>
          <w:color w:val="000000" w:themeColor="text1"/>
          <w:sz w:val="24"/>
          <w14:textFill>
            <w14:solidFill>
              <w14:schemeClr w14:val="tx1"/>
            </w14:solidFill>
          </w14:textFill>
        </w:rPr>
      </w:pPr>
      <w:r>
        <w:rPr>
          <w:vertAlign w:val="superscript"/>
        </w:rPr>
        <w:t>b</w:t>
      </w:r>
      <w:r>
        <w:rPr>
          <w:rFonts w:ascii="Arial" w:hAnsi="Arial" w:eastAsia="宋体" w:cs="Arial"/>
          <w:color w:val="222222"/>
          <w:kern w:val="0"/>
          <w:sz w:val="26"/>
          <w:szCs w:val="26"/>
          <w:shd w:val="clear" w:color="auto" w:fill="FFFFFF"/>
          <w:lang w:bidi="ar"/>
        </w:rPr>
        <w:t xml:space="preserve"> </w:t>
      </w:r>
      <w:r>
        <w:rPr>
          <w:rFonts w:ascii="Times New Roman Regular" w:hAnsi="Times New Roman Regular" w:cs="Times New Roman Regular"/>
          <w:color w:val="000000" w:themeColor="text1"/>
          <w:sz w:val="24"/>
          <w14:textFill>
            <w14:solidFill>
              <w14:schemeClr w14:val="tx1"/>
            </w14:solidFill>
          </w14:textFill>
        </w:rPr>
        <w:t>Chen, F., Yang, Y., &amp; Liu, G. (2010). Social change and socioeconomic disparities in health over the life course in China: A cohort analysis. American Sociological Review, 75(1), 126-150.</w:t>
      </w:r>
    </w:p>
    <w:p>
      <w:pPr>
        <w:widowControl/>
        <w:spacing w:after="0" w:line="240" w:lineRule="auto"/>
        <w:rPr>
          <w:rFonts w:ascii="Times New Roman Regular" w:hAnsi="Times New Roman Regular" w:cs="Times New Roman Regular"/>
          <w:color w:val="000000" w:themeColor="text1"/>
          <w:sz w:val="24"/>
          <w14:textFill>
            <w14:solidFill>
              <w14:schemeClr w14:val="tx1"/>
            </w14:solidFill>
          </w14:textFill>
        </w:rPr>
      </w:pPr>
      <w:r>
        <w:rPr>
          <w:vertAlign w:val="superscript"/>
        </w:rPr>
        <w:t>c</w:t>
      </w:r>
      <w:r>
        <w:rPr>
          <w:rFonts w:ascii="Arial" w:hAnsi="Arial" w:eastAsia="宋体" w:cs="Arial"/>
          <w:color w:val="222222"/>
          <w:kern w:val="0"/>
          <w:sz w:val="26"/>
          <w:szCs w:val="26"/>
          <w:shd w:val="clear" w:color="auto" w:fill="FFFFFF"/>
          <w:vertAlign w:val="superscript"/>
          <w:lang w:bidi="ar"/>
        </w:rPr>
        <w:t xml:space="preserve"> </w:t>
      </w:r>
      <w:r>
        <w:rPr>
          <w:rFonts w:ascii="Times New Roman Regular" w:hAnsi="Times New Roman Regular" w:cs="Times New Roman Regular"/>
          <w:color w:val="000000" w:themeColor="text1"/>
          <w:sz w:val="24"/>
          <w14:textFill>
            <w14:solidFill>
              <w14:schemeClr w14:val="tx1"/>
            </w14:solidFill>
          </w14:textFill>
        </w:rPr>
        <w:t>Wu, J., Muennig, P. A., Keyes, K., &amp; Wu, J. (2019). Generational differences in longitudinal blood pressure trajectories by geographic region during socioeconomic transitions in China. International Journal of Public Health, 64, 1375-1387.</w:t>
      </w:r>
    </w:p>
    <w:p>
      <w:pPr>
        <w:widowControl/>
        <w:spacing w:line="480" w:lineRule="auto"/>
        <w:rPr>
          <w:rFonts w:ascii="Times New Roman Regular" w:hAnsi="Times New Roman Regular" w:cs="Times New Roman Regular"/>
          <w:color w:val="000000" w:themeColor="text1"/>
          <w:sz w:val="24"/>
          <w14:textFill>
            <w14:solidFill>
              <w14:schemeClr w14:val="tx1"/>
            </w14:solidFill>
          </w14:textFill>
        </w:rPr>
        <w:sectPr>
          <w:footerReference r:id="rId4" w:type="default"/>
          <w:pgSz w:w="16838" w:h="11906" w:orient="landscape"/>
          <w:pgMar w:top="1800" w:right="1440" w:bottom="1800" w:left="1440" w:header="851" w:footer="992" w:gutter="0"/>
          <w:cols w:space="425" w:num="1"/>
          <w:docGrid w:type="lines" w:linePitch="312" w:charSpace="0"/>
        </w:sectPr>
      </w:pPr>
    </w:p>
    <w:p>
      <w:pPr>
        <w:widowControl/>
        <w:jc w:val="left"/>
        <w:rPr>
          <w:rFonts w:ascii="Times New Roman Regular" w:hAnsi="Times New Roman Regular" w:cs="Times New Roman Regular"/>
          <w:sz w:val="24"/>
        </w:rPr>
      </w:pPr>
      <w:r>
        <w:rPr>
          <w:rFonts w:ascii="Times New Roman Bold" w:hAnsi="Times New Roman Bold" w:cs="Times New Roman Bold"/>
          <w:b/>
          <w:bCs/>
          <w:sz w:val="24"/>
        </w:rPr>
        <w:t>Table S2</w:t>
      </w:r>
      <w:r>
        <w:rPr>
          <w:rFonts w:ascii="Times New Roman Regular" w:hAnsi="Times New Roman Regular" w:cs="Times New Roman Regular"/>
          <w:sz w:val="24"/>
        </w:rPr>
        <w:t xml:space="preserve"> Estimates from multilevel growth-curve models of body mass index (BMI), China Health and Nutrition Survey (1991-2015)</w:t>
      </w:r>
    </w:p>
    <w:tbl>
      <w:tblPr>
        <w:tblStyle w:val="7"/>
        <w:tblW w:w="9335"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89"/>
        <w:gridCol w:w="3446"/>
      </w:tblGrid>
      <w:tr>
        <w:trPr>
          <w:trHeight w:val="377" w:hRule="atLeast"/>
          <w:jc w:val="center"/>
        </w:trPr>
        <w:tc>
          <w:tcPr>
            <w:tcW w:w="5889" w:type="dxa"/>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p>
        </w:tc>
        <w:tc>
          <w:tcPr>
            <w:tcW w:w="3446" w:type="dxa"/>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Model 1</w:t>
            </w:r>
          </w:p>
        </w:tc>
      </w:tr>
      <w:tr>
        <w:trPr>
          <w:trHeight w:val="377" w:hRule="atLeast"/>
          <w:jc w:val="center"/>
        </w:trPr>
        <w:tc>
          <w:tcPr>
            <w:tcW w:w="5889" w:type="dxa"/>
            <w:tcBorders>
              <w:bottom w:val="single" w:color="auto" w:sz="4" w:space="0"/>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p>
        </w:tc>
        <w:tc>
          <w:tcPr>
            <w:tcW w:w="3446" w:type="dxa"/>
            <w:tcBorders>
              <w:bottom w:val="single" w:color="auto" w:sz="4" w:space="0"/>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Coefficient</w:t>
            </w:r>
          </w:p>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(95% CI</w:t>
            </w:r>
            <w:r>
              <w:rPr>
                <w:rFonts w:ascii="Times New Roman" w:hAnsi="Times New Roman" w:cs="Times New Roman"/>
                <w:color w:val="000000" w:themeColor="text1"/>
                <w:sz w:val="24"/>
                <w:vertAlign w:val="superscript"/>
                <w14:textFill>
                  <w14:solidFill>
                    <w14:schemeClr w14:val="tx1"/>
                  </w14:solidFill>
                </w14:textFill>
              </w:rPr>
              <w:t>a</w:t>
            </w:r>
            <w:r>
              <w:rPr>
                <w:rFonts w:ascii="Times New Roman" w:hAnsi="Times New Roman" w:cs="Times New Roman"/>
                <w:color w:val="000000" w:themeColor="text1"/>
                <w:sz w:val="24"/>
                <w14:textFill>
                  <w14:solidFill>
                    <w14:schemeClr w14:val="tx1"/>
                  </w14:solidFill>
                </w14:textFill>
              </w:rPr>
              <w:t>)</w:t>
            </w:r>
          </w:p>
        </w:tc>
      </w:tr>
      <w:tr>
        <w:trPr>
          <w:jc w:val="center"/>
        </w:trPr>
        <w:tc>
          <w:tcPr>
            <w:tcW w:w="5889" w:type="dxa"/>
            <w:tcBorders>
              <w:top w:val="single" w:color="auto" w:sz="4" w:space="0"/>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Fixed effects</w:t>
            </w:r>
          </w:p>
        </w:tc>
        <w:tc>
          <w:tcPr>
            <w:tcW w:w="3446" w:type="dxa"/>
            <w:tcBorders>
              <w:top w:val="single" w:color="auto" w:sz="4" w:space="0"/>
              <w:tl2br w:val="nil"/>
              <w:tr2bl w:val="nil"/>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p>
        </w:tc>
      </w:tr>
      <w:tr>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Intercept</w:t>
            </w:r>
          </w:p>
        </w:tc>
        <w:tc>
          <w:tcPr>
            <w:tcW w:w="3446" w:type="dxa"/>
            <w:tcBorders>
              <w:tl2br w:val="nil"/>
              <w:tr2bl w:val="nil"/>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23.91 (23.61-24.22)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Male (Reference=Female)</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-0.38 (-0.60--0.17)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Birth cohort</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0.05 (0.04-0.06)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Male*Birth cohort</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0.05 (0.03-0.06)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Control variables</w:t>
            </w:r>
          </w:p>
        </w:tc>
        <w:tc>
          <w:tcPr>
            <w:tcW w:w="3446" w:type="dxa"/>
            <w:tcBorders>
              <w:tl2br w:val="nil"/>
              <w:tr2bl w:val="nil"/>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p>
        </w:tc>
      </w:tr>
      <w:tr>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Age</w:t>
            </w:r>
          </w:p>
        </w:tc>
        <w:tc>
          <w:tcPr>
            <w:tcW w:w="3446" w:type="dxa"/>
            <w:tcBorders>
              <w:tl2br w:val="nil"/>
              <w:tr2bl w:val="nil"/>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0.12 (0.11-0.13)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Age squared</w:t>
            </w:r>
          </w:p>
        </w:tc>
        <w:tc>
          <w:tcPr>
            <w:tcW w:w="3446" w:type="dxa"/>
            <w:tcBorders>
              <w:tl2br w:val="nil"/>
              <w:tr2bl w:val="nil"/>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-0.00 (-0.00--0.00)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Male*Age</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0.00 (-0.00-0.01)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Male*Age squared</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-0.00 (-0.00--0.00)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Birth cohort*Age</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0.00 (-0.00-0.00)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Birth cohort*Age squared</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0.00 (0.00-0.00)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Married (Reference=Not married)</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0.07 (-0.02-0.17)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Urban residence (Reference=Rural residence)</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0.10 (-0.00-0.21)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Educational attainment (Reference=Primary education or below)</w:t>
            </w:r>
          </w:p>
        </w:tc>
        <w:tc>
          <w:tcPr>
            <w:tcW w:w="3446" w:type="dxa"/>
            <w:tcBorders>
              <w:tl2br w:val="nil"/>
              <w:tr2bl w:val="nil"/>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Lower secondary education</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0.02 (-0.05-0.10)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Upper secondary education</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0.02 (-0.09-0.12)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Post-secondary education</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-0.09 (-0.21-0.04)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Household income per capita (in thousands of Chinese yuan)</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-0.00 (-0.00-0.00)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Employed (Reference=Not employed)</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-0.06 (-0.12--0.01)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Ever smoking (Reference=Never smoking)</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-0.19 (-0.26--0.12)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Frequent alcohol drinking (Reference=No frequent alcohol drinking)</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0.07 (-0.00-0.14)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Loss to follow-up</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-0.03 (-0.13-0.08)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Death</w:t>
            </w:r>
          </w:p>
        </w:tc>
        <w:tc>
          <w:tcPr>
            <w:tcW w:w="3446"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-0.30 (-0.62-0.02)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Provincial fixed effect</w:t>
            </w:r>
          </w:p>
        </w:tc>
        <w:tc>
          <w:tcPr>
            <w:tcW w:w="3446" w:type="dxa"/>
            <w:tcBorders>
              <w:tl2br w:val="nil"/>
              <w:tr2bl w:val="nil"/>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Yes</w:t>
            </w:r>
          </w:p>
        </w:tc>
      </w:tr>
      <w:tr>
        <w:trPr>
          <w:trHeight w:val="458" w:hRule="atLeast"/>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Random-effect variance components</w:t>
            </w:r>
          </w:p>
        </w:tc>
        <w:tc>
          <w:tcPr>
            <w:tcW w:w="3446" w:type="dxa"/>
            <w:tcBorders>
              <w:tl2br w:val="nil"/>
              <w:tr2bl w:val="nil"/>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p>
        </w:tc>
      </w:tr>
      <w:tr>
        <w:trPr>
          <w:trHeight w:val="458" w:hRule="atLeast"/>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Individual-level: in intercept</w:t>
            </w:r>
          </w:p>
        </w:tc>
        <w:tc>
          <w:tcPr>
            <w:tcW w:w="3446" w:type="dxa"/>
            <w:tcBorders>
              <w:tl2br w:val="nil"/>
              <w:tr2bl w:val="nil"/>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6.36</w:t>
            </w:r>
          </w:p>
        </w:tc>
      </w:tr>
      <w:tr>
        <w:trPr>
          <w:trHeight w:val="458" w:hRule="atLeast"/>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Individual-level: in slope</w:t>
            </w:r>
          </w:p>
        </w:tc>
        <w:tc>
          <w:tcPr>
            <w:tcW w:w="3446" w:type="dxa"/>
            <w:tcBorders>
              <w:tl2br w:val="nil"/>
              <w:tr2bl w:val="nil"/>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0.01</w:t>
            </w:r>
          </w:p>
        </w:tc>
      </w:tr>
      <w:tr>
        <w:trPr>
          <w:trHeight w:val="458" w:hRule="atLeast"/>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Residual</w:t>
            </w:r>
          </w:p>
        </w:tc>
        <w:tc>
          <w:tcPr>
            <w:tcW w:w="3446" w:type="dxa"/>
            <w:tcBorders>
              <w:tl2br w:val="nil"/>
              <w:tr2bl w:val="nil"/>
            </w:tcBorders>
            <w:shd w:val="clear" w:color="auto" w:fill="auto"/>
          </w:tcPr>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3.27</w:t>
            </w:r>
          </w:p>
        </w:tc>
      </w:tr>
      <w:tr>
        <w:trPr>
          <w:trHeight w:val="458" w:hRule="atLeast"/>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AIC </w:t>
            </w:r>
            <w:r>
              <w:rPr>
                <w:rFonts w:ascii="Times New Roman" w:hAnsi="Times New Roman" w:cs="Times New Roman"/>
                <w:color w:val="000000" w:themeColor="text1"/>
                <w:sz w:val="24"/>
                <w:vertAlign w:val="superscript"/>
                <w14:textFill>
                  <w14:solidFill>
                    <w14:schemeClr w14:val="tx1"/>
                  </w14:solidFill>
                </w14:textFill>
              </w:rPr>
              <w:t>b</w:t>
            </w:r>
          </w:p>
        </w:tc>
        <w:tc>
          <w:tcPr>
            <w:tcW w:w="3446"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229,515.19</w:t>
            </w:r>
          </w:p>
        </w:tc>
      </w:tr>
      <w:tr>
        <w:trPr>
          <w:trHeight w:val="458" w:hRule="atLeast"/>
          <w:jc w:val="center"/>
        </w:trPr>
        <w:tc>
          <w:tcPr>
            <w:tcW w:w="5889" w:type="dxa"/>
            <w:tcBorders>
              <w:tl2br w:val="nil"/>
              <w:tr2bl w:val="nil"/>
            </w:tcBorders>
            <w:shd w:val="clear" w:color="auto" w:fill="auto"/>
          </w:tcPr>
          <w:p>
            <w:pPr>
              <w:spacing w:line="240" w:lineRule="auto"/>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Number of respondents (Number of observations)</w:t>
            </w:r>
          </w:p>
        </w:tc>
        <w:tc>
          <w:tcPr>
            <w:tcW w:w="3446"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14,375 (49,467)</w:t>
            </w:r>
          </w:p>
        </w:tc>
      </w:tr>
    </w:tbl>
    <w:p>
      <w:pPr>
        <w:spacing w:after="0" w:line="240" w:lineRule="auto"/>
        <w:rPr>
          <w:rFonts w:ascii="Times New Roman Regular" w:hAnsi="Times New Roman Regular" w:cs="Times New Roman Regular"/>
          <w:szCs w:val="21"/>
        </w:rPr>
      </w:pPr>
      <w:r>
        <w:rPr>
          <w:rFonts w:ascii="Times New Roman Regular" w:hAnsi="Times New Roman Regular" w:cs="Times New Roman Regular"/>
          <w:szCs w:val="21"/>
          <w:vertAlign w:val="superscript"/>
        </w:rPr>
        <w:t>a</w:t>
      </w:r>
      <w:r>
        <w:rPr>
          <w:rFonts w:ascii="Times New Roman Regular" w:hAnsi="Times New Roman Regular" w:cs="Times New Roman Regular"/>
          <w:szCs w:val="21"/>
        </w:rPr>
        <w:t xml:space="preserve"> 95% CI, Confidence interval.</w:t>
      </w:r>
    </w:p>
    <w:p>
      <w:pPr>
        <w:spacing w:after="0" w:line="240" w:lineRule="auto"/>
        <w:rPr>
          <w:rFonts w:ascii="Times New Roman Regular" w:hAnsi="Times New Roman Regular" w:cs="Times New Roman Regular"/>
          <w:szCs w:val="21"/>
        </w:rPr>
      </w:pPr>
      <w:r>
        <w:rPr>
          <w:rFonts w:ascii="Times New Roman Regular" w:hAnsi="Times New Roman Regular" w:cs="Times New Roman Regular"/>
          <w:szCs w:val="21"/>
          <w:vertAlign w:val="superscript"/>
        </w:rPr>
        <w:t>b</w:t>
      </w:r>
      <w:r>
        <w:rPr>
          <w:rFonts w:ascii="Times New Roman Regular" w:hAnsi="Times New Roman Regular" w:cs="Times New Roman Regular"/>
          <w:szCs w:val="21"/>
        </w:rPr>
        <w:t xml:space="preserve"> AIC, Akaike information criterion.</w:t>
      </w:r>
    </w:p>
    <w:p>
      <w:pPr>
        <w:rPr>
          <w:rFonts w:ascii="Times New Roman Regular" w:hAnsi="Times New Roman Regular" w:cs="Times New Roman Regular"/>
          <w:sz w:val="22"/>
          <w:szCs w:val="22"/>
        </w:rPr>
        <w:sectPr>
          <w:pgSz w:w="11906" w:h="16838"/>
          <w:pgMar w:top="1440" w:right="1800" w:bottom="1440" w:left="1800" w:header="851" w:footer="992" w:gutter="0"/>
          <w:cols w:space="425" w:num="1"/>
          <w:docGrid w:type="lines" w:linePitch="312" w:charSpace="0"/>
        </w:sectPr>
      </w:pPr>
    </w:p>
    <w:p>
      <w:pPr>
        <w:rPr>
          <w:rFonts w:ascii="Times New Roman Regular" w:hAnsi="Times New Roman Regular" w:cs="Times New Roman Regular"/>
          <w:sz w:val="24"/>
        </w:rPr>
      </w:pPr>
      <w:r>
        <w:rPr>
          <w:rFonts w:ascii="Times New Roman Bold" w:hAnsi="Times New Roman Bold" w:cs="Times New Roman Bold"/>
          <w:b/>
          <w:bCs/>
          <w:sz w:val="24"/>
        </w:rPr>
        <w:t>Table S3</w:t>
      </w:r>
      <w:r>
        <w:rPr>
          <w:rFonts w:ascii="Times New Roman Regular" w:hAnsi="Times New Roman Regular" w:cs="Times New Roman Regular"/>
          <w:sz w:val="24"/>
        </w:rPr>
        <w:t xml:space="preserve"> Estimates from multilevel growth-curve models of hypertension, China Health and Nutrition Survey (1991-2015)</w:t>
      </w:r>
    </w:p>
    <w:tbl>
      <w:tblPr>
        <w:tblStyle w:val="7"/>
        <w:tblW w:w="1033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47"/>
        <w:gridCol w:w="2108"/>
        <w:gridCol w:w="2000"/>
        <w:gridCol w:w="188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77" w:hRule="atLeast"/>
          <w:jc w:val="center"/>
        </w:trPr>
        <w:tc>
          <w:tcPr>
            <w:tcW w:w="4347" w:type="dxa"/>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p>
        </w:tc>
        <w:tc>
          <w:tcPr>
            <w:tcW w:w="2108" w:type="dxa"/>
            <w:shd w:val="clear" w:color="auto" w:fill="auto"/>
          </w:tcPr>
          <w:p>
            <w:pPr>
              <w:spacing w:line="240" w:lineRule="auto"/>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Model 1</w:t>
            </w:r>
          </w:p>
        </w:tc>
        <w:tc>
          <w:tcPr>
            <w:tcW w:w="2000" w:type="dxa"/>
            <w:shd w:val="clear" w:color="auto" w:fill="auto"/>
          </w:tcPr>
          <w:p>
            <w:pPr>
              <w:spacing w:line="240" w:lineRule="auto"/>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Model 2</w:t>
            </w:r>
          </w:p>
        </w:tc>
        <w:tc>
          <w:tcPr>
            <w:tcW w:w="1881" w:type="dxa"/>
            <w:shd w:val="clear" w:color="auto" w:fill="auto"/>
          </w:tcPr>
          <w:p>
            <w:pPr>
              <w:spacing w:line="240" w:lineRule="auto"/>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Model 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77" w:hRule="atLeast"/>
          <w:jc w:val="center"/>
        </w:trPr>
        <w:tc>
          <w:tcPr>
            <w:tcW w:w="4347" w:type="dxa"/>
            <w:tcBorders>
              <w:bottom w:val="single" w:color="auto" w:sz="4" w:space="0"/>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p>
        </w:tc>
        <w:tc>
          <w:tcPr>
            <w:tcW w:w="2108"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Coefficient</w:t>
            </w:r>
          </w:p>
          <w:p>
            <w:pPr>
              <w:spacing w:line="240" w:lineRule="auto"/>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(S.E. </w:t>
            </w:r>
            <w:r>
              <w:rPr>
                <w:rFonts w:ascii="Times New Roman" w:hAnsi="Times New Roman" w:cs="Times New Roman"/>
                <w:color w:val="000000" w:themeColor="text1"/>
                <w:sz w:val="22"/>
                <w:szCs w:val="22"/>
                <w:vertAlign w:val="superscript"/>
                <w14:textFill>
                  <w14:solidFill>
                    <w14:schemeClr w14:val="tx1"/>
                  </w14:solidFill>
                </w14:textFill>
              </w:rPr>
              <w:t>a</w:t>
            </w:r>
            <w:r>
              <w:rPr>
                <w:rFonts w:ascii="Times New Roman" w:hAnsi="Times New Roman" w:cs="Times New Roman"/>
                <w:color w:val="000000" w:themeColor="text1"/>
                <w:sz w:val="22"/>
                <w:szCs w:val="22"/>
                <w14:textFill>
                  <w14:solidFill>
                    <w14:schemeClr w14:val="tx1"/>
                  </w14:solidFill>
                </w14:textFill>
              </w:rPr>
              <w:t>)</w:t>
            </w:r>
          </w:p>
        </w:tc>
        <w:tc>
          <w:tcPr>
            <w:tcW w:w="2000"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Coefficient</w:t>
            </w:r>
          </w:p>
          <w:p>
            <w:pPr>
              <w:spacing w:line="240" w:lineRule="auto"/>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(S.E. </w:t>
            </w:r>
            <w:r>
              <w:rPr>
                <w:rFonts w:ascii="Times New Roman" w:hAnsi="Times New Roman" w:cs="Times New Roman"/>
                <w:color w:val="000000" w:themeColor="text1"/>
                <w:sz w:val="22"/>
                <w:szCs w:val="22"/>
                <w:vertAlign w:val="superscript"/>
                <w14:textFill>
                  <w14:solidFill>
                    <w14:schemeClr w14:val="tx1"/>
                  </w14:solidFill>
                </w14:textFill>
              </w:rPr>
              <w:t>a</w:t>
            </w:r>
            <w:r>
              <w:rPr>
                <w:rFonts w:ascii="Times New Roman" w:hAnsi="Times New Roman" w:cs="Times New Roman"/>
                <w:color w:val="000000" w:themeColor="text1"/>
                <w:sz w:val="22"/>
                <w:szCs w:val="22"/>
                <w14:textFill>
                  <w14:solidFill>
                    <w14:schemeClr w14:val="tx1"/>
                  </w14:solidFill>
                </w14:textFill>
              </w:rPr>
              <w:t>)</w:t>
            </w:r>
          </w:p>
        </w:tc>
        <w:tc>
          <w:tcPr>
            <w:tcW w:w="1881"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Coefficient</w:t>
            </w:r>
          </w:p>
          <w:p>
            <w:pPr>
              <w:spacing w:line="240" w:lineRule="auto"/>
              <w:jc w:val="center"/>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(S.E. </w:t>
            </w:r>
            <w:r>
              <w:rPr>
                <w:rFonts w:ascii="Times New Roman" w:hAnsi="Times New Roman" w:cs="Times New Roman"/>
                <w:color w:val="000000" w:themeColor="text1"/>
                <w:sz w:val="22"/>
                <w:szCs w:val="22"/>
                <w:vertAlign w:val="superscript"/>
                <w14:textFill>
                  <w14:solidFill>
                    <w14:schemeClr w14:val="tx1"/>
                  </w14:solidFill>
                </w14:textFill>
              </w:rPr>
              <w:t>a</w:t>
            </w:r>
            <w:r>
              <w:rPr>
                <w:rFonts w:ascii="Times New Roman" w:hAnsi="Times New Roman" w:cs="Times New Roman"/>
                <w:color w:val="000000" w:themeColor="text1"/>
                <w:sz w:val="22"/>
                <w:szCs w:val="22"/>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op w:val="single" w:color="auto" w:sz="4" w:space="0"/>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b/>
                <w:bCs/>
                <w:color w:val="000000" w:themeColor="text1"/>
                <w:sz w:val="22"/>
                <w:szCs w:val="22"/>
                <w14:textFill>
                  <w14:solidFill>
                    <w14:schemeClr w14:val="tx1"/>
                  </w14:solidFill>
                </w14:textFill>
              </w:rPr>
              <w:t>Fixed effects</w:t>
            </w:r>
          </w:p>
        </w:tc>
        <w:tc>
          <w:tcPr>
            <w:tcW w:w="2108" w:type="dxa"/>
            <w:tcBorders>
              <w:top w:val="single" w:color="auto" w:sz="4" w:space="0"/>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c>
          <w:tcPr>
            <w:tcW w:w="2000" w:type="dxa"/>
            <w:tcBorders>
              <w:top w:val="single" w:color="auto" w:sz="4" w:space="0"/>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c>
          <w:tcPr>
            <w:tcW w:w="1881" w:type="dxa"/>
            <w:tcBorders>
              <w:top w:val="single" w:color="auto" w:sz="4" w:space="0"/>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Intercept</w:t>
            </w:r>
          </w:p>
        </w:tc>
        <w:tc>
          <w:tcPr>
            <w:tcW w:w="2108"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-3.118 (0.180)***</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-2.955 (0.188)***</w:t>
            </w: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-3.401 (0.183)***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Male (Reference=Female)</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0.868 (0.072)***</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0.547 (0.132)***</w:t>
            </w: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0.614 (0.127)***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Birth cohort</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0.042 (0.005)***</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0.028 (0.007)***</w:t>
            </w: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0.024 (0.006)***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Male*Birth cohort</w:t>
            </w:r>
          </w:p>
        </w:tc>
        <w:tc>
          <w:tcPr>
            <w:tcW w:w="2108"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0.025 (0.009)**</w:t>
            </w: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0.014 (0.008)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Body mass index (kg/m</w:t>
            </w:r>
            <w:r>
              <w:rPr>
                <w:rFonts w:ascii="Times New Roman" w:hAnsi="Times New Roman" w:cs="Times New Roman"/>
                <w:color w:val="000000" w:themeColor="text1"/>
                <w:sz w:val="22"/>
                <w:szCs w:val="22"/>
                <w:vertAlign w:val="superscript"/>
                <w14:textFill>
                  <w14:solidFill>
                    <w14:schemeClr w14:val="tx1"/>
                  </w14:solidFill>
                </w14:textFill>
              </w:rPr>
              <w:t>2</w:t>
            </w:r>
            <w:r>
              <w:rPr>
                <w:rFonts w:ascii="Times New Roman" w:hAnsi="Times New Roman" w:cs="Times New Roman"/>
                <w:color w:val="000000" w:themeColor="text1"/>
                <w:sz w:val="22"/>
                <w:szCs w:val="22"/>
                <w14:textFill>
                  <w14:solidFill>
                    <w14:schemeClr w14:val="tx1"/>
                  </w14:solidFill>
                </w14:textFill>
              </w:rPr>
              <w:t>)</w:t>
            </w:r>
          </w:p>
        </w:tc>
        <w:tc>
          <w:tcPr>
            <w:tcW w:w="2108"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1.107 (0.042)***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b/>
                <w:bCs/>
                <w:color w:val="000000" w:themeColor="text1"/>
                <w:sz w:val="22"/>
                <w:szCs w:val="22"/>
                <w14:textFill>
                  <w14:solidFill>
                    <w14:schemeClr w14:val="tx1"/>
                  </w14:solidFill>
                </w14:textFill>
              </w:rPr>
              <w:t>Control variables</w:t>
            </w:r>
          </w:p>
        </w:tc>
        <w:tc>
          <w:tcPr>
            <w:tcW w:w="2108"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Age</w:t>
            </w:r>
          </w:p>
        </w:tc>
        <w:tc>
          <w:tcPr>
            <w:tcW w:w="2108"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0.138 (0.009)***</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0.132 (0.009)***</w:t>
            </w: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0.112 (0.009)***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Age squared</w:t>
            </w:r>
          </w:p>
        </w:tc>
        <w:tc>
          <w:tcPr>
            <w:tcW w:w="2108"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0.001 (0.000)</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0.001 (0.000)</w:t>
            </w: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0.001 (0.000)**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Male*Age</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-0.035 (0.005)***</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-0.027 (0.006)***</w:t>
            </w: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-0.028 (0.005)***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Male*Age squared</w:t>
            </w:r>
          </w:p>
        </w:tc>
        <w:tc>
          <w:tcPr>
            <w:tcW w:w="2108"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-0.000 (0.000)</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-0.000 (0.000)</w:t>
            </w: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-0.000 (0.000)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Birth cohort*Age</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0.003 (0.001)***</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0.003 (0.001)***</w:t>
            </w: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0.003 (0.001)***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Birth cohort*Age squared</w:t>
            </w:r>
          </w:p>
        </w:tc>
        <w:tc>
          <w:tcPr>
            <w:tcW w:w="2108"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0.000 (0.000)</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0.000 (0.000)</w:t>
            </w: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0.000 (0.000)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Married (Reference=Not married)</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0.012 (0.083)</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0.013 (0.083)</w:t>
            </w: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-0.015 (0.081)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Urban residence (Reference=Rural residence)</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-0.091 (0.056)</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-0.091 (0.056)</w:t>
            </w: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-0.108 (0.053)*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Educational attainment (Reference=Primary education or below)</w:t>
            </w:r>
          </w:p>
        </w:tc>
        <w:tc>
          <w:tcPr>
            <w:tcW w:w="2108"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Lower secondary education</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-0.076 (0.054)</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-0.070 (0.054)</w:t>
            </w: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-0.082 (0.052)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Upper secondary education</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-0.210 (0.070)**</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-0.205 (0.070)**</w:t>
            </w: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-0.223 (0.068)**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Post-secondary education</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-0.391 (0.085)***</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-0.388 (0.085)***</w:t>
            </w: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-0.395 (0.082)***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Household income per capita (in thousands of Chinese yuan)</w:t>
            </w:r>
          </w:p>
        </w:tc>
        <w:tc>
          <w:tcPr>
            <w:tcW w:w="2108"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-0.000 (0.001)</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-0.000 (0.001)</w:t>
            </w: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-0.000 (0.001)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Employed (Reference=Not employed)</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-0.107 (0.046)*</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-0.108 (0.046)*</w:t>
            </w: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-0.093 (0.045)*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Ever smoking (Reference=Never smoking)</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0.023 (0.055)</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0.028 (0.055)</w:t>
            </w: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0.075 (0.054)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Frequent alcohol drinking (Reference=No frequent alcohol drinking)</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0.258 (0.054)***</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0.266 (0.054)***</w:t>
            </w: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0.274 (0.053)***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Loss to follow-up</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-0.007 (0.061)</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-0.008 (0.061)</w:t>
            </w: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0.003 (0.058)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Death</w:t>
            </w:r>
          </w:p>
        </w:tc>
        <w:tc>
          <w:tcPr>
            <w:tcW w:w="210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0.570 (0.173)***</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0.586 (0.172)***</w:t>
            </w:r>
          </w:p>
        </w:tc>
        <w:tc>
          <w:tcPr>
            <w:tcW w:w="1881"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0.631 (0.164)***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Provincial fixed effect</w:t>
            </w:r>
          </w:p>
        </w:tc>
        <w:tc>
          <w:tcPr>
            <w:tcW w:w="2108"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Yes</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Yes</w:t>
            </w:r>
          </w:p>
        </w:tc>
        <w:tc>
          <w:tcPr>
            <w:tcW w:w="1881" w:type="dxa"/>
            <w:tcBorders>
              <w:tl2br w:val="nil"/>
              <w:tr2bl w:val="nil"/>
            </w:tcBorders>
            <w:shd w:val="clear" w:color="auto" w:fill="auto"/>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8" w:hRule="atLeast"/>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 xml:space="preserve">AIC </w:t>
            </w:r>
            <w:r>
              <w:rPr>
                <w:rFonts w:ascii="Times New Roman" w:hAnsi="Times New Roman" w:cs="Times New Roman"/>
                <w:color w:val="000000" w:themeColor="text1"/>
                <w:sz w:val="22"/>
                <w:szCs w:val="22"/>
                <w:vertAlign w:val="superscript"/>
                <w14:textFill>
                  <w14:solidFill>
                    <w14:schemeClr w14:val="tx1"/>
                  </w14:solidFill>
                </w14:textFill>
              </w:rPr>
              <w:t>b</w:t>
            </w:r>
          </w:p>
        </w:tc>
        <w:tc>
          <w:tcPr>
            <w:tcW w:w="2108"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604,625.729</w:t>
            </w:r>
          </w:p>
        </w:tc>
        <w:tc>
          <w:tcPr>
            <w:tcW w:w="2000"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604,625.138</w:t>
            </w:r>
          </w:p>
        </w:tc>
        <w:tc>
          <w:tcPr>
            <w:tcW w:w="1881"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604,366.256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8" w:hRule="atLeast"/>
          <w:jc w:val="center"/>
        </w:trPr>
        <w:tc>
          <w:tcPr>
            <w:tcW w:w="4347" w:type="dxa"/>
            <w:tcBorders>
              <w:tl2br w:val="nil"/>
              <w:tr2bl w:val="nil"/>
            </w:tcBorders>
            <w:shd w:val="clear" w:color="auto" w:fill="auto"/>
          </w:tcPr>
          <w:p>
            <w:pPr>
              <w:spacing w:line="240" w:lineRule="auto"/>
              <w:jc w:val="lef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Number of respondents (Number of observations)</w:t>
            </w:r>
          </w:p>
        </w:tc>
        <w:tc>
          <w:tcPr>
            <w:tcW w:w="2108"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14,375 (49,467)</w:t>
            </w:r>
          </w:p>
        </w:tc>
        <w:tc>
          <w:tcPr>
            <w:tcW w:w="2000"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14,375 (49,467)</w:t>
            </w:r>
          </w:p>
        </w:tc>
        <w:tc>
          <w:tcPr>
            <w:tcW w:w="1881"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 w:val="22"/>
                <w:szCs w:val="22"/>
                <w14:textFill>
                  <w14:solidFill>
                    <w14:schemeClr w14:val="tx1"/>
                  </w14:solidFill>
                </w14:textFill>
              </w:rPr>
            </w:pPr>
            <w:r>
              <w:rPr>
                <w:rFonts w:ascii="Times New Roman" w:hAnsi="Times New Roman" w:cs="Times New Roman"/>
                <w:color w:val="000000" w:themeColor="text1"/>
                <w:sz w:val="22"/>
                <w:szCs w:val="22"/>
                <w14:textFill>
                  <w14:solidFill>
                    <w14:schemeClr w14:val="tx1"/>
                  </w14:solidFill>
                </w14:textFill>
              </w:rPr>
              <w:t>14,375 (49,467)</w:t>
            </w:r>
          </w:p>
        </w:tc>
      </w:tr>
    </w:tbl>
    <w:p>
      <w:pPr>
        <w:spacing w:after="0" w:line="240" w:lineRule="auto"/>
        <w:rPr>
          <w:rFonts w:ascii="Times New Roman Regular" w:hAnsi="Times New Roman Regular" w:cs="Times New Roman Regular"/>
          <w:szCs w:val="21"/>
        </w:rPr>
      </w:pPr>
      <w:r>
        <w:rPr>
          <w:rFonts w:ascii="Times New Roman Regular" w:hAnsi="Times New Roman Regular" w:cs="Times New Roman Regular"/>
          <w:szCs w:val="21"/>
          <w:vertAlign w:val="superscript"/>
        </w:rPr>
        <w:t>a</w:t>
      </w:r>
      <w:r>
        <w:rPr>
          <w:rFonts w:ascii="Times New Roman Regular" w:hAnsi="Times New Roman Regular" w:cs="Times New Roman Regular"/>
          <w:szCs w:val="21"/>
        </w:rPr>
        <w:t xml:space="preserve"> S.E., Standard error.</w:t>
      </w:r>
    </w:p>
    <w:p>
      <w:pPr>
        <w:spacing w:after="0" w:line="240" w:lineRule="auto"/>
        <w:rPr>
          <w:rFonts w:ascii="Times New Roman Regular" w:hAnsi="Times New Roman Regular" w:cs="Times New Roman Regular"/>
          <w:szCs w:val="21"/>
        </w:rPr>
      </w:pPr>
      <w:r>
        <w:rPr>
          <w:rFonts w:ascii="Times New Roman Regular" w:hAnsi="Times New Roman Regular" w:cs="Times New Roman Regular"/>
          <w:szCs w:val="21"/>
          <w:vertAlign w:val="superscript"/>
        </w:rPr>
        <w:t>b</w:t>
      </w:r>
      <w:r>
        <w:rPr>
          <w:rFonts w:ascii="Times New Roman Regular" w:hAnsi="Times New Roman Regular" w:cs="Times New Roman Regular"/>
          <w:szCs w:val="21"/>
        </w:rPr>
        <w:t xml:space="preserve"> AIC, Akaike information criterion.</w:t>
      </w:r>
    </w:p>
    <w:p>
      <w:pPr>
        <w:rPr>
          <w:rFonts w:ascii="Times New Roman Regular" w:hAnsi="Times New Roman Regular" w:cs="Times New Roman Regular"/>
          <w:sz w:val="22"/>
          <w:szCs w:val="22"/>
        </w:rPr>
        <w:sectPr>
          <w:pgSz w:w="11906" w:h="16838"/>
          <w:pgMar w:top="1440" w:right="1800" w:bottom="1440" w:left="1800" w:header="851" w:footer="992" w:gutter="0"/>
          <w:cols w:space="425" w:num="1"/>
          <w:docGrid w:type="lines" w:linePitch="312" w:charSpace="0"/>
        </w:sectPr>
      </w:pPr>
    </w:p>
    <w:p>
      <w:pPr>
        <w:rPr>
          <w:rFonts w:ascii="Times New Roman Regular" w:hAnsi="Times New Roman Regular" w:cs="Times New Roman Regular"/>
          <w:sz w:val="24"/>
        </w:rPr>
      </w:pPr>
      <w:r>
        <w:rPr>
          <w:rFonts w:ascii="Times New Roman Bold" w:hAnsi="Times New Roman Bold" w:cs="Times New Roman Bold"/>
          <w:b/>
          <w:bCs/>
          <w:sz w:val="24"/>
        </w:rPr>
        <w:t>Table S4</w:t>
      </w:r>
      <w:r>
        <w:rPr>
          <w:rFonts w:ascii="Times New Roman Regular" w:hAnsi="Times New Roman Regular" w:cs="Times New Roman Regular"/>
          <w:sz w:val="24"/>
        </w:rPr>
        <w:t xml:space="preserve"> Estimates from multilevel growth-curve models of systolic/diastolic blood pressure (SBP/DBP), excluding people who had antihypertensive drugs, China Health and Nutrition Survey (1991-2015)</w:t>
      </w:r>
    </w:p>
    <w:tbl>
      <w:tblPr>
        <w:tblStyle w:val="7"/>
        <w:tblW w:w="15834"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95"/>
        <w:gridCol w:w="2178"/>
        <w:gridCol w:w="2000"/>
        <w:gridCol w:w="2022"/>
        <w:gridCol w:w="1934"/>
        <w:gridCol w:w="1977"/>
        <w:gridCol w:w="192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77" w:hRule="atLeast"/>
          <w:jc w:val="center"/>
        </w:trPr>
        <w:tc>
          <w:tcPr>
            <w:tcW w:w="3795" w:type="dxa"/>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p>
        </w:tc>
        <w:tc>
          <w:tcPr>
            <w:tcW w:w="6200" w:type="dxa"/>
            <w:gridSpan w:val="3"/>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SBP</w:t>
            </w:r>
          </w:p>
        </w:tc>
        <w:tc>
          <w:tcPr>
            <w:tcW w:w="5839" w:type="dxa"/>
            <w:gridSpan w:val="3"/>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DBP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77" w:hRule="atLeast"/>
          <w:jc w:val="center"/>
        </w:trPr>
        <w:tc>
          <w:tcPr>
            <w:tcW w:w="3795" w:type="dxa"/>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p>
        </w:tc>
        <w:tc>
          <w:tcPr>
            <w:tcW w:w="2178"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1</w:t>
            </w:r>
          </w:p>
        </w:tc>
        <w:tc>
          <w:tcPr>
            <w:tcW w:w="2000"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2</w:t>
            </w:r>
          </w:p>
        </w:tc>
        <w:tc>
          <w:tcPr>
            <w:tcW w:w="2022"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3</w:t>
            </w:r>
          </w:p>
        </w:tc>
        <w:tc>
          <w:tcPr>
            <w:tcW w:w="1934"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1</w:t>
            </w:r>
          </w:p>
        </w:tc>
        <w:tc>
          <w:tcPr>
            <w:tcW w:w="1977"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2</w:t>
            </w:r>
          </w:p>
        </w:tc>
        <w:tc>
          <w:tcPr>
            <w:tcW w:w="1928"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77" w:hRule="atLeast"/>
          <w:jc w:val="center"/>
        </w:trPr>
        <w:tc>
          <w:tcPr>
            <w:tcW w:w="3795" w:type="dxa"/>
            <w:tcBorders>
              <w:bottom w:val="single" w:color="auto" w:sz="4" w:space="0"/>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p>
        </w:tc>
        <w:tc>
          <w:tcPr>
            <w:tcW w:w="2178"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c>
          <w:tcPr>
            <w:tcW w:w="2000"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c>
          <w:tcPr>
            <w:tcW w:w="2022"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c>
          <w:tcPr>
            <w:tcW w:w="1934"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c>
          <w:tcPr>
            <w:tcW w:w="1977"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c>
          <w:tcPr>
            <w:tcW w:w="1928"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op w:val="single" w:color="auto" w:sz="4" w:space="0"/>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Fixed effects</w:t>
            </w:r>
          </w:p>
        </w:tc>
        <w:tc>
          <w:tcPr>
            <w:tcW w:w="2178" w:type="dxa"/>
            <w:tcBorders>
              <w:top w:val="single" w:color="auto" w:sz="4" w:space="0"/>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00" w:type="dxa"/>
            <w:tcBorders>
              <w:top w:val="single" w:color="auto" w:sz="4" w:space="0"/>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22" w:type="dxa"/>
            <w:tcBorders>
              <w:top w:val="single" w:color="auto" w:sz="4" w:space="0"/>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4" w:type="dxa"/>
            <w:tcBorders>
              <w:top w:val="single" w:color="auto" w:sz="4" w:space="0"/>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77" w:type="dxa"/>
            <w:tcBorders>
              <w:top w:val="single" w:color="auto" w:sz="4" w:space="0"/>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28" w:type="dxa"/>
            <w:tcBorders>
              <w:top w:val="single" w:color="auto" w:sz="4" w:space="0"/>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Intercept</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110.962 (0.662)***</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111.763 (0.682)***</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111.440 (0.660)***</w:t>
            </w: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72.145 (0.458)***</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72.652 (0.471)***</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72.413 (0.455)***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Male (Reference=Female)</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4.926 (0.248)***</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3.165 (0.436)***</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3.445 (0.419)***</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3.784 (0.173)***</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2.662 (0.301)***</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2.859 (0.289)***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Birth cohort</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0.377 (0.016)***</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0.310 (0.021)***</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0.262 (0.020)***</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0.223 (0.011)***</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0.180 (0.014)***</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0.146 (0.014)***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Male*Birth cohort</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0.139 (0.028)***</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0.097 (0.027)***</w:t>
            </w: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0.089 (0.020)***</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0.059 (0.019)**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Body mass index (kg/m</w:t>
            </w:r>
            <w:r>
              <w:rPr>
                <w:rFonts w:ascii="Times New Roman" w:hAnsi="Times New Roman" w:cs="Times New Roman"/>
                <w:color w:val="000000" w:themeColor="text1"/>
                <w:szCs w:val="21"/>
                <w:vertAlign w:val="superscript"/>
                <w14:textFill>
                  <w14:solidFill>
                    <w14:schemeClr w14:val="tx1"/>
                  </w14:solidFill>
                </w14:textFill>
              </w:rPr>
              <w:t>2</w:t>
            </w:r>
            <w:r>
              <w:rPr>
                <w:rFonts w:ascii="Times New Roman" w:hAnsi="Times New Roman" w:cs="Times New Roman"/>
                <w:color w:val="000000" w:themeColor="text1"/>
                <w:szCs w:val="21"/>
                <w14:textFill>
                  <w14:solidFill>
                    <w14:schemeClr w14:val="tx1"/>
                  </w14:solidFill>
                </w14:textFill>
              </w:rPr>
              <w:t>)</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0.861 (0.022)***</w:t>
            </w: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0.617 (0.015)***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Control variables</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Age</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0.727 (0.025)***</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0.708 (0.025)***</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0.612 (0.025)***</w:t>
            </w: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0.434 (0.017)***</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0.421 (0.017)***</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0.351 (0.017)***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Age squared</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0.012 (0.001)***</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0.012 (0.001)***</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0.013 (0.001)***</w:t>
            </w: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(0.001)***</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(0.001)***</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Male*Age</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-0.133 (0.014)***</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-0.093 (0.017)***</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-0.094 (0.016)***</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-0.030 (0.009)**</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(0.011)</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Male*Age squared</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(0.001)***</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(0.001)***</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(0.001)**</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(0.001)***</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(0.001)***</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-0.002 (0.001)***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Birth cohort*Age</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0.010 (0.002)***</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0.010 (0.002)***</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0.009 (0.002)***</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(0.001)*</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(0.001)*</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Birth cohort*Age squared</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Married (Reference=Not married)</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-0.339 (0.257)</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-0.346 (0.257)</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-0.473 (0.252)</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-0.305 (0.179)</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-0.309 (0.179)</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-0.403 (0.174)*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Urban residence (Reference=Rural residence)</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-0.545 (0.195)**</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-0.543 (0.195)**</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-0.654 (0.186)***</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-0.244 (0.133)</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-0.243 (0.133)</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-0.316 (0.126)*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Educational attainment (Reference=Primary education or below)</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-0.178 (0.129)</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-0.156 (0.129)</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-0.169 (0.124)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Lower secondary education</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-0.555 (0.186)**</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-0.521 (0.186)**</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-0.551 (0.180)**</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-0.178 (0.129)</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-0.156 (0.129)</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-0.169 (0.124)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Upper secondary education</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-0.712 (0.242)**</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-0.689 (0.242)**</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-0.688 (0.234)**</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-0.387 (0.167)*</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-0.373 (0.167)*</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-0.351 (0.161)*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Post-secondary education</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-1.871 (0.296)***</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-1.851 (0.295)***</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-1.738 (0.285)***</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-0.958 (0.204)***</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-0.945 (0.204)***</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-0.837 (0.197)***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Household income per capita (in thousands of Chinese yuan)</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(0.004)</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(0.004)</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(0.004)</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0.001 (0.003)</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0.001 (0.003)</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0.001 (0.002)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Employed (Reference=Not employed)</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0.142 (0.160)</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0.132 (0.160)</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0.218 (0.158)</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0.137 (0.114)</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0.130 (0.114)</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0.183 (0.112)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Ever smoking (Reference=Never smoking)</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-0.033 (0.196)</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0.001 (0.196)</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0.231 (0.192)</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-0.063 (0.138)</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-0.040 (0.138)</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0.125 (0.135)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Frequent alcohol drinking (Reference=No frequent alcohol drinking)</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1.163 (0.197)***</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1.206 (0.197)***</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1.201 (0.194)***</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0.723 (0.139)***</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0.752 (0.140)***</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0.757 (0.137)***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Loss to follow-up</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-0.128 (0.203)</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-0.131 (0.203)</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-0.132 (0.193)</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0.216 (0.138)</w:t>
            </w:r>
          </w:p>
        </w:tc>
        <w:tc>
          <w:tcPr>
            <w:tcW w:w="1977"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0.214 (0.138)</w:t>
            </w:r>
          </w:p>
        </w:tc>
        <w:tc>
          <w:tcPr>
            <w:tcW w:w="192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0.209 (0.131)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Death</w:t>
            </w:r>
          </w:p>
        </w:tc>
        <w:tc>
          <w:tcPr>
            <w:tcW w:w="217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2.725 (0.597)***</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2.810 (0.597)***</w:t>
            </w:r>
          </w:p>
        </w:tc>
        <w:tc>
          <w:tcPr>
            <w:tcW w:w="2022"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3.089 (0.569)***</w:t>
            </w:r>
          </w:p>
        </w:tc>
        <w:tc>
          <w:tcPr>
            <w:tcW w:w="193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0.923 (0.407)*</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0.976 (0.407)*</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1.197 (0.387)**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Provincial fixed effect</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8" w:hRule="atLeast"/>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Random-effect variance components</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8" w:hRule="atLeast"/>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Individual-level: in intercept</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53.064</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52.871</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44.583</w:t>
            </w: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23.680</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23.616</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19.469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8" w:hRule="atLeast"/>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Individual-level: in slope</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0.110</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0.110</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0.102</w:t>
            </w: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0.023</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0.023</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8" w:hRule="atLeast"/>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Residual</w:t>
            </w:r>
          </w:p>
        </w:tc>
        <w:tc>
          <w:tcPr>
            <w:tcW w:w="217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118.359</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118.319</w:t>
            </w:r>
          </w:p>
        </w:tc>
        <w:tc>
          <w:tcPr>
            <w:tcW w:w="2022"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117.810</w:t>
            </w:r>
          </w:p>
        </w:tc>
        <w:tc>
          <w:tcPr>
            <w:tcW w:w="193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62.686</w:t>
            </w:r>
          </w:p>
        </w:tc>
        <w:tc>
          <w:tcPr>
            <w:tcW w:w="1977"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62.669</w:t>
            </w:r>
          </w:p>
        </w:tc>
        <w:tc>
          <w:tcPr>
            <w:tcW w:w="192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62.402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8" w:hRule="atLeast"/>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AIC </w:t>
            </w:r>
            <w:r>
              <w:rPr>
                <w:rFonts w:ascii="Times New Roman" w:hAnsi="Times New Roman" w:cs="Times New Roman"/>
                <w:color w:val="000000" w:themeColor="text1"/>
                <w:szCs w:val="21"/>
                <w:vertAlign w:val="superscript"/>
                <w14:textFill>
                  <w14:solidFill>
                    <w14:schemeClr w14:val="tx1"/>
                  </w14:solidFill>
                </w14:textFill>
              </w:rPr>
              <w:t>b</w:t>
            </w:r>
          </w:p>
        </w:tc>
        <w:tc>
          <w:tcPr>
            <w:tcW w:w="2178"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371,793.457</w:t>
            </w:r>
          </w:p>
        </w:tc>
        <w:tc>
          <w:tcPr>
            <w:tcW w:w="2000"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371,771.339</w:t>
            </w:r>
          </w:p>
        </w:tc>
        <w:tc>
          <w:tcPr>
            <w:tcW w:w="2022"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370,308.197</w:t>
            </w:r>
          </w:p>
        </w:tc>
        <w:tc>
          <w:tcPr>
            <w:tcW w:w="1934"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339,309.115</w:t>
            </w:r>
          </w:p>
        </w:tc>
        <w:tc>
          <w:tcPr>
            <w:tcW w:w="1977"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339,290.400</w:t>
            </w:r>
          </w:p>
        </w:tc>
        <w:tc>
          <w:tcPr>
            <w:tcW w:w="1928"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337,743.923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8" w:hRule="atLeast"/>
          <w:jc w:val="center"/>
        </w:trPr>
        <w:tc>
          <w:tcPr>
            <w:tcW w:w="3795"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Number of respondents (Number of observations)</w:t>
            </w:r>
          </w:p>
        </w:tc>
        <w:tc>
          <w:tcPr>
            <w:tcW w:w="2178"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13,872 (46,973)</w:t>
            </w:r>
          </w:p>
        </w:tc>
        <w:tc>
          <w:tcPr>
            <w:tcW w:w="2000"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13,872 (46,973)</w:t>
            </w:r>
          </w:p>
        </w:tc>
        <w:tc>
          <w:tcPr>
            <w:tcW w:w="2022"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13,872 (46,973)</w:t>
            </w:r>
          </w:p>
        </w:tc>
        <w:tc>
          <w:tcPr>
            <w:tcW w:w="1934"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13,872 (46,973)</w:t>
            </w:r>
          </w:p>
        </w:tc>
        <w:tc>
          <w:tcPr>
            <w:tcW w:w="1977"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13,872 (46,973)</w:t>
            </w:r>
          </w:p>
        </w:tc>
        <w:tc>
          <w:tcPr>
            <w:tcW w:w="1928"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13,872 (46,973)</w:t>
            </w:r>
          </w:p>
        </w:tc>
      </w:tr>
    </w:tbl>
    <w:p>
      <w:pPr>
        <w:spacing w:after="0" w:line="240" w:lineRule="auto"/>
        <w:rPr>
          <w:rFonts w:ascii="Times New Roman Regular" w:hAnsi="Times New Roman Regular" w:cs="Times New Roman Regular"/>
          <w:sz w:val="24"/>
        </w:rPr>
      </w:pPr>
      <w:r>
        <w:rPr>
          <w:rFonts w:ascii="Times New Roman Regular" w:hAnsi="Times New Roman Regular" w:cs="Times New Roman Regular"/>
          <w:sz w:val="22"/>
          <w:szCs w:val="22"/>
          <w:vertAlign w:val="superscript"/>
        </w:rPr>
        <w:t>a</w:t>
      </w:r>
      <w:r>
        <w:rPr>
          <w:rFonts w:ascii="Times New Roman Regular" w:hAnsi="Times New Roman Regular" w:cs="Times New Roman Regular"/>
          <w:sz w:val="22"/>
          <w:szCs w:val="22"/>
        </w:rPr>
        <w:t xml:space="preserve"> S.E., Standard error.</w:t>
      </w:r>
    </w:p>
    <w:p>
      <w:pPr>
        <w:spacing w:after="0" w:line="240" w:lineRule="auto"/>
        <w:rPr>
          <w:rFonts w:ascii="Times New Roman Regular" w:hAnsi="Times New Roman Regular" w:cs="Times New Roman Regular"/>
          <w:sz w:val="22"/>
          <w:szCs w:val="22"/>
        </w:rPr>
        <w:sectPr>
          <w:pgSz w:w="16838" w:h="11906" w:orient="landscape"/>
          <w:pgMar w:top="1800" w:right="1440" w:bottom="1800" w:left="1440" w:header="851" w:footer="992" w:gutter="0"/>
          <w:cols w:space="425" w:num="1"/>
          <w:docGrid w:type="lines" w:linePitch="312" w:charSpace="0"/>
        </w:sectPr>
      </w:pPr>
      <w:r>
        <w:rPr>
          <w:rFonts w:ascii="Times New Roman Regular" w:hAnsi="Times New Roman Regular" w:cs="Times New Roman Regular"/>
          <w:sz w:val="22"/>
          <w:szCs w:val="22"/>
          <w:vertAlign w:val="superscript"/>
        </w:rPr>
        <w:t>b</w:t>
      </w:r>
      <w:r>
        <w:rPr>
          <w:rFonts w:ascii="Times New Roman Regular" w:hAnsi="Times New Roman Regular" w:cs="Times New Roman Regular"/>
          <w:sz w:val="22"/>
          <w:szCs w:val="22"/>
        </w:rPr>
        <w:t xml:space="preserve"> AIC, Akaike information criterion.</w:t>
      </w:r>
    </w:p>
    <w:p>
      <w:pPr>
        <w:rPr>
          <w:rFonts w:ascii="Times New Roman Regular" w:hAnsi="Times New Roman Regular" w:cs="Times New Roman Regular"/>
          <w:sz w:val="24"/>
        </w:rPr>
      </w:pPr>
      <w:r>
        <w:rPr>
          <w:rFonts w:ascii="Times New Roman Bold" w:hAnsi="Times New Roman Bold" w:cs="Times New Roman Bold"/>
          <w:b/>
          <w:bCs/>
          <w:sz w:val="24"/>
        </w:rPr>
        <w:t>Table S5</w:t>
      </w:r>
      <w:r>
        <w:rPr>
          <w:rFonts w:ascii="Times New Roman Regular" w:hAnsi="Times New Roman Regular" w:cs="Times New Roman Regular"/>
          <w:sz w:val="24"/>
        </w:rPr>
        <w:t xml:space="preserve"> Estimates from multilevel growth-curve models of systolic/diastolic blood pressure (SBP/DBP), using the multiply imputed datasets, China Health and Nutrition Survey (1991-2015)</w:t>
      </w:r>
    </w:p>
    <w:tbl>
      <w:tblPr>
        <w:tblStyle w:val="7"/>
        <w:tblW w:w="15672"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44"/>
        <w:gridCol w:w="2124"/>
        <w:gridCol w:w="1969"/>
        <w:gridCol w:w="2000"/>
        <w:gridCol w:w="1938"/>
        <w:gridCol w:w="1939"/>
        <w:gridCol w:w="1958"/>
      </w:tblGrid>
      <w:tr>
        <w:trPr>
          <w:trHeight w:val="377" w:hRule="atLeast"/>
          <w:jc w:val="center"/>
        </w:trPr>
        <w:tc>
          <w:tcPr>
            <w:tcW w:w="3744" w:type="dxa"/>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p>
        </w:tc>
        <w:tc>
          <w:tcPr>
            <w:tcW w:w="6093" w:type="dxa"/>
            <w:gridSpan w:val="3"/>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SBP</w:t>
            </w:r>
          </w:p>
        </w:tc>
        <w:tc>
          <w:tcPr>
            <w:tcW w:w="5835" w:type="dxa"/>
            <w:gridSpan w:val="3"/>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DBP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77" w:hRule="atLeast"/>
          <w:jc w:val="center"/>
        </w:trPr>
        <w:tc>
          <w:tcPr>
            <w:tcW w:w="3744" w:type="dxa"/>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p>
        </w:tc>
        <w:tc>
          <w:tcPr>
            <w:tcW w:w="2124"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1</w:t>
            </w:r>
          </w:p>
        </w:tc>
        <w:tc>
          <w:tcPr>
            <w:tcW w:w="1969"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2</w:t>
            </w:r>
          </w:p>
        </w:tc>
        <w:tc>
          <w:tcPr>
            <w:tcW w:w="2000"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3</w:t>
            </w:r>
          </w:p>
        </w:tc>
        <w:tc>
          <w:tcPr>
            <w:tcW w:w="1938"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1</w:t>
            </w:r>
          </w:p>
        </w:tc>
        <w:tc>
          <w:tcPr>
            <w:tcW w:w="1939"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2</w:t>
            </w:r>
          </w:p>
        </w:tc>
        <w:tc>
          <w:tcPr>
            <w:tcW w:w="1958" w:type="dxa"/>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Model 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77" w:hRule="atLeast"/>
          <w:jc w:val="center"/>
        </w:trPr>
        <w:tc>
          <w:tcPr>
            <w:tcW w:w="3744" w:type="dxa"/>
            <w:tcBorders>
              <w:bottom w:val="single" w:color="auto" w:sz="4" w:space="0"/>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p>
        </w:tc>
        <w:tc>
          <w:tcPr>
            <w:tcW w:w="2124"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c>
          <w:tcPr>
            <w:tcW w:w="1969"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c>
          <w:tcPr>
            <w:tcW w:w="2000"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c>
          <w:tcPr>
            <w:tcW w:w="1938"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c>
          <w:tcPr>
            <w:tcW w:w="1939"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c>
          <w:tcPr>
            <w:tcW w:w="1958" w:type="dxa"/>
            <w:tcBorders>
              <w:bottom w:val="single" w:color="auto" w:sz="4" w:space="0"/>
            </w:tcBorders>
            <w:shd w:val="clear" w:color="auto" w:fill="auto"/>
          </w:tcPr>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Coefficient</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(S.E. </w:t>
            </w:r>
            <w:r>
              <w:rPr>
                <w:rFonts w:ascii="Times New Roman" w:hAnsi="Times New Roman" w:cs="Times New Roman"/>
                <w:color w:val="000000" w:themeColor="text1"/>
                <w:szCs w:val="21"/>
                <w:vertAlign w:val="superscript"/>
                <w14:textFill>
                  <w14:solidFill>
                    <w14:schemeClr w14:val="tx1"/>
                  </w14:solidFill>
                </w14:textFill>
              </w:rPr>
              <w:t>a</w:t>
            </w:r>
            <w:r>
              <w:rPr>
                <w:rFonts w:ascii="Times New Roman" w:hAnsi="Times New Roman" w:cs="Times New Roman"/>
                <w:color w:val="000000" w:themeColor="text1"/>
                <w:szCs w:val="21"/>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Fixed effects</w:t>
            </w:r>
          </w:p>
        </w:tc>
        <w:tc>
          <w:tcPr>
            <w:tcW w:w="212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Intercept</w:t>
            </w:r>
          </w:p>
        </w:tc>
        <w:tc>
          <w:tcPr>
            <w:tcW w:w="212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117.791 (0.479)***</w:t>
            </w: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118.786 (0.511)***</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117.797 (0.500)***</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78.879 (0.340)***</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79.544 (0.350)***</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78.883 (0.339)***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Male (Reference=Female)</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4.980 (0.229)***</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2.987 (0.439)***</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3.311 (0.410)***</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3.990 (0.156)***</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2.658 (0.325)***</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2.879 (0.307)***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Birth cohort</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0.371 (0.016)***</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0.302 (0.023)***</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0.245 (0.022)***</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0.217 (0.011)***</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0.171 (0.016)***</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0.132 (0.016)***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Male*Birth cohort</w:t>
            </w:r>
          </w:p>
        </w:tc>
        <w:tc>
          <w:tcPr>
            <w:tcW w:w="212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0.142 (0.029)***</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0.089 (0.028)**</w:t>
            </w:r>
          </w:p>
        </w:tc>
        <w:tc>
          <w:tcPr>
            <w:tcW w:w="193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0.095 (0.021)***</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0.058 (0.020)**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Body mass index (kg/m</w:t>
            </w:r>
            <w:r>
              <w:rPr>
                <w:rFonts w:ascii="Times New Roman" w:hAnsi="Times New Roman" w:cs="Times New Roman"/>
                <w:color w:val="000000" w:themeColor="text1"/>
                <w:szCs w:val="21"/>
                <w:vertAlign w:val="superscript"/>
                <w14:textFill>
                  <w14:solidFill>
                    <w14:schemeClr w14:val="tx1"/>
                  </w14:solidFill>
                </w14:textFill>
              </w:rPr>
              <w:t>2</w:t>
            </w:r>
            <w:r>
              <w:rPr>
                <w:rFonts w:ascii="Times New Roman" w:hAnsi="Times New Roman" w:cs="Times New Roman"/>
                <w:color w:val="000000" w:themeColor="text1"/>
                <w:szCs w:val="21"/>
                <w14:textFill>
                  <w14:solidFill>
                    <w14:schemeClr w14:val="tx1"/>
                  </w14:solidFill>
                </w14:textFill>
              </w:rPr>
              <w:t>)</w:t>
            </w:r>
          </w:p>
        </w:tc>
        <w:tc>
          <w:tcPr>
            <w:tcW w:w="212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1.046 (0.021)***</w:t>
            </w:r>
          </w:p>
        </w:tc>
        <w:tc>
          <w:tcPr>
            <w:tcW w:w="193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0.727 (0.014)***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Control variables</w:t>
            </w:r>
          </w:p>
        </w:tc>
        <w:tc>
          <w:tcPr>
            <w:tcW w:w="212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5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Age</w:t>
            </w:r>
          </w:p>
        </w:tc>
        <w:tc>
          <w:tcPr>
            <w:tcW w:w="212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0.807 (0.027)***</w:t>
            </w: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0.785 (0.027)***</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0.668 (0.026)***</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0.471 (0.017)***</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0.456 (0.017)***</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0.375 (0.016)***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Age squared</w:t>
            </w:r>
          </w:p>
        </w:tc>
        <w:tc>
          <w:tcPr>
            <w:tcW w:w="212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0.013 (0.001)***</w:t>
            </w: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0.012 (0.001)***</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0.014 (0.001)***</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(0.001)***</w:t>
            </w:r>
          </w:p>
        </w:tc>
        <w:tc>
          <w:tcPr>
            <w:tcW w:w="193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(0.001)***</w:t>
            </w:r>
          </w:p>
        </w:tc>
        <w:tc>
          <w:tcPr>
            <w:tcW w:w="195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Male*Age</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-0.140 (0.016)***</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-0.097 (0.019)***</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-0.102 (0.018)***</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-0.034 (0.011)**</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(0.013)</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-0.008 (0.012)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Male*Age squared</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(0.001)***</w:t>
            </w: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(0.001)***</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-0.002 (0.001)*</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(0.001)***</w:t>
            </w:r>
          </w:p>
        </w:tc>
        <w:tc>
          <w:tcPr>
            <w:tcW w:w="193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 (0.001)***</w:t>
            </w:r>
          </w:p>
        </w:tc>
        <w:tc>
          <w:tcPr>
            <w:tcW w:w="195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-0.002 (0.001)***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Birth cohort*Age</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0.008 (0.002)***</w:t>
            </w: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0.008 (0.002)***</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0.007 (0.002)**</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0.001 (0.001)</w:t>
            </w:r>
          </w:p>
        </w:tc>
        <w:tc>
          <w:tcPr>
            <w:tcW w:w="193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0.001 (0.001)</w:t>
            </w:r>
          </w:p>
        </w:tc>
        <w:tc>
          <w:tcPr>
            <w:tcW w:w="195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0.001 (0.001)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Birth cohort*Age squared</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c>
          <w:tcPr>
            <w:tcW w:w="193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c>
          <w:tcPr>
            <w:tcW w:w="195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Married (Reference=Not married)</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-0.136 (0.293)</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-0.198 (0.291)</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-0.422 (0.286)</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-0.034 (0.011)**</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-0.004 (0.013)</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-0.008 (0.012)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Urban residence (Reference=Rural residence)</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-0.664 (0.176)***</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-0.675 (0.176)***</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-0.820 (0.168)***</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-0.462 (0.120)***</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-0.469 (0.120)***</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-0.558 (0.113)***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Educational attainment (Reference=Primary education or below)</w:t>
            </w:r>
          </w:p>
        </w:tc>
        <w:tc>
          <w:tcPr>
            <w:tcW w:w="212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3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c>
          <w:tcPr>
            <w:tcW w:w="195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Lower secondary education</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-0.410 (0.199)*</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-0.374 (0.198)</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-0.383 (0.196)</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-0.127 (0.144)</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-0.103 (0.144)</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-0.107 (0.144)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Upper secondary education</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-0.535 (0.232)*</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-0.508 (0.233)*</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-0.414 (0.220)</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-0.477 (0.162)***</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-0.459 (0.162)**</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-0.384 (0.156)*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Post-secondary education</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-2.192 (0.286)***</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-2.714 (0.285)***</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-1.996 (0.274)***</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-1.213 (0.196)***</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-1.201 (0.196)***</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-1.057 (0.186)***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Household income per capita (in thousands of Chinese yuan)</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-0.006 (0.004)</w:t>
            </w: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-0.006 (0.004)</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-0.007 (0.004)*</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(0.002)</w:t>
            </w:r>
          </w:p>
        </w:tc>
        <w:tc>
          <w:tcPr>
            <w:tcW w:w="193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-0.000 (0.002)</w:t>
            </w:r>
          </w:p>
        </w:tc>
        <w:tc>
          <w:tcPr>
            <w:tcW w:w="195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-0.001 (0.002)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Employed (Reference=Not employed)</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-0.100 (0.162)</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-0.113 (0.162)</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0.018 (0.161)</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-0.052 (0.109)</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-0.062 (0.109)</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0.027 (0.109)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Ever smoking (Reference=Never smoking)</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-0.021 (0.200)</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0.020 (0.200)</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0.338 (0.193)</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-0.126 (0.137)</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-0.098 (0.137)</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0.127 (0.135)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Frequent alcohol drinking (Reference=No frequent alcohol drinking)</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1.250 (0.215)***</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1.308 (0.215)***</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1.291 (0.204)***</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0.694 (0.151)***</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0.733 (0.151)***</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0.726 (0.145)***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Loss to follow-up</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-0.086 (0.206)</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-0.093 (0.206)</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-0.073 (0.196)</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0.365 (0.126)**</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0.359 (0.126)**</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0.364 (0.120)**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vAlign w:val="center"/>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Death</w:t>
            </w:r>
          </w:p>
        </w:tc>
        <w:tc>
          <w:tcPr>
            <w:tcW w:w="2124"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2.860 (0.624)***</w:t>
            </w:r>
          </w:p>
        </w:tc>
        <w:tc>
          <w:tcPr>
            <w:tcW w:w="196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2.939 (0.624)***</w:t>
            </w:r>
          </w:p>
        </w:tc>
        <w:tc>
          <w:tcPr>
            <w:tcW w:w="2000"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3.374 (0.592)***</w:t>
            </w:r>
          </w:p>
        </w:tc>
        <w:tc>
          <w:tcPr>
            <w:tcW w:w="193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1.112 (0.413)**</w:t>
            </w:r>
          </w:p>
        </w:tc>
        <w:tc>
          <w:tcPr>
            <w:tcW w:w="1939"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1.163 (0.413)**</w:t>
            </w:r>
          </w:p>
        </w:tc>
        <w:tc>
          <w:tcPr>
            <w:tcW w:w="1958" w:type="dxa"/>
            <w:tcBorders>
              <w:tl2br w:val="nil"/>
              <w:tr2bl w:val="nil"/>
            </w:tcBorders>
            <w:shd w:val="clear" w:color="auto" w:fill="auto"/>
          </w:tcPr>
          <w:p>
            <w:pPr>
              <w:wordWrap w:val="0"/>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1.472 (0.391)***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Provincial fixed effect</w:t>
            </w:r>
          </w:p>
        </w:tc>
        <w:tc>
          <w:tcPr>
            <w:tcW w:w="2124"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c>
          <w:tcPr>
            <w:tcW w:w="196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c>
          <w:tcPr>
            <w:tcW w:w="2000"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c>
          <w:tcPr>
            <w:tcW w:w="193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c>
          <w:tcPr>
            <w:tcW w:w="1939"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c>
          <w:tcPr>
            <w:tcW w:w="1958" w:type="dxa"/>
            <w:tcBorders>
              <w:tl2br w:val="nil"/>
              <w:tr2bl w:val="nil"/>
            </w:tcBorders>
            <w:shd w:val="clear" w:color="auto" w:fill="auto"/>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Yes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58" w:hRule="atLeast"/>
          <w:jc w:val="center"/>
        </w:trPr>
        <w:tc>
          <w:tcPr>
            <w:tcW w:w="3744" w:type="dxa"/>
            <w:tcBorders>
              <w:tl2br w:val="nil"/>
              <w:tr2bl w:val="nil"/>
            </w:tcBorders>
            <w:shd w:val="clear" w:color="auto" w:fill="auto"/>
          </w:tcPr>
          <w:p>
            <w:pPr>
              <w:spacing w:line="240" w:lineRule="auto"/>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Number of respondents (Number of observations)</w:t>
            </w:r>
          </w:p>
        </w:tc>
        <w:tc>
          <w:tcPr>
            <w:tcW w:w="2124"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16,318 (70,318)</w:t>
            </w:r>
          </w:p>
        </w:tc>
        <w:tc>
          <w:tcPr>
            <w:tcW w:w="1969"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16,318 (70,318)</w:t>
            </w:r>
          </w:p>
        </w:tc>
        <w:tc>
          <w:tcPr>
            <w:tcW w:w="2000"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16,318 (70,318)</w:t>
            </w:r>
          </w:p>
        </w:tc>
        <w:tc>
          <w:tcPr>
            <w:tcW w:w="1938"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16,318 (70,318)</w:t>
            </w:r>
          </w:p>
        </w:tc>
        <w:tc>
          <w:tcPr>
            <w:tcW w:w="1939"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16,318 (70,318)</w:t>
            </w:r>
          </w:p>
        </w:tc>
        <w:tc>
          <w:tcPr>
            <w:tcW w:w="1958" w:type="dxa"/>
            <w:tcBorders>
              <w:tl2br w:val="nil"/>
              <w:tr2bl w:val="nil"/>
            </w:tcBorders>
            <w:shd w:val="clear" w:color="auto" w:fill="auto"/>
            <w:vAlign w:val="center"/>
          </w:tcPr>
          <w:p>
            <w:pPr>
              <w:spacing w:line="240" w:lineRule="auto"/>
              <w:jc w:val="righ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16,318 (70,318)</w:t>
            </w:r>
          </w:p>
        </w:tc>
      </w:tr>
    </w:tbl>
    <w:p>
      <w:pPr>
        <w:spacing w:line="240" w:lineRule="auto"/>
      </w:pPr>
      <w:r>
        <w:rPr>
          <w:rFonts w:ascii="Times New Roman Regular" w:hAnsi="Times New Roman Regular" w:cs="Times New Roman Regular"/>
          <w:sz w:val="22"/>
          <w:szCs w:val="22"/>
          <w:vertAlign w:val="superscript"/>
        </w:rPr>
        <w:t>a</w:t>
      </w:r>
      <w:r>
        <w:rPr>
          <w:rFonts w:ascii="Times New Roman Regular" w:hAnsi="Times New Roman Regular" w:cs="Times New Roman Regular"/>
          <w:sz w:val="22"/>
          <w:szCs w:val="22"/>
        </w:rPr>
        <w:t xml:space="preserve"> S.E., Standard error.</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0"/>
    <w:family w:val="modern"/>
    <w:pitch w:val="default"/>
    <w:sig w:usb0="E0000AFF" w:usb1="40007843" w:usb2="00000001" w:usb3="00000000" w:csb0="400001BF" w:csb1="DFF70000"/>
  </w:font>
  <w:font w:name="Cambria">
    <w:panose1 w:val="02040503050406030204"/>
    <w:charset w:val="00"/>
    <w:family w:val="roman"/>
    <w:pitch w:val="default"/>
    <w:sig w:usb0="E00002FF" w:usb1="400004FF" w:usb2="00000000" w:usb3="00000000" w:csb0="2000019F" w:csb1="00000000"/>
  </w:font>
  <w:font w:name="Calibri">
    <w:panose1 w:val="020F0702030404030204"/>
    <w:charset w:val="00"/>
    <w:family w:val="swiss"/>
    <w:pitch w:val="default"/>
    <w:sig w:usb0="E10002FF" w:usb1="4000ACFF" w:usb2="00000009" w:usb3="00000000" w:csb0="2000019F" w:csb1="00000000"/>
  </w:font>
  <w:font w:name="Mangal">
    <w:altName w:val="Thonburi"/>
    <w:panose1 w:val="00000400000000000000"/>
    <w:charset w:val="01"/>
    <w:family w:val="roman"/>
    <w:pitch w:val="default"/>
    <w:sig w:usb0="00000000" w:usb1="00000000" w:usb2="00000000" w:usb3="00000000" w:csb0="00000000" w:csb1="00000000"/>
  </w:font>
  <w:font w:name="Times New Roman Bold Italic">
    <w:panose1 w:val="02020703060505090304"/>
    <w:charset w:val="00"/>
    <w:family w:val="roman"/>
    <w:pitch w:val="default"/>
    <w:sig w:usb0="E0000AFF" w:usb1="00007843" w:usb2="00000001" w:usb3="00000000" w:csb0="400001BF" w:csb1="DFF70000"/>
  </w:font>
  <w:font w:name="Times New Roman Bold">
    <w:panose1 w:val="02020703060505090304"/>
    <w:charset w:val="00"/>
    <w:family w:val="auto"/>
    <w:pitch w:val="default"/>
    <w:sig w:usb0="E0000AFF" w:usb1="00007843" w:usb2="00000001" w:usb3="00000000" w:csb0="400001BF" w:csb1="DFF70000"/>
  </w:font>
  <w:font w:name="Times New Roman Regular">
    <w:panose1 w:val="02020703060505090304"/>
    <w:charset w:val="00"/>
    <w:family w:val="roman"/>
    <w:pitch w:val="default"/>
    <w:sig w:usb0="E0000AFF" w:usb1="00007843" w:usb2="00000001" w:usb3="00000000" w:csb0="400001BF" w:csb1="DFF70000"/>
  </w:font>
  <w:font w:name="Cambria Math">
    <w:panose1 w:val="02040503050406030204"/>
    <w:charset w:val="00"/>
    <w:family w:val="roman"/>
    <w:pitch w:val="default"/>
    <w:sig w:usb0="E00002FF" w:usb1="420024FF" w:usb2="00000000" w:usb3="00000000" w:csb0="2000019F" w:csb1="00000000"/>
  </w:font>
  <w:font w:name="Calibri Light">
    <w:panose1 w:val="020F0702030404030204"/>
    <w:charset w:val="00"/>
    <w:family w:val="swiss"/>
    <w:pitch w:val="default"/>
    <w:sig w:usb0="E10002FF" w:usb1="4000ACFF" w:usb2="00000009" w:usb3="00000000" w:csb0="2000019F" w:csb1="00000000"/>
  </w:font>
  <w:font w:name="Thonburi">
    <w:panose1 w:val="00000400000000000000"/>
    <w:charset w:val="00"/>
    <w:family w:val="auto"/>
    <w:pitch w:val="default"/>
    <w:sig w:usb0="01000000" w:usb1="00000000" w:usb2="00000000" w:usb3="00000000" w:csb0="20000193" w:csb1="4D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7216" behindDoc="0" locked="0" layoutInCell="1" allowOverlap="1">
              <wp:simplePos x="0" y="0"/>
              <wp:positionH relativeFrom="margin">
                <wp:align>right</wp:align>
              </wp:positionH>
              <wp:positionV relativeFrom="paragraph">
                <wp:posOffset>0</wp:posOffset>
              </wp:positionV>
              <wp:extent cx="122555" cy="146050"/>
              <wp:effectExtent l="0" t="0" r="0" b="0"/>
              <wp:wrapNone/>
              <wp:docPr id="2" name="Text Box 2"/>
              <wp:cNvGraphicFramePr/>
              <a:graphic xmlns:a="http://schemas.openxmlformats.org/drawingml/2006/main">
                <a:graphicData uri="http://schemas.microsoft.com/office/word/2010/wordprocessingShape">
                  <wps:wsp>
                    <wps:cNvSpPr txBox="1"/>
                    <wps:spPr>
                      <a:xfrm>
                        <a:off x="0" y="0"/>
                        <a:ext cx="122555" cy="146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3</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5pt;width:9.65pt;mso-position-horizontal:right;mso-position-horizontal-relative:margin;mso-wrap-style:none;z-index:251657216;mso-width-relative:page;mso-height-relative:page;" filled="f" stroked="f" coordsize="21600,21600" o:gfxdata="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u9FbTNIAAAADAQAADwAAAAAAAAAB&#10;ACAAAAA4AAAAZHJzL2Rvd25yZXYueG1sUEsBAhQAFAAAAAgAh07iQP1zWWMAAgAABAQAAA4AAAAA&#10;AAAAAQAgAAAANwEAAGRycy9lMm9Eb2MueG1sUEsFBgAAAAAGAAYAWQEAAKkFA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3</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22555" cy="1460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22555" cy="146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12</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5pt;width:9.65pt;mso-position-horizontal:right;mso-position-horizontal-relative:margin;mso-wrap-style:none;z-index:251658240;mso-width-relative:page;mso-height-relative:page;" filled="f" stroked="f" coordsize="21600,21600" o:gfxdata="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C70VtM0gAAAAMBAAAPAAAAAAAAAAEA&#10;IAAAADgAAABkcnMvZG93bnJldi54bWxQSwECFAAUAAAACACHTuJAwVOZwv8BAAAEBAAADgAAAAAA&#10;AAABACAAAAA3AQAAZHJzL2Uyb0RvYy54bWxQSwUGAAAAAAYABgBZAQAAqAU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12</w:t>
                    </w:r>
                    <w:r>
                      <w:rPr>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BD5AFA"/>
    <w:rsid w:val="000A1922"/>
    <w:rsid w:val="004242E0"/>
    <w:rsid w:val="00460C6E"/>
    <w:rsid w:val="006B156F"/>
    <w:rsid w:val="006D00C9"/>
    <w:rsid w:val="008447F3"/>
    <w:rsid w:val="00A12EE2"/>
    <w:rsid w:val="00A85EDC"/>
    <w:rsid w:val="00CC4020"/>
    <w:rsid w:val="00E84E11"/>
    <w:rsid w:val="2FFFEF43"/>
    <w:rsid w:val="35666CB2"/>
    <w:rsid w:val="39BEF7D2"/>
    <w:rsid w:val="3A3E804C"/>
    <w:rsid w:val="3BDE6D3E"/>
    <w:rsid w:val="3DDF2508"/>
    <w:rsid w:val="3FCF2647"/>
    <w:rsid w:val="3FFD3258"/>
    <w:rsid w:val="4F67EBCD"/>
    <w:rsid w:val="4FCCA4C8"/>
    <w:rsid w:val="587FDACF"/>
    <w:rsid w:val="5B13FAFE"/>
    <w:rsid w:val="5BFF8563"/>
    <w:rsid w:val="5FDE8AB8"/>
    <w:rsid w:val="5FEFD6BE"/>
    <w:rsid w:val="5FFBA6A3"/>
    <w:rsid w:val="66FFA7EB"/>
    <w:rsid w:val="6B7FED40"/>
    <w:rsid w:val="6CF7ED39"/>
    <w:rsid w:val="6DD7CB1F"/>
    <w:rsid w:val="6DDEA893"/>
    <w:rsid w:val="6EFFAB77"/>
    <w:rsid w:val="6FAD5BB7"/>
    <w:rsid w:val="70FB2A9C"/>
    <w:rsid w:val="75EA8C06"/>
    <w:rsid w:val="75FF2BA0"/>
    <w:rsid w:val="7A8F630A"/>
    <w:rsid w:val="7CCFC9E5"/>
    <w:rsid w:val="7CFFFAB1"/>
    <w:rsid w:val="7DFA73F9"/>
    <w:rsid w:val="7EDAFD90"/>
    <w:rsid w:val="7EFF7A31"/>
    <w:rsid w:val="7F3540CF"/>
    <w:rsid w:val="7FDFCE3A"/>
    <w:rsid w:val="B3FF117B"/>
    <w:rsid w:val="B7BE84FB"/>
    <w:rsid w:val="BBFBE451"/>
    <w:rsid w:val="BD73FCB0"/>
    <w:rsid w:val="BEDC8ABD"/>
    <w:rsid w:val="D19E69DF"/>
    <w:rsid w:val="D6BFF6FA"/>
    <w:rsid w:val="E27BA2AE"/>
    <w:rsid w:val="EA9F6D8E"/>
    <w:rsid w:val="EFCFF653"/>
    <w:rsid w:val="EFDFC9AE"/>
    <w:rsid w:val="F3FD554C"/>
    <w:rsid w:val="F6E70942"/>
    <w:rsid w:val="F6EB2549"/>
    <w:rsid w:val="F6EFE0B2"/>
    <w:rsid w:val="F6FF5484"/>
    <w:rsid w:val="F7FB9F90"/>
    <w:rsid w:val="FAFC9AA7"/>
    <w:rsid w:val="FCB77A81"/>
    <w:rsid w:val="FD7FC75D"/>
    <w:rsid w:val="FDC24CE7"/>
    <w:rsid w:val="FEBD5AFA"/>
    <w:rsid w:val="FEF72964"/>
    <w:rsid w:val="FF7E5886"/>
    <w:rsid w:val="FFBB0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pPr>
      <w:spacing w:after="0" w:line="240" w:lineRule="auto"/>
    </w:pPr>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Normal (Web)"/>
    <w:qFormat/>
    <w:uiPriority w:val="0"/>
    <w:pPr>
      <w:spacing w:beforeAutospacing="1" w:afterAutospacing="1" w:line="259" w:lineRule="auto"/>
    </w:pPr>
    <w:rPr>
      <w:rFonts w:ascii="Times New Roman" w:hAnsi="Times New Roman" w:eastAsia="宋体" w:cs="Mangal"/>
      <w:sz w:val="24"/>
      <w:szCs w:val="24"/>
      <w:lang w:val="en-US" w:eastAsia="zh-CN" w:bidi="ne-NP"/>
    </w:rPr>
  </w:style>
  <w:style w:type="character" w:styleId="6">
    <w:name w:val="Hyperlink"/>
    <w:basedOn w:val="5"/>
    <w:qFormat/>
    <w:uiPriority w:val="0"/>
    <w:rPr>
      <w:color w:val="0000FF"/>
      <w:u w:val="single"/>
    </w:rPr>
  </w:style>
  <w:style w:type="character" w:customStyle="1" w:styleId="8">
    <w:name w:val="批注框文本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2485</Words>
  <Characters>14169</Characters>
  <Lines>118</Lines>
  <Paragraphs>33</Paragraphs>
  <TotalTime>0</TotalTime>
  <ScaleCrop>false</ScaleCrop>
  <LinksUpToDate>false</LinksUpToDate>
  <CharactersWithSpaces>16621</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2023-06-08T16:42:00Z</dcterms:created>
  <dc:creator>Jinjing</dc:creator>
  <cp:lastModifiedBy>Jinjing</cp:lastModifiedBy>
  <dcterms:modified xsi:type="dcterms:W3CDTF">2023-06-08T20:00:05Z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