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2CF" w:rsidRPr="0043270E" w:rsidRDefault="00CC62CF" w:rsidP="00CC6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004327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1</w:t>
      </w:r>
      <w:r w:rsidRPr="00432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43270E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Bivariate</w:t>
      </w:r>
      <w:r w:rsidRPr="0043270E">
        <w:rPr>
          <w:rFonts w:ascii="Times New Roman" w:hAnsi="Times New Roman" w:cs="Times New Roman"/>
          <w:color w:val="000000" w:themeColor="text1"/>
          <w:sz w:val="24"/>
          <w:szCs w:val="24"/>
          <w:lang w:val="en-GB"/>
          <w14:ligatures w14:val="standardContextual"/>
        </w:rPr>
        <w:t xml:space="preserve"> </w:t>
      </w:r>
      <w:r w:rsidRPr="0043270E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analysis of the likelihood of </w:t>
      </w:r>
      <w:r w:rsidRPr="0043270E">
        <w:rPr>
          <w:rFonts w:ascii="Times New Roman" w:hAnsi="Times New Roman" w:cs="Times New Roman"/>
          <w:color w:val="000000" w:themeColor="text1"/>
          <w:sz w:val="24"/>
          <w:szCs w:val="24"/>
          <w:lang w:val="en-GB"/>
          <w14:ligatures w14:val="standardContextual"/>
        </w:rPr>
        <w:t xml:space="preserve">hypertension control among patients attending </w:t>
      </w:r>
      <w:r w:rsidRPr="0043270E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hospital NCD follow-up clinics </w:t>
      </w:r>
    </w:p>
    <w:p w:rsidR="00CC62CF" w:rsidRPr="0043270E" w:rsidRDefault="00CC62CF" w:rsidP="00CC62CF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  <w:sz w:val="19"/>
          <w:szCs w:val="19"/>
          <w:lang w:val="en-GB"/>
          <w14:ligatures w14:val="standardContextual"/>
        </w:rPr>
      </w:pPr>
    </w:p>
    <w:tbl>
      <w:tblPr>
        <w:tblStyle w:val="PlainTable2"/>
        <w:tblW w:w="9209" w:type="dxa"/>
        <w:tblLook w:val="06A0" w:firstRow="1" w:lastRow="0" w:firstColumn="1" w:lastColumn="0" w:noHBand="1" w:noVBand="1"/>
      </w:tblPr>
      <w:tblGrid>
        <w:gridCol w:w="3539"/>
        <w:gridCol w:w="1701"/>
        <w:gridCol w:w="1843"/>
        <w:gridCol w:w="2126"/>
      </w:tblGrid>
      <w:tr w:rsidR="00CC62CF" w:rsidRPr="0043270E" w:rsidTr="007B6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Variable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Not controlled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Controlled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p-value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Hypertension status (n=1055)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617 (58.5%)</w:t>
            </w: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438 (41.5%)</w:t>
            </w: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Sex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0.427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Female 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471 (59.2%)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325 (40.8%)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Male 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146 (56.4%)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113 (43.6%)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Age (years)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0.068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&lt;40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55 (69.6%)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24 (30.4%)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40-59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173 (55.3%)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140 (44.7%)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≥60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389 (58.6%)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274 (41.3%)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BMI category(n=927)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0.090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&lt;18.5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45 (57.7%)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33 (42.3%)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18.5-24.9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289 (56.2%)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225 (43.8%)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25-29.9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137 (66.5%)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69 (33.5%)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≥30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76 (58.9%)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41 (42.7%)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Residence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hAnsi="Times New Roman" w:cs="Times New Roman"/>
                <w:color w:val="000000" w:themeColor="text1"/>
              </w:rPr>
              <w:t>0.160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Rural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484 (57.4%)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359 (42.6%)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Urban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133 (62.7%)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79 (37.3%)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Follow up hospital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Gisenyi (West)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130 (57.8%)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95 (42.2%)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Kirehe (East)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170 (73.3%)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62 (26.7%)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Masaka (Kigali)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143 (69.8%)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62 (30.2%)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Munini (South)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61 (34.6%)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115 (65.4%)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Nemba (North)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113 (52.1%)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104 (47.9%)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Hydrochlorothiazide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0.308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No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115 (61.8%)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71 (38.2%)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Yes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502 (57.8%)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367 (42.2%)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ACEIs 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No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442 (54.8%)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364 (45.2%)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Yes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175 (70.3%)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74 (29.7%)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Calcium channel blockers              (Nifedipine, Amlodipine)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No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225 (54.5%)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188 (45.5%)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Yes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392 (70.3%)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250 (38.9%)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Beta blockers: Atenolol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0.247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No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577 (58.1%)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417 (41.9%)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Yes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40 (65.6%)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21 (34.4%)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Alpha blockers: Methyldopa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0.148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No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586 (58.0%)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424 (42.0%)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Yes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31 (68.9%)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14 (31.1%)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lang w:val="sv-SE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lang w:val="sv-SE"/>
              </w:rPr>
              <w:t>ARBs: Valsartan, losartan and candesartan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</w:pP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</w:pP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0.613</w:t>
            </w:r>
          </w:p>
        </w:tc>
      </w:tr>
      <w:tr w:rsidR="00CC62CF" w:rsidRPr="0043270E" w:rsidTr="007B60BF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No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613 (58.5%)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435 (41.5%)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Yes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 (57.1%)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 (42.9%)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Number of drugs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One drug 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164 (49.7%)</w:t>
            </w: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166 (50.3%)</w:t>
            </w: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lastRenderedPageBreak/>
              <w:t>Two drugs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361 (60.8%)</w:t>
            </w: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247 (39.2%)</w:t>
            </w: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Three drugs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84 (70.6%)</w:t>
            </w: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35 (29.4%)</w:t>
            </w: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Four drugs 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7 (63.6%)</w:t>
            </w: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 (36.4%)</w:t>
            </w: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Follow-up status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Transferred to Health Centre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376 (53.8%)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323 (46.2%)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Lost to follow up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163 (71.2%)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66 (28.8%)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Died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5 (45.4%)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6 (54.5%)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Still in follow up at hospital 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73 (62.9%)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43 (37.1%)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Ever missed appointment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No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334(51.1)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320(48.9)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Yes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282(71)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115(29)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Hypertension stage enrollment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0.005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Stage 1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168(51.22)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160(48.78)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Stage 2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266(61.15)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169(38.85)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Stage 3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183(62.67)</w:t>
            </w: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109(37.33)</w:t>
            </w: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Comorbidities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Kidney disease</w:t>
            </w:r>
          </w:p>
        </w:tc>
        <w:tc>
          <w:tcPr>
            <w:tcW w:w="1701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0.770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No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611 (58.5%)</w:t>
            </w: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433 (41.5%)</w:t>
            </w: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Yes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6 (54.5%)</w:t>
            </w: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5 (45.4%)</w:t>
            </w: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Diabetes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  <w:hideMark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0.189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No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564 (57.9%)</w:t>
            </w: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410 (42.1%)</w:t>
            </w: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Yes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53 (65.4%)</w:t>
            </w: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28 (34.5%)</w:t>
            </w: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Heart disease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0.611</w:t>
            </w: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No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609 (58.5%)</w:t>
            </w: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430 (41.5%)</w:t>
            </w: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62CF" w:rsidRPr="0043270E" w:rsidTr="007B60B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Yes</w:t>
            </w:r>
          </w:p>
        </w:tc>
        <w:tc>
          <w:tcPr>
            <w:tcW w:w="1701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8 (50.0%)</w:t>
            </w:r>
          </w:p>
        </w:tc>
        <w:tc>
          <w:tcPr>
            <w:tcW w:w="1843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270E">
              <w:rPr>
                <w:rFonts w:ascii="Times New Roman" w:eastAsia="Times New Roman" w:hAnsi="Times New Roman" w:cs="Times New Roman"/>
                <w:color w:val="000000" w:themeColor="text1"/>
              </w:rPr>
              <w:t>8 (50.0%)</w:t>
            </w:r>
          </w:p>
        </w:tc>
        <w:tc>
          <w:tcPr>
            <w:tcW w:w="2126" w:type="dxa"/>
            <w:noWrap/>
          </w:tcPr>
          <w:p w:rsidR="00CC62CF" w:rsidRPr="0043270E" w:rsidRDefault="00CC62CF" w:rsidP="007B60B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CC62CF" w:rsidRPr="0043270E" w:rsidRDefault="00CC62CF" w:rsidP="00CC62CF">
      <w:pPr>
        <w:shd w:val="clear" w:color="auto" w:fill="FFFFFF"/>
        <w:spacing w:after="100" w:afterAutospacing="1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43270E">
        <w:rPr>
          <w:rFonts w:cstheme="minorHAnsi"/>
          <w:color w:val="000000" w:themeColor="text1"/>
          <w:sz w:val="24"/>
          <w:szCs w:val="24"/>
        </w:rPr>
        <w:t>* Fisher exact test</w:t>
      </w:r>
      <w:bookmarkStart w:id="0" w:name="_GoBack"/>
      <w:bookmarkEnd w:id="0"/>
    </w:p>
    <w:sectPr w:rsidR="00CC62CF" w:rsidRPr="0043270E" w:rsidSect="00CA30F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0E3" w:rsidRDefault="00CC62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78558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10E3" w:rsidRDefault="00CC62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10E3" w:rsidRDefault="00CC62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0E3" w:rsidRDefault="00CC62CF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0E3" w:rsidRDefault="00CC62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0E3" w:rsidRDefault="00CC62C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0E3" w:rsidRDefault="00CC62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2CF"/>
    <w:rsid w:val="006574D0"/>
    <w:rsid w:val="00CC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4B3867-B0D7-4BC5-B0B6-051D7AC2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6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2CF"/>
  </w:style>
  <w:style w:type="paragraph" w:styleId="Footer">
    <w:name w:val="footer"/>
    <w:basedOn w:val="Normal"/>
    <w:link w:val="FooterChar"/>
    <w:uiPriority w:val="99"/>
    <w:unhideWhenUsed/>
    <w:rsid w:val="00CC6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2CF"/>
  </w:style>
  <w:style w:type="table" w:styleId="PlainTable2">
    <w:name w:val="Plain Table 2"/>
    <w:basedOn w:val="TableNormal"/>
    <w:uiPriority w:val="42"/>
    <w:rsid w:val="00CC62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C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System-5</dc:creator>
  <cp:keywords/>
  <dc:description/>
  <cp:lastModifiedBy>System-5</cp:lastModifiedBy>
  <cp:revision>1</cp:revision>
  <dcterms:created xsi:type="dcterms:W3CDTF">2025-01-22T08:17:00Z</dcterms:created>
  <dcterms:modified xsi:type="dcterms:W3CDTF">2025-01-22T08:18:00Z</dcterms:modified>
</cp:coreProperties>
</file>