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E6AE0">
      <w:pPr>
        <w:spacing w:after="0" w:line="240" w:lineRule="auto"/>
        <w:jc w:val="center"/>
        <w:rPr>
          <w:rFonts w:ascii="Times New Roman" w:hAnsi="Times New Roman" w:eastAsia="宋体"/>
          <w:b/>
          <w:bCs/>
          <w:sz w:val="24"/>
          <w:highlight w:val="none"/>
        </w:rPr>
      </w:pPr>
      <w:r>
        <w:rPr>
          <w:rFonts w:ascii="Times New Roman" w:hAnsi="Times New Roman" w:eastAsia="宋体"/>
          <w:b/>
          <w:bCs/>
          <w:sz w:val="24"/>
          <w:highlight w:val="none"/>
        </w:rPr>
        <w:t>Supplementary Material</w:t>
      </w:r>
    </w:p>
    <w:p w14:paraId="3240115E">
      <w:pPr>
        <w:spacing w:after="0" w:line="240" w:lineRule="auto"/>
        <w:jc w:val="both"/>
        <w:rPr>
          <w:rFonts w:hint="default"/>
          <w:b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sM</w:t>
      </w:r>
      <w:r>
        <w:rPr>
          <w:rFonts w:ascii="Times New Roman" w:hAnsi="Times New Roman" w:eastAsia="宋体"/>
          <w:b/>
          <w:bCs/>
          <w:sz w:val="24"/>
          <w:highlight w:val="none"/>
        </w:rPr>
        <w:t>ethods</w:t>
      </w:r>
    </w:p>
    <w:p w14:paraId="2403175D">
      <w:pPr>
        <w:spacing w:after="0" w:line="240" w:lineRule="auto"/>
        <w:jc w:val="both"/>
        <w:rPr>
          <w:rFonts w:hint="eastAsia" w:ascii="Times New Roman" w:hAnsi="Times New Roman" w:eastAsia="宋体"/>
          <w:bCs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sT</w:t>
      </w:r>
      <w:r>
        <w:rPr>
          <w:rFonts w:ascii="Times New Roman" w:hAnsi="Times New Roman" w:eastAsia="宋体"/>
          <w:b/>
          <w:bCs/>
          <w:sz w:val="24"/>
          <w:highlight w:val="none"/>
        </w:rPr>
        <w:t>able 1</w:t>
      </w:r>
      <w:r>
        <w:rPr>
          <w:rFonts w:hint="eastAsia"/>
          <w:b/>
          <w:bCs/>
          <w:sz w:val="24"/>
          <w:highlight w:val="none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>Baseline characteristics of participants included or excluded from main analyses due to missing information</w:t>
      </w:r>
    </w:p>
    <w:p w14:paraId="45440531">
      <w:pPr>
        <w:spacing w:after="0" w:line="240" w:lineRule="auto"/>
        <w:jc w:val="both"/>
        <w:rPr>
          <w:rFonts w:hint="default" w:ascii="Times New Roman" w:hAnsi="Times New Roman" w:eastAsia="宋体"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sTable </w:t>
      </w:r>
      <w:r>
        <w:rPr>
          <w:rFonts w:hint="eastAsia"/>
          <w:b/>
          <w:bCs/>
          <w:sz w:val="24"/>
          <w:highlight w:val="none"/>
          <w:lang w:val="en-US" w:eastAsia="zh-CN"/>
        </w:rPr>
        <w:t xml:space="preserve">2 </w:t>
      </w:r>
      <w:r>
        <w:rPr>
          <w:rFonts w:hint="eastAsia" w:ascii="Times New Roman" w:hAnsi="Times New Roman" w:eastAsia="宋体"/>
          <w:bCs/>
          <w:sz w:val="24"/>
          <w:highlight w:val="none"/>
        </w:rPr>
        <w:t>Variable importance ranking for all</w:t>
      </w:r>
      <w:r>
        <w:rPr>
          <w:rFonts w:hint="eastAsia"/>
          <w:bCs/>
          <w:sz w:val="24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/>
          <w:bCs/>
          <w:sz w:val="24"/>
          <w:highlight w:val="none"/>
        </w:rPr>
        <w:t>cause</w:t>
      </w:r>
      <w:r>
        <w:rPr>
          <w:rFonts w:hint="eastAsia"/>
          <w:bCs/>
          <w:sz w:val="24"/>
          <w:highlight w:val="none"/>
          <w:lang w:val="en-US" w:eastAsia="zh-CN"/>
        </w:rPr>
        <w:t xml:space="preserve"> and cardiovascular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 mortality (gradient boosting machine)</w:t>
      </w:r>
    </w:p>
    <w:p w14:paraId="56146A24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sT</w:t>
      </w:r>
      <w:r>
        <w:rPr>
          <w:rFonts w:ascii="Times New Roman" w:hAnsi="Times New Roman" w:eastAsia="宋体"/>
          <w:b/>
          <w:bCs/>
          <w:sz w:val="24"/>
          <w:highlight w:val="none"/>
        </w:rPr>
        <w:t xml:space="preserve">able </w:t>
      </w:r>
      <w:r>
        <w:rPr>
          <w:rFonts w:hint="eastAsia"/>
          <w:b/>
          <w:bCs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Combined association</w:t>
      </w:r>
      <w:r>
        <w:rPr>
          <w:rFonts w:hint="eastAsia"/>
          <w:bCs/>
          <w:sz w:val="24"/>
          <w:highlight w:val="none"/>
          <w:lang w:val="en-US" w:eastAsia="zh-CN"/>
        </w:rPr>
        <w:t>s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of CVH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 </w:t>
      </w:r>
      <w:r>
        <w:rPr>
          <w:rFonts w:ascii="Times New Roman" w:hAnsi="Times New Roman" w:eastAsia="宋体"/>
          <w:bCs/>
          <w:sz w:val="24"/>
          <w:highlight w:val="none"/>
        </w:rPr>
        <w:t xml:space="preserve">scores 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and </w:t>
      </w:r>
      <w:r>
        <w:rPr>
          <w:rFonts w:hint="eastAsia"/>
          <w:bCs/>
          <w:sz w:val="24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sz w:val="24"/>
          <w:highlight w:val="none"/>
        </w:rPr>
        <w:t>on-advanced</w:t>
      </w:r>
      <w:r>
        <w:rPr>
          <w:rFonts w:hint="eastAsia" w:cs="Times New Roman"/>
          <w:sz w:val="24"/>
          <w:highlight w:val="none"/>
          <w:lang w:val="en-US" w:eastAsia="zh-CN"/>
        </w:rPr>
        <w:t>/</w:t>
      </w:r>
      <w:r>
        <w:rPr>
          <w:rFonts w:ascii="Times New Roman" w:hAnsi="Times New Roman" w:eastAsia="宋体"/>
          <w:bCs/>
          <w:sz w:val="24"/>
          <w:highlight w:val="none"/>
        </w:rPr>
        <w:t xml:space="preserve">advanced CKM </w:t>
      </w:r>
      <w:r>
        <w:rPr>
          <w:rFonts w:hint="eastAsia"/>
          <w:bCs/>
          <w:sz w:val="24"/>
          <w:highlight w:val="none"/>
          <w:lang w:val="en-US" w:eastAsia="zh-CN"/>
        </w:rPr>
        <w:t xml:space="preserve">health stages </w:t>
      </w:r>
      <w:r>
        <w:rPr>
          <w:rFonts w:ascii="Times New Roman" w:hAnsi="Times New Roman" w:eastAsia="宋体"/>
          <w:bCs/>
          <w:sz w:val="24"/>
          <w:highlight w:val="none"/>
        </w:rPr>
        <w:t xml:space="preserve">with the risk of </w:t>
      </w:r>
      <w:r>
        <w:rPr>
          <w:rFonts w:hint="eastAsia" w:ascii="Times New Roman" w:hAnsi="Times New Roman" w:eastAsia="宋体"/>
          <w:bCs/>
          <w:sz w:val="24"/>
          <w:highlight w:val="none"/>
        </w:rPr>
        <w:t>mortality</w:t>
      </w:r>
    </w:p>
    <w:p w14:paraId="24B41A54">
      <w:pPr>
        <w:spacing w:after="0" w:line="240" w:lineRule="auto"/>
        <w:jc w:val="both"/>
        <w:rPr>
          <w:rFonts w:hint="eastAsia"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sTable </w:t>
      </w:r>
      <w:r>
        <w:rPr>
          <w:rFonts w:hint="eastAsia"/>
          <w:b/>
          <w:bCs/>
          <w:sz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 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Association between CVH components and the risk of mortality in non-advanced cardiovascular-kidney-metabolic </w:t>
      </w:r>
      <w:r>
        <w:rPr>
          <w:rFonts w:hint="eastAsia"/>
          <w:bCs/>
          <w:sz w:val="24"/>
          <w:highlight w:val="none"/>
          <w:lang w:val="en-US" w:eastAsia="zh-CN"/>
        </w:rPr>
        <w:t>health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 </w:t>
      </w:r>
      <w:r>
        <w:rPr>
          <w:rFonts w:hint="eastAsia"/>
          <w:bCs/>
          <w:sz w:val="24"/>
          <w:highlight w:val="none"/>
          <w:lang w:val="en-US" w:eastAsia="zh-CN"/>
        </w:rPr>
        <w:t xml:space="preserve">stages </w:t>
      </w:r>
      <w:r>
        <w:rPr>
          <w:rFonts w:hint="eastAsia" w:ascii="Times New Roman" w:hAnsi="Times New Roman" w:eastAsia="宋体"/>
          <w:bCs/>
          <w:sz w:val="24"/>
          <w:highlight w:val="none"/>
        </w:rPr>
        <w:t>(stages 0-2)</w:t>
      </w:r>
    </w:p>
    <w:p w14:paraId="6DE1664F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sTable </w:t>
      </w:r>
      <w:r>
        <w:rPr>
          <w:rFonts w:hint="eastAsia"/>
          <w:b/>
          <w:bCs/>
          <w:sz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 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Association between CVH components and the risk of mortality in advanced cardiovascular-kidney-metabolic </w:t>
      </w:r>
      <w:r>
        <w:rPr>
          <w:rFonts w:hint="eastAsia"/>
          <w:bCs/>
          <w:sz w:val="24"/>
          <w:highlight w:val="none"/>
          <w:lang w:val="en-US" w:eastAsia="zh-CN"/>
        </w:rPr>
        <w:t>health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 </w:t>
      </w:r>
      <w:r>
        <w:rPr>
          <w:rFonts w:hint="eastAsia"/>
          <w:bCs/>
          <w:sz w:val="24"/>
          <w:highlight w:val="none"/>
          <w:lang w:val="en-US" w:eastAsia="zh-CN"/>
        </w:rPr>
        <w:t xml:space="preserve">stages </w:t>
      </w:r>
      <w:r>
        <w:rPr>
          <w:rFonts w:hint="eastAsia" w:ascii="Times New Roman" w:hAnsi="Times New Roman" w:eastAsia="宋体"/>
          <w:bCs/>
          <w:sz w:val="24"/>
          <w:highlight w:val="none"/>
        </w:rPr>
        <w:t>(stages 3-4)</w:t>
      </w:r>
    </w:p>
    <w:p w14:paraId="3192A379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sT</w:t>
      </w:r>
      <w:r>
        <w:rPr>
          <w:rFonts w:ascii="Times New Roman" w:hAnsi="Times New Roman" w:eastAsia="宋体"/>
          <w:b/>
          <w:bCs/>
          <w:sz w:val="24"/>
          <w:highlight w:val="none"/>
        </w:rPr>
        <w:t xml:space="preserve">able </w:t>
      </w:r>
      <w:r>
        <w:rPr>
          <w:rFonts w:hint="eastAsia"/>
          <w:b/>
          <w:bCs/>
          <w:sz w:val="24"/>
          <w:highlight w:val="none"/>
          <w:lang w:val="en-US" w:eastAsia="zh-CN"/>
        </w:rPr>
        <w:t>6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Subgroup analysis of the association between CVH scores and the risk of mortality</w:t>
      </w:r>
    </w:p>
    <w:p w14:paraId="16E28FAD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sT</w:t>
      </w:r>
      <w:r>
        <w:rPr>
          <w:rFonts w:ascii="Times New Roman" w:hAnsi="Times New Roman" w:eastAsia="宋体"/>
          <w:b/>
          <w:bCs/>
          <w:sz w:val="24"/>
          <w:highlight w:val="none"/>
        </w:rPr>
        <w:t xml:space="preserve">able </w:t>
      </w:r>
      <w:r>
        <w:rPr>
          <w:rFonts w:hint="eastAsia"/>
          <w:b/>
          <w:bCs/>
          <w:sz w:val="24"/>
          <w:highlight w:val="none"/>
          <w:lang w:val="en-US" w:eastAsia="zh-CN"/>
        </w:rPr>
        <w:t>7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Sensitivity analysis of the association between CVH scores and the risk of mortality</w:t>
      </w:r>
    </w:p>
    <w:p w14:paraId="3DFA7941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sF</w:t>
      </w:r>
      <w:r>
        <w:rPr>
          <w:rFonts w:ascii="Times New Roman" w:hAnsi="Times New Roman" w:eastAsia="宋体"/>
          <w:b/>
          <w:bCs/>
          <w:sz w:val="24"/>
          <w:highlight w:val="none"/>
        </w:rPr>
        <w:t>igure 1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Study flow chart</w:t>
      </w:r>
    </w:p>
    <w:p w14:paraId="0EAE7142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1A854AA3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222E3290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27B89608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4638E72A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14A069B3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3DF722CB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4412DFDC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402349AB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02D5967A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1CD5CC14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5134A6E2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7CCC9EEA">
      <w:pPr>
        <w:spacing w:after="0" w:line="240" w:lineRule="auto"/>
        <w:jc w:val="both"/>
        <w:rPr>
          <w:rFonts w:hint="eastAsia" w:ascii="Times New Roman" w:hAnsi="Times New Roman" w:eastAsia="宋体"/>
          <w:bCs/>
          <w:sz w:val="24"/>
          <w:highlight w:val="none"/>
        </w:rPr>
      </w:pPr>
    </w:p>
    <w:p w14:paraId="116AD402">
      <w:pPr>
        <w:spacing w:after="0" w:line="240" w:lineRule="auto"/>
        <w:jc w:val="both"/>
        <w:rPr>
          <w:rFonts w:hint="eastAsia" w:ascii="Times New Roman" w:hAnsi="Times New Roman" w:eastAsia="宋体"/>
          <w:bCs/>
          <w:sz w:val="24"/>
          <w:highlight w:val="none"/>
        </w:rPr>
      </w:pPr>
    </w:p>
    <w:p w14:paraId="149A973E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sM</w:t>
      </w:r>
      <w:r>
        <w:rPr>
          <w:rFonts w:ascii="Times New Roman" w:hAnsi="Times New Roman" w:eastAsia="宋体"/>
          <w:b/>
          <w:bCs/>
          <w:sz w:val="24"/>
          <w:highlight w:val="none"/>
        </w:rPr>
        <w:t>ethods</w:t>
      </w:r>
    </w:p>
    <w:p w14:paraId="1D55083F">
      <w:pPr>
        <w:spacing w:after="0" w:line="240" w:lineRule="auto"/>
        <w:jc w:val="both"/>
        <w:rPr>
          <w:rFonts w:hint="default" w:ascii="Times New Roman" w:hAnsi="Times New Roman" w:eastAsia="宋体"/>
          <w:b/>
          <w:bCs/>
          <w:i/>
          <w:sz w:val="24"/>
          <w:highlight w:val="none"/>
          <w:lang w:val="en-US" w:eastAsia="zh-CN"/>
        </w:rPr>
      </w:pPr>
      <w:r>
        <w:rPr>
          <w:rFonts w:hint="eastAsia"/>
          <w:b/>
          <w:bCs/>
          <w:i/>
          <w:sz w:val="24"/>
          <w:highlight w:val="none"/>
          <w:lang w:val="en-US" w:eastAsia="zh-CN"/>
        </w:rPr>
        <w:t xml:space="preserve">1. </w:t>
      </w:r>
      <w:r>
        <w:rPr>
          <w:rFonts w:ascii="Times New Roman" w:hAnsi="Times New Roman" w:eastAsia="宋体"/>
          <w:b/>
          <w:bCs/>
          <w:i/>
          <w:sz w:val="24"/>
          <w:highlight w:val="none"/>
        </w:rPr>
        <w:t xml:space="preserve">Definition of CKM </w:t>
      </w:r>
      <w:r>
        <w:rPr>
          <w:rFonts w:hint="eastAsia"/>
          <w:b/>
          <w:bCs/>
          <w:i/>
          <w:sz w:val="24"/>
          <w:highlight w:val="none"/>
          <w:lang w:val="en-US" w:eastAsia="zh-CN"/>
        </w:rPr>
        <w:t>health stages 0-4</w:t>
      </w:r>
    </w:p>
    <w:p w14:paraId="67965A45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Stage 0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involves individuals without overweight/obesity, metabolic risk factors (hypertension, hypertriglyceridemia, metabolic syndrome, diabetes), CKD, or subclinical/clinical CVD;</w:t>
      </w:r>
    </w:p>
    <w:p w14:paraId="33F9FD5B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</w:t>
      </w:r>
    </w:p>
    <w:p w14:paraId="2D984D85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 xml:space="preserve">Stage </w:t>
      </w:r>
      <w:r>
        <w:rPr>
          <w:rFonts w:hint="eastAsia"/>
          <w:b/>
          <w:bCs/>
          <w:sz w:val="24"/>
          <w:szCs w:val="20"/>
          <w:highlight w:val="none"/>
          <w:lang w:val="en-US" w:eastAsia="zh-CN"/>
        </w:rPr>
        <w:t>1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included individuals with ove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>rweight/obesity, abdominal obesity, or dysfunctional adipose tissue without other metabolic risk factors or CKD: body mass index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≥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 xml:space="preserve"> 25 kg/m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  <w:vertAlign w:val="superscript"/>
        </w:rPr>
        <w:t>2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 xml:space="preserve">, waist circumference 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>≥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 xml:space="preserve"> 88/102 cm female/male, and/or glycated hemoglobin between 5.7% and 6.4%;</w:t>
      </w:r>
    </w:p>
    <w:p w14:paraId="4BA562EE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</w:t>
      </w:r>
    </w:p>
    <w:p w14:paraId="5FA6C964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szCs w:val="20"/>
          <w:highlight w:val="none"/>
        </w:rPr>
        <w:t>Stage 2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 xml:space="preserve"> included individuals with metabolic risk factors or CKD;</w:t>
      </w:r>
    </w:p>
    <w:p w14:paraId="744DA1AC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</w:t>
      </w:r>
    </w:p>
    <w:p w14:paraId="6359B3FB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szCs w:val="20"/>
          <w:highlight w:val="none"/>
        </w:rPr>
        <w:t>Stage 3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 xml:space="preserve"> included patients with subclinical atherosclerotic CVD or subclinical heart 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failure who had excessive/dysfunctional obesity, other metabolic risk factors, or CKD. We used very high-risk Kidney Disease Improving Global Outcomes CKD stages (stage G4 or G5 CKD) </w:t>
      </w: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(</w:t>
      </w:r>
      <w:r>
        <w:rPr>
          <w:rFonts w:hint="eastAsia"/>
          <w:b/>
          <w:bCs/>
          <w:sz w:val="24"/>
          <w:szCs w:val="20"/>
          <w:highlight w:val="none"/>
          <w:lang w:val="en-US" w:eastAsia="zh-CN"/>
        </w:rPr>
        <w:t>s</w:t>
      </w: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 xml:space="preserve">Table m1) 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and a high-predicted 10-year CVD risk by the AHA Predicting Risk of CVD EVENTs (PREVENT) equations </w:t>
      </w:r>
      <w:r>
        <w:rPr>
          <w:rFonts w:hint="eastAsia"/>
          <w:bCs/>
          <w:sz w:val="24"/>
          <w:szCs w:val="20"/>
          <w:highlight w:val="none"/>
          <w:lang w:val="en-US" w:eastAsia="zh-CN"/>
        </w:rPr>
        <w:t xml:space="preserve">(base model) 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as risk equivalents for subclinical CVD </w:t>
      </w:r>
      <w:r>
        <w:rPr>
          <w:rFonts w:ascii="Times New Roman" w:hAnsi="Times New Roman" w:eastAsia="宋体"/>
          <w:bCs/>
          <w:sz w:val="24"/>
          <w:szCs w:val="20"/>
          <w:highlight w:val="none"/>
          <w:vertAlign w:val="superscript"/>
        </w:rPr>
        <w:t>1,2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>.</w:t>
      </w:r>
    </w:p>
    <w:p w14:paraId="2FD5E072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</w:t>
      </w:r>
    </w:p>
    <w:p w14:paraId="7A952CAC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hint="eastAsia"/>
          <w:b/>
          <w:bCs/>
          <w:sz w:val="24"/>
          <w:szCs w:val="20"/>
          <w:highlight w:val="none"/>
          <w:lang w:val="en-US" w:eastAsia="zh-CN"/>
        </w:rPr>
        <w:t>s</w:t>
      </w: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Table m1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GFR categories in CKD </w:t>
      </w:r>
      <w:r>
        <w:rPr>
          <w:rFonts w:ascii="Times New Roman" w:hAnsi="Times New Roman" w:eastAsia="宋体"/>
          <w:bCs/>
          <w:sz w:val="24"/>
          <w:szCs w:val="20"/>
          <w:highlight w:val="none"/>
          <w:vertAlign w:val="superscript"/>
        </w:rPr>
        <w:t>3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3118"/>
        <w:gridCol w:w="4111"/>
      </w:tblGrid>
      <w:tr w14:paraId="016BF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F6EB1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GFR category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5D3E4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FR (ml/min per 1.73 m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326D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erms</w:t>
            </w:r>
          </w:p>
        </w:tc>
      </w:tr>
      <w:tr w14:paraId="520E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904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E2CA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≥ 90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324F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Normal or high</w:t>
            </w:r>
          </w:p>
        </w:tc>
      </w:tr>
      <w:tr w14:paraId="21B1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ACFBB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BF87D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0-89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DE3D9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Mildly decreased</w:t>
            </w:r>
          </w:p>
        </w:tc>
      </w:tr>
      <w:tr w14:paraId="12E38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F228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3a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41BB0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5-59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0F78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Mildly to moderately decreased</w:t>
            </w:r>
          </w:p>
        </w:tc>
      </w:tr>
      <w:tr w14:paraId="1F4B3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5B7B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3b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ADAB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0-44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C5EBF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Moderately to severely decreased</w:t>
            </w:r>
          </w:p>
        </w:tc>
      </w:tr>
      <w:tr w14:paraId="366D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8A3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4D67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5-29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C786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Severely decreased</w:t>
            </w:r>
          </w:p>
        </w:tc>
      </w:tr>
      <w:tr w14:paraId="4DDD2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A1D5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5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AA74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15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AEFD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Kidney failure</w:t>
            </w:r>
          </w:p>
        </w:tc>
      </w:tr>
    </w:tbl>
    <w:p w14:paraId="1947AC42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1"/>
          <w:szCs w:val="20"/>
          <w:highlight w:val="none"/>
        </w:rPr>
        <w:t>CKD, chronic kidney disease; GFR, glomerular filtration rate</w:t>
      </w:r>
    </w:p>
    <w:p w14:paraId="36D59FFF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</w:t>
      </w:r>
    </w:p>
    <w:p w14:paraId="2A29EF49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>H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 xml:space="preserve">igh-predicted 10-year CVD risk was defined as 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>≥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 xml:space="preserve"> 20% 10-year CVD risk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by the American Heart Association Predicting Risk of CVD EVENTs (PREVENT) equations.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 xml:space="preserve"> 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The PREVENT equation </w:t>
      </w:r>
      <w:r>
        <w:rPr>
          <w:rFonts w:ascii="Times New Roman" w:hAnsi="Times New Roman" w:eastAsia="宋体"/>
          <w:bCs/>
          <w:sz w:val="24"/>
          <w:szCs w:val="20"/>
          <w:highlight w:val="none"/>
          <w:vertAlign w:val="superscript"/>
        </w:rPr>
        <w:t>4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was developed and validated for adults aged 30-79 years old. In the U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>K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Biobank, the baseline age range of participants was 40-69 years, and the 10-year CVD risk was calculated for all study population. In addition, the PREVENT equation was developed for variables with specific bounds </w:t>
      </w: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(</w:t>
      </w:r>
      <w:r>
        <w:rPr>
          <w:rFonts w:hint="eastAsia"/>
          <w:b/>
          <w:bCs/>
          <w:sz w:val="24"/>
          <w:szCs w:val="20"/>
          <w:highlight w:val="none"/>
          <w:lang w:val="en-US" w:eastAsia="zh-CN"/>
        </w:rPr>
        <w:t>s</w:t>
      </w: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Table m2)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. To approximate PREVENT risk strata, values for these variables above or below these bounds were set to the upper or lower bounds of allowable values respectively </w:t>
      </w:r>
      <w:r>
        <w:rPr>
          <w:rFonts w:ascii="Times New Roman" w:hAnsi="Times New Roman" w:eastAsia="宋体"/>
          <w:bCs/>
          <w:sz w:val="24"/>
          <w:szCs w:val="20"/>
          <w:highlight w:val="none"/>
          <w:vertAlign w:val="superscript"/>
        </w:rPr>
        <w:t>2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>.</w:t>
      </w:r>
    </w:p>
    <w:p w14:paraId="1A904E98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</w:t>
      </w:r>
    </w:p>
    <w:p w14:paraId="0166134D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hint="eastAsia"/>
          <w:b/>
          <w:bCs/>
          <w:sz w:val="24"/>
          <w:szCs w:val="20"/>
          <w:highlight w:val="none"/>
          <w:lang w:val="en-US" w:eastAsia="zh-CN"/>
        </w:rPr>
        <w:t>s</w:t>
      </w: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Table m2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Variable bounds in the PREVENT equation </w:t>
      </w:r>
      <w:r>
        <w:rPr>
          <w:rFonts w:ascii="Times New Roman" w:hAnsi="Times New Roman" w:eastAsia="宋体"/>
          <w:bCs/>
          <w:sz w:val="24"/>
          <w:szCs w:val="20"/>
          <w:highlight w:val="none"/>
          <w:vertAlign w:val="superscript"/>
        </w:rPr>
        <w:t>4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1842"/>
        <w:gridCol w:w="1985"/>
      </w:tblGrid>
      <w:tr w14:paraId="362ED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8A9F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Variables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DE33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ower bounds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B93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Upper bounds</w:t>
            </w:r>
          </w:p>
        </w:tc>
      </w:tr>
      <w:tr w14:paraId="64AC7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58D40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Total cholesterol, mg/dl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C55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996E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20</w:t>
            </w:r>
          </w:p>
        </w:tc>
      </w:tr>
      <w:tr w14:paraId="7A4F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671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High density lipoprotein cholesterol, mg/dl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37A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E3463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00</w:t>
            </w:r>
          </w:p>
        </w:tc>
      </w:tr>
      <w:tr w14:paraId="35FF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9F8B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Systolic blood pressure, mmHg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56EFF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ACAB8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00</w:t>
            </w:r>
          </w:p>
        </w:tc>
      </w:tr>
      <w:tr w14:paraId="6B60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5C34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Estimated glomerular filtration rate, ml/min per 1.73 m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2F28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6BFF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40</w:t>
            </w:r>
          </w:p>
        </w:tc>
      </w:tr>
    </w:tbl>
    <w:p w14:paraId="415B5C25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</w:t>
      </w:r>
    </w:p>
    <w:p w14:paraId="2C75312C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Stage 4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includes patients with clinical CVD (coronary heart disease, heart failure, stroke, peripheral artery disease, atrial fibrillation) who had excessive/dysfunctional obesity, other metabolic risk factors, or CKD.</w:t>
      </w:r>
    </w:p>
    <w:p w14:paraId="2F3E1A33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29F0A7A9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3B9D6EA9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50645017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4DCFDD13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26650D31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73FA4430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76A23729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21E8918C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59D9536A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3F32DE52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47578516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</w:p>
    <w:p w14:paraId="6BC88BB7">
      <w:pPr>
        <w:spacing w:after="0" w:line="240" w:lineRule="auto"/>
        <w:jc w:val="both"/>
        <w:rPr>
          <w:rFonts w:ascii="Times New Roman" w:hAnsi="Times New Roman" w:eastAsia="宋体"/>
          <w:b/>
          <w:bCs/>
          <w:i/>
          <w:sz w:val="24"/>
          <w:highlight w:val="none"/>
        </w:rPr>
      </w:pPr>
      <w:r>
        <w:rPr>
          <w:rFonts w:hint="eastAsia"/>
          <w:b/>
          <w:bCs/>
          <w:i/>
          <w:sz w:val="24"/>
          <w:highlight w:val="none"/>
          <w:lang w:val="en-US" w:eastAsia="zh-CN"/>
        </w:rPr>
        <w:t xml:space="preserve">2. </w:t>
      </w:r>
      <w:r>
        <w:rPr>
          <w:rFonts w:ascii="Times New Roman" w:hAnsi="Times New Roman" w:eastAsia="宋体"/>
          <w:b/>
          <w:bCs/>
          <w:i/>
          <w:sz w:val="24"/>
          <w:highlight w:val="none"/>
        </w:rPr>
        <w:t>Assessment of CVH</w:t>
      </w:r>
    </w:p>
    <w:p w14:paraId="5DCF3685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According to the American Heart Association </w:t>
      </w:r>
      <w:r>
        <w:rPr>
          <w:rFonts w:ascii="Times New Roman" w:hAnsi="Times New Roman" w:eastAsia="宋体"/>
          <w:bCs/>
          <w:sz w:val="24"/>
          <w:szCs w:val="20"/>
          <w:highlight w:val="none"/>
          <w:vertAlign w:val="superscript"/>
        </w:rPr>
        <w:t>5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>, CVH score consists of eight components: diet, physical activity, nicotine exposure, sleep health, body mass index, blood lipids, blood glucose, and blood pressure. The following was how these components are scored</w:t>
      </w:r>
      <w:r>
        <w:rPr>
          <w:rFonts w:hint="eastAsia"/>
          <w:bCs/>
          <w:sz w:val="24"/>
          <w:szCs w:val="20"/>
          <w:highlight w:val="none"/>
          <w:lang w:val="en-US" w:eastAsia="zh-CN"/>
        </w:rPr>
        <w:t xml:space="preserve"> </w:t>
      </w:r>
      <w:r>
        <w:rPr>
          <w:rFonts w:hint="eastAsia"/>
          <w:b/>
          <w:bCs w:val="0"/>
          <w:sz w:val="24"/>
          <w:szCs w:val="20"/>
          <w:highlight w:val="none"/>
          <w:lang w:val="en-US" w:eastAsia="zh-CN"/>
        </w:rPr>
        <w:t>(s</w:t>
      </w:r>
      <w:r>
        <w:rPr>
          <w:rFonts w:ascii="Times New Roman" w:hAnsi="Times New Roman" w:eastAsia="宋体"/>
          <w:b/>
          <w:bCs w:val="0"/>
          <w:sz w:val="24"/>
          <w:szCs w:val="20"/>
          <w:highlight w:val="none"/>
        </w:rPr>
        <w:t>Table m</w:t>
      </w:r>
      <w:r>
        <w:rPr>
          <w:rFonts w:hint="eastAsia"/>
          <w:b/>
          <w:bCs w:val="0"/>
          <w:sz w:val="24"/>
          <w:szCs w:val="20"/>
          <w:highlight w:val="none"/>
          <w:lang w:val="en-US" w:eastAsia="zh-CN"/>
        </w:rPr>
        <w:t>3)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>:</w:t>
      </w:r>
    </w:p>
    <w:p w14:paraId="45535A4E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</w:p>
    <w:p w14:paraId="4D3E34FB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hint="eastAsia"/>
          <w:b/>
          <w:bCs/>
          <w:sz w:val="24"/>
          <w:szCs w:val="20"/>
          <w:highlight w:val="none"/>
          <w:lang w:val="en-US" w:eastAsia="zh-CN"/>
        </w:rPr>
        <w:t>s</w:t>
      </w: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Table m3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Definition and scoring approach for quantifying cardiovascular health, as per the American Heart Association’s Life’s Essential 8 score </w:t>
      </w:r>
      <w:r>
        <w:rPr>
          <w:rFonts w:ascii="Times New Roman" w:hAnsi="Times New Roman" w:eastAsia="宋体"/>
          <w:bCs/>
          <w:sz w:val="24"/>
          <w:szCs w:val="20"/>
          <w:highlight w:val="none"/>
          <w:vertAlign w:val="superscript"/>
        </w:rPr>
        <w:t>5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, and as applied in the study by Hind A. Beydoun et al. </w:t>
      </w:r>
      <w:r>
        <w:rPr>
          <w:rFonts w:ascii="Times New Roman" w:hAnsi="Times New Roman" w:eastAsia="宋体"/>
          <w:bCs/>
          <w:sz w:val="24"/>
          <w:szCs w:val="20"/>
          <w:highlight w:val="none"/>
          <w:vertAlign w:val="superscript"/>
        </w:rPr>
        <w:t>6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1542"/>
        <w:gridCol w:w="4253"/>
        <w:gridCol w:w="6978"/>
      </w:tblGrid>
      <w:tr w14:paraId="68C06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noWrap w:val="0"/>
            <w:vAlign w:val="top"/>
          </w:tcPr>
          <w:p w14:paraId="526D015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Domain</w:t>
            </w:r>
          </w:p>
        </w:tc>
        <w:tc>
          <w:tcPr>
            <w:tcW w:w="1542" w:type="dxa"/>
            <w:noWrap w:val="0"/>
            <w:vAlign w:val="top"/>
          </w:tcPr>
          <w:p w14:paraId="17E423B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CVH metric</w:t>
            </w:r>
          </w:p>
        </w:tc>
        <w:tc>
          <w:tcPr>
            <w:tcW w:w="4253" w:type="dxa"/>
            <w:noWrap w:val="0"/>
            <w:vAlign w:val="top"/>
          </w:tcPr>
          <w:p w14:paraId="2CF64FA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Method of measurement</w:t>
            </w:r>
          </w:p>
        </w:tc>
        <w:tc>
          <w:tcPr>
            <w:tcW w:w="6978" w:type="dxa"/>
            <w:noWrap w:val="0"/>
            <w:vAlign w:val="top"/>
          </w:tcPr>
          <w:p w14:paraId="0DA527B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 xml:space="preserve">Quantification of CVH metric: adults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20 y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ears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 xml:space="preserve"> of age)</w:t>
            </w:r>
          </w:p>
        </w:tc>
      </w:tr>
      <w:tr w14:paraId="23C4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vMerge w:val="restart"/>
            <w:noWrap w:val="0"/>
            <w:vAlign w:val="top"/>
          </w:tcPr>
          <w:p w14:paraId="31DA64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Health behaviors</w:t>
            </w:r>
          </w:p>
        </w:tc>
        <w:tc>
          <w:tcPr>
            <w:tcW w:w="1542" w:type="dxa"/>
            <w:noWrap w:val="0"/>
            <w:vAlign w:val="top"/>
          </w:tcPr>
          <w:p w14:paraId="2B0D12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diet</w:t>
            </w:r>
          </w:p>
        </w:tc>
        <w:tc>
          <w:tcPr>
            <w:tcW w:w="4253" w:type="dxa"/>
            <w:noWrap w:val="0"/>
            <w:vAlign w:val="top"/>
          </w:tcPr>
          <w:p w14:paraId="0822FE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Measurement: Healthy Diet Index score</w:t>
            </w:r>
            <w:r>
              <w:rPr>
                <w:rFonts w:hint="eastAsia" w:cs="Times New Roman"/>
                <w:bCs/>
                <w:sz w:val="24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/>
                <w:bCs w:val="0"/>
                <w:sz w:val="24"/>
                <w:szCs w:val="20"/>
                <w:highlight w:val="none"/>
                <w:lang w:val="en-US" w:eastAsia="zh-CN"/>
              </w:rPr>
              <w:t>(</w:t>
            </w:r>
            <w:r>
              <w:rPr>
                <w:rFonts w:hint="eastAsia"/>
                <w:b/>
                <w:bCs w:val="0"/>
                <w:sz w:val="24"/>
                <w:szCs w:val="20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/>
                <w:b/>
                <w:bCs w:val="0"/>
                <w:sz w:val="24"/>
                <w:szCs w:val="20"/>
                <w:highlight w:val="none"/>
              </w:rPr>
              <w:t>Table m</w:t>
            </w:r>
            <w:r>
              <w:rPr>
                <w:rFonts w:hint="eastAsia"/>
                <w:b/>
                <w:bCs w:val="0"/>
                <w:sz w:val="24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cs="Times New Roman"/>
                <w:b/>
                <w:bCs w:val="0"/>
                <w:sz w:val="24"/>
                <w:szCs w:val="20"/>
                <w:highlight w:val="none"/>
                <w:lang w:val="en-US" w:eastAsia="zh-CN"/>
              </w:rPr>
              <w:t>)</w:t>
            </w:r>
          </w:p>
        </w:tc>
        <w:tc>
          <w:tcPr>
            <w:tcW w:w="6978" w:type="dxa"/>
            <w:noWrap w:val="0"/>
            <w:vAlign w:val="top"/>
          </w:tcPr>
          <w:p w14:paraId="64D9EEB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Scoring (population):</w:t>
            </w:r>
          </w:p>
          <w:p w14:paraId="79D048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Points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Quantile</w:t>
            </w:r>
          </w:p>
          <w:p w14:paraId="5D5BE7D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100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 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95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th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percentile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(top/ideal diet)</w:t>
            </w:r>
          </w:p>
          <w:p w14:paraId="60B9CED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80    75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th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- 94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th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percentile</w:t>
            </w:r>
          </w:p>
          <w:p w14:paraId="4CEDCE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50    50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th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- 74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th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percentile</w:t>
            </w:r>
          </w:p>
          <w:p w14:paraId="060A37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25    25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th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- 49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th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percentile</w:t>
            </w:r>
          </w:p>
          <w:p w14:paraId="252039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0     1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st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- 24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th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percentile (bottom/least ideal quartile)</w:t>
            </w:r>
          </w:p>
        </w:tc>
      </w:tr>
      <w:tr w14:paraId="3120A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vMerge w:val="continue"/>
            <w:noWrap w:val="0"/>
            <w:vAlign w:val="top"/>
          </w:tcPr>
          <w:p w14:paraId="5F614E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  <w:tc>
          <w:tcPr>
            <w:tcW w:w="1542" w:type="dxa"/>
            <w:noWrap w:val="0"/>
            <w:vAlign w:val="top"/>
          </w:tcPr>
          <w:p w14:paraId="076A17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physical activity</w:t>
            </w:r>
          </w:p>
        </w:tc>
        <w:tc>
          <w:tcPr>
            <w:tcW w:w="4253" w:type="dxa"/>
            <w:noWrap w:val="0"/>
            <w:vAlign w:val="top"/>
          </w:tcPr>
          <w:p w14:paraId="25DD24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Measurement: Self-reported minutes of moderate or vigorous physical activity per week</w:t>
            </w:r>
          </w:p>
        </w:tc>
        <w:tc>
          <w:tcPr>
            <w:tcW w:w="6978" w:type="dxa"/>
            <w:noWrap w:val="0"/>
            <w:vAlign w:val="top"/>
          </w:tcPr>
          <w:p w14:paraId="784C625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Metric: Minutes of moderate- (or greater) intensity activity per week</w:t>
            </w:r>
          </w:p>
          <w:p w14:paraId="10D4686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Scoring:</w:t>
            </w:r>
          </w:p>
          <w:p w14:paraId="0091C5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Points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Minutes</w:t>
            </w:r>
          </w:p>
          <w:p w14:paraId="7347BF3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100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 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150</w:t>
            </w:r>
          </w:p>
          <w:p w14:paraId="307A7A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90    120 - 149</w:t>
            </w:r>
          </w:p>
          <w:p w14:paraId="262095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80    90 - 119</w:t>
            </w:r>
          </w:p>
          <w:p w14:paraId="2967B0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60    60 - 89</w:t>
            </w:r>
          </w:p>
          <w:p w14:paraId="68D107D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40    30 - 59</w:t>
            </w:r>
          </w:p>
          <w:p w14:paraId="138F798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20    1 - 29</w:t>
            </w:r>
          </w:p>
          <w:p w14:paraId="533F89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0     0</w:t>
            </w:r>
          </w:p>
        </w:tc>
      </w:tr>
      <w:tr w14:paraId="3DEFA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vMerge w:val="continue"/>
            <w:noWrap w:val="0"/>
            <w:vAlign w:val="top"/>
          </w:tcPr>
          <w:p w14:paraId="0189F07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  <w:tc>
          <w:tcPr>
            <w:tcW w:w="1542" w:type="dxa"/>
            <w:noWrap w:val="0"/>
            <w:vAlign w:val="top"/>
          </w:tcPr>
          <w:p w14:paraId="46FF36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nicotine exposure</w:t>
            </w:r>
          </w:p>
        </w:tc>
        <w:tc>
          <w:tcPr>
            <w:tcW w:w="4253" w:type="dxa"/>
            <w:noWrap w:val="0"/>
            <w:vAlign w:val="top"/>
          </w:tcPr>
          <w:p w14:paraId="367920F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Measurement: Self-reported use of cigarettes</w:t>
            </w:r>
          </w:p>
        </w:tc>
        <w:tc>
          <w:tcPr>
            <w:tcW w:w="6978" w:type="dxa"/>
            <w:noWrap w:val="0"/>
            <w:vAlign w:val="top"/>
          </w:tcPr>
          <w:p w14:paraId="0E8C294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Metric: Combustible tobacco use</w:t>
            </w:r>
          </w:p>
          <w:p w14:paraId="19BB84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Scoring:</w:t>
            </w:r>
          </w:p>
          <w:p w14:paraId="011003A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Points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Status</w:t>
            </w:r>
          </w:p>
          <w:p w14:paraId="41FD186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100   Never smoker</w:t>
            </w:r>
          </w:p>
          <w:p w14:paraId="067C187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75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Former smoker, quit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5 y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ears</w:t>
            </w:r>
          </w:p>
          <w:p w14:paraId="4102F5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50    Former smoker, quit 1- &lt; 5 years</w:t>
            </w:r>
          </w:p>
          <w:p w14:paraId="6C3E235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25    Former smoker, quit &lt; 1 years</w:t>
            </w:r>
          </w:p>
          <w:p w14:paraId="2C4673F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     Current smoker</w:t>
            </w:r>
          </w:p>
        </w:tc>
      </w:tr>
      <w:tr w14:paraId="7A46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vMerge w:val="continue"/>
            <w:noWrap w:val="0"/>
            <w:vAlign w:val="top"/>
          </w:tcPr>
          <w:p w14:paraId="792043B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  <w:tc>
          <w:tcPr>
            <w:tcW w:w="1542" w:type="dxa"/>
            <w:noWrap w:val="0"/>
            <w:vAlign w:val="top"/>
          </w:tcPr>
          <w:p w14:paraId="7494F5D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sleep health</w:t>
            </w:r>
          </w:p>
        </w:tc>
        <w:tc>
          <w:tcPr>
            <w:tcW w:w="4253" w:type="dxa"/>
            <w:noWrap w:val="0"/>
            <w:vAlign w:val="top"/>
          </w:tcPr>
          <w:p w14:paraId="22433D1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Measurement: Self-reported average hours of sleep per </w:t>
            </w:r>
            <w:r>
              <w:rPr>
                <w:rFonts w:hint="eastAsia" w:cs="Times New Roman"/>
                <w:bCs/>
                <w:sz w:val="24"/>
                <w:szCs w:val="20"/>
                <w:highlight w:val="none"/>
                <w:lang w:val="en-US" w:eastAsia="zh-CN"/>
              </w:rPr>
              <w:t>day</w:t>
            </w:r>
          </w:p>
        </w:tc>
        <w:tc>
          <w:tcPr>
            <w:tcW w:w="6978" w:type="dxa"/>
            <w:noWrap w:val="0"/>
            <w:vAlign w:val="top"/>
          </w:tcPr>
          <w:p w14:paraId="67BE608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Metric: Average hours of sleep per</w:t>
            </w:r>
            <w:r>
              <w:rPr>
                <w:rFonts w:hint="eastAsia" w:cs="Times New Roman"/>
                <w:bCs/>
                <w:sz w:val="24"/>
                <w:szCs w:val="20"/>
                <w:highlight w:val="none"/>
                <w:lang w:val="en-US" w:eastAsia="zh-CN"/>
              </w:rPr>
              <w:t xml:space="preserve"> day</w:t>
            </w:r>
          </w:p>
          <w:p w14:paraId="709CC9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Scoring:</w:t>
            </w:r>
          </w:p>
          <w:p w14:paraId="78D527F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Points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Level</w:t>
            </w:r>
          </w:p>
          <w:p w14:paraId="7240B69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100   7 - &lt; 9</w:t>
            </w:r>
          </w:p>
          <w:p w14:paraId="6707C8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90    9 - &lt; 10</w:t>
            </w:r>
          </w:p>
          <w:p w14:paraId="7796197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70    6 - &lt; 7</w:t>
            </w:r>
          </w:p>
          <w:p w14:paraId="31F6EC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40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-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6 or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</w:t>
            </w:r>
          </w:p>
          <w:p w14:paraId="5E2779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20    4 - &lt; 5</w:t>
            </w:r>
          </w:p>
          <w:p w14:paraId="667EDF2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0     &lt; 4</w:t>
            </w:r>
          </w:p>
        </w:tc>
      </w:tr>
      <w:tr w14:paraId="34A0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vMerge w:val="restart"/>
            <w:noWrap w:val="0"/>
            <w:vAlign w:val="top"/>
          </w:tcPr>
          <w:p w14:paraId="7F9436F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Health factors</w:t>
            </w:r>
          </w:p>
        </w:tc>
        <w:tc>
          <w:tcPr>
            <w:tcW w:w="1542" w:type="dxa"/>
            <w:noWrap w:val="0"/>
            <w:vAlign w:val="top"/>
          </w:tcPr>
          <w:p w14:paraId="5738883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body mass index</w:t>
            </w:r>
          </w:p>
        </w:tc>
        <w:tc>
          <w:tcPr>
            <w:tcW w:w="4253" w:type="dxa"/>
            <w:noWrap w:val="0"/>
            <w:vAlign w:val="top"/>
          </w:tcPr>
          <w:p w14:paraId="6B70EF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Measurement: Body weight (kilograms) divided by height squared (meters squared)</w:t>
            </w:r>
          </w:p>
        </w:tc>
        <w:tc>
          <w:tcPr>
            <w:tcW w:w="6978" w:type="dxa"/>
            <w:noWrap w:val="0"/>
            <w:vAlign w:val="top"/>
          </w:tcPr>
          <w:p w14:paraId="789905F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Metric: Body mass index (kg/m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)</w:t>
            </w:r>
          </w:p>
          <w:p w14:paraId="7D7FB6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Scoring:</w:t>
            </w:r>
          </w:p>
          <w:p w14:paraId="5DE1514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Points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Level</w:t>
            </w:r>
          </w:p>
          <w:p w14:paraId="6D5E023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100   &lt; 25</w:t>
            </w:r>
          </w:p>
          <w:p w14:paraId="7552AF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70    25.0 - 29.9</w:t>
            </w:r>
          </w:p>
          <w:p w14:paraId="4B46C3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30    30.0 - 34.9</w:t>
            </w:r>
          </w:p>
          <w:p w14:paraId="67FF1F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15    35.0 - 39.9</w:t>
            </w:r>
          </w:p>
          <w:p w14:paraId="4EF41FD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   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40.0</w:t>
            </w:r>
          </w:p>
        </w:tc>
      </w:tr>
      <w:tr w14:paraId="600C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vMerge w:val="continue"/>
            <w:noWrap w:val="0"/>
            <w:vAlign w:val="top"/>
          </w:tcPr>
          <w:p w14:paraId="1152C2D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  <w:tc>
          <w:tcPr>
            <w:tcW w:w="1542" w:type="dxa"/>
            <w:noWrap w:val="0"/>
            <w:vAlign w:val="top"/>
          </w:tcPr>
          <w:p w14:paraId="3A5CFE1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blood lipids</w:t>
            </w:r>
          </w:p>
        </w:tc>
        <w:tc>
          <w:tcPr>
            <w:tcW w:w="4253" w:type="dxa"/>
            <w:noWrap w:val="0"/>
            <w:vAlign w:val="top"/>
          </w:tcPr>
          <w:p w14:paraId="03B3F8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Measurement: Plasma total and HDL cholesterol with calculation of non-HDL cholesterol</w:t>
            </w:r>
          </w:p>
        </w:tc>
        <w:tc>
          <w:tcPr>
            <w:tcW w:w="6978" w:type="dxa"/>
            <w:noWrap w:val="0"/>
            <w:vAlign w:val="top"/>
          </w:tcPr>
          <w:p w14:paraId="47D818A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Metric: Non-HDL cholesterol (mg/dl)</w:t>
            </w:r>
          </w:p>
          <w:p w14:paraId="238E29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Scoring:</w:t>
            </w:r>
          </w:p>
          <w:p w14:paraId="6621CAA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Points Level</w:t>
            </w:r>
          </w:p>
          <w:p w14:paraId="2FE80B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100   &lt; 130</w:t>
            </w:r>
          </w:p>
          <w:p w14:paraId="33A3920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60    130 - 159</w:t>
            </w:r>
          </w:p>
          <w:p w14:paraId="485422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40    160 - 189</w:t>
            </w:r>
          </w:p>
          <w:p w14:paraId="644A9C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20    190 - 219</w:t>
            </w:r>
          </w:p>
          <w:p w14:paraId="4ACD2A4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   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220</w:t>
            </w:r>
          </w:p>
          <w:p w14:paraId="04109A6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If drug-treated level, subtract 20 points</w:t>
            </w:r>
          </w:p>
        </w:tc>
      </w:tr>
      <w:tr w14:paraId="5258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vMerge w:val="continue"/>
            <w:noWrap w:val="0"/>
            <w:vAlign w:val="top"/>
          </w:tcPr>
          <w:p w14:paraId="24FA61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  <w:tc>
          <w:tcPr>
            <w:tcW w:w="1542" w:type="dxa"/>
            <w:noWrap w:val="0"/>
            <w:vAlign w:val="top"/>
          </w:tcPr>
          <w:p w14:paraId="638C23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blood glucose</w:t>
            </w:r>
          </w:p>
        </w:tc>
        <w:tc>
          <w:tcPr>
            <w:tcW w:w="4253" w:type="dxa"/>
            <w:noWrap w:val="0"/>
            <w:vAlign w:val="top"/>
          </w:tcPr>
          <w:p w14:paraId="4B9D52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Measurement: casual HbA1c</w:t>
            </w:r>
          </w:p>
        </w:tc>
        <w:tc>
          <w:tcPr>
            <w:tcW w:w="6978" w:type="dxa"/>
            <w:noWrap w:val="0"/>
            <w:vAlign w:val="top"/>
          </w:tcPr>
          <w:p w14:paraId="41A6683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Metric: HbA1c (%)</w:t>
            </w:r>
          </w:p>
          <w:p w14:paraId="1BA6AA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Scoring:</w:t>
            </w:r>
          </w:p>
          <w:p w14:paraId="537E12B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Points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Level</w:t>
            </w:r>
          </w:p>
          <w:p w14:paraId="1107D1A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100   No history of diabetes and HbA1c &lt; 5.7</w:t>
            </w:r>
          </w:p>
          <w:p w14:paraId="51EEC4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60    No diabetes and HbA1c 5.7 - 6.4 (prediabetes)</w:t>
            </w:r>
          </w:p>
          <w:p w14:paraId="140A8F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40    Diabetes with HbA1c &lt; 7.0</w:t>
            </w:r>
          </w:p>
          <w:p w14:paraId="6AB989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30    Diabetes with HbA1c 7.0 - 7.9</w:t>
            </w:r>
          </w:p>
          <w:p w14:paraId="2A095E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20    Diabetes with HbA1c 8.0 - 8.9</w:t>
            </w:r>
          </w:p>
          <w:p w14:paraId="2606096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    Diabetes with HbA1c 9.0 - 9.9</w:t>
            </w:r>
          </w:p>
          <w:p w14:paraId="421F2E8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Diabetes with HbA1c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10.0</w:t>
            </w:r>
          </w:p>
        </w:tc>
      </w:tr>
      <w:tr w14:paraId="1063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vMerge w:val="continue"/>
            <w:noWrap w:val="0"/>
            <w:vAlign w:val="top"/>
          </w:tcPr>
          <w:p w14:paraId="7DD5EC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  <w:tc>
          <w:tcPr>
            <w:tcW w:w="1542" w:type="dxa"/>
            <w:noWrap w:val="0"/>
            <w:vAlign w:val="top"/>
          </w:tcPr>
          <w:p w14:paraId="0AEE18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blood pressure</w:t>
            </w:r>
          </w:p>
        </w:tc>
        <w:tc>
          <w:tcPr>
            <w:tcW w:w="4253" w:type="dxa"/>
            <w:noWrap w:val="0"/>
            <w:vAlign w:val="top"/>
          </w:tcPr>
          <w:p w14:paraId="54EC0C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Measurement: Appropriately measured systolic and diastolic blood pressure</w:t>
            </w:r>
          </w:p>
        </w:tc>
        <w:tc>
          <w:tcPr>
            <w:tcW w:w="6978" w:type="dxa"/>
            <w:noWrap w:val="0"/>
            <w:vAlign w:val="top"/>
          </w:tcPr>
          <w:p w14:paraId="3456F67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Metric: Systolic and diastolic blood pressure (mmHg)</w:t>
            </w:r>
          </w:p>
          <w:p w14:paraId="1F10C4E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Scoring:</w:t>
            </w:r>
          </w:p>
          <w:p w14:paraId="42EEB72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Points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  <w:u w:val="single"/>
              </w:rPr>
              <w:t>Level</w:t>
            </w:r>
          </w:p>
          <w:p w14:paraId="5F0153E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100   &lt; 120/ &lt; 80 (optimal)</w:t>
            </w:r>
          </w:p>
          <w:p w14:paraId="581A7F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75    120 - 129/ &lt; 80 (elevated)</w:t>
            </w:r>
          </w:p>
          <w:p w14:paraId="40D6E5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50    130 - 139 or 80 - 89 (stage 1 hypertension)</w:t>
            </w:r>
          </w:p>
          <w:p w14:paraId="0A0FAC3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25    140 - 159 or 90 - 99</w:t>
            </w:r>
          </w:p>
          <w:p w14:paraId="357E43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   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160 or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100</w:t>
            </w:r>
          </w:p>
          <w:p w14:paraId="040AF0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Subtract 20 points if treated</w:t>
            </w:r>
            <w:r>
              <w:rPr>
                <w:rFonts w:hint="eastAsia" w:cs="Times New Roman"/>
                <w:bCs/>
                <w:sz w:val="24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level</w:t>
            </w:r>
          </w:p>
        </w:tc>
      </w:tr>
    </w:tbl>
    <w:p w14:paraId="2B146850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</w:p>
    <w:p w14:paraId="6CA07BDF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hint="eastAsia"/>
          <w:b/>
          <w:bCs/>
          <w:sz w:val="24"/>
          <w:szCs w:val="20"/>
          <w:highlight w:val="none"/>
          <w:lang w:val="en-US" w:eastAsia="zh-CN"/>
        </w:rPr>
        <w:t>s</w:t>
      </w: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Table m4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 </w:t>
      </w:r>
      <w:r>
        <w:rPr>
          <w:rFonts w:hint="eastAsia" w:ascii="Times New Roman" w:hAnsi="Times New Roman" w:eastAsia="宋体"/>
          <w:bCs/>
          <w:sz w:val="24"/>
          <w:szCs w:val="20"/>
          <w:highlight w:val="none"/>
        </w:rPr>
        <w:t>M</w:t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>odified Healthy Diet Index in the UK biobank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7"/>
        <w:gridCol w:w="3191"/>
        <w:gridCol w:w="3584"/>
        <w:gridCol w:w="3652"/>
      </w:tblGrid>
      <w:tr w14:paraId="425A4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68988C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Food group</w:t>
            </w:r>
          </w:p>
        </w:tc>
        <w:tc>
          <w:tcPr>
            <w:tcW w:w="3191" w:type="dxa"/>
            <w:noWrap w:val="0"/>
            <w:vAlign w:val="top"/>
          </w:tcPr>
          <w:p w14:paraId="1595A5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Field id</w:t>
            </w:r>
          </w:p>
        </w:tc>
        <w:tc>
          <w:tcPr>
            <w:tcW w:w="3584" w:type="dxa"/>
            <w:noWrap w:val="0"/>
            <w:vAlign w:val="top"/>
          </w:tcPr>
          <w:p w14:paraId="610528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 xml:space="preserve">Definition of meeting </w:t>
            </w:r>
          </w:p>
          <w:p w14:paraId="1042CA0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criterion</w:t>
            </w:r>
          </w:p>
        </w:tc>
        <w:tc>
          <w:tcPr>
            <w:tcW w:w="3652" w:type="dxa"/>
            <w:noWrap w:val="0"/>
            <w:vAlign w:val="top"/>
          </w:tcPr>
          <w:p w14:paraId="31311C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Criteria and scoring</w:t>
            </w:r>
          </w:p>
        </w:tc>
      </w:tr>
      <w:tr w14:paraId="0A059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32A583D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Consume more</w:t>
            </w:r>
          </w:p>
        </w:tc>
        <w:tc>
          <w:tcPr>
            <w:tcW w:w="3191" w:type="dxa"/>
            <w:noWrap w:val="0"/>
            <w:vAlign w:val="top"/>
          </w:tcPr>
          <w:p w14:paraId="484D73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</w:p>
        </w:tc>
        <w:tc>
          <w:tcPr>
            <w:tcW w:w="3584" w:type="dxa"/>
            <w:noWrap w:val="0"/>
            <w:vAlign w:val="top"/>
          </w:tcPr>
          <w:p w14:paraId="73D0A8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</w:p>
        </w:tc>
        <w:tc>
          <w:tcPr>
            <w:tcW w:w="3652" w:type="dxa"/>
            <w:noWrap w:val="0"/>
            <w:vAlign w:val="top"/>
          </w:tcPr>
          <w:p w14:paraId="69C422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</w:p>
        </w:tc>
      </w:tr>
      <w:tr w14:paraId="616C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07E7F2D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Fruits, fresh or dried</w:t>
            </w:r>
          </w:p>
        </w:tc>
        <w:tc>
          <w:tcPr>
            <w:tcW w:w="3191" w:type="dxa"/>
            <w:noWrap w:val="0"/>
            <w:vAlign w:val="top"/>
          </w:tcPr>
          <w:p w14:paraId="5CA14A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309 and 1319</w:t>
            </w:r>
          </w:p>
        </w:tc>
        <w:tc>
          <w:tcPr>
            <w:tcW w:w="3584" w:type="dxa"/>
            <w:noWrap w:val="0"/>
            <w:vAlign w:val="top"/>
          </w:tcPr>
          <w:p w14:paraId="32991F7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 servings per day</w:t>
            </w:r>
          </w:p>
        </w:tc>
        <w:tc>
          <w:tcPr>
            <w:tcW w:w="3652" w:type="dxa"/>
            <w:noWrap w:val="0"/>
            <w:vAlign w:val="top"/>
          </w:tcPr>
          <w:p w14:paraId="085D08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6AB5D4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0B096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738843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Vegetables, salad or cooked</w:t>
            </w:r>
          </w:p>
        </w:tc>
        <w:tc>
          <w:tcPr>
            <w:tcW w:w="3191" w:type="dxa"/>
            <w:noWrap w:val="0"/>
            <w:vAlign w:val="top"/>
          </w:tcPr>
          <w:p w14:paraId="3A9FB78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289 and 1299</w:t>
            </w:r>
          </w:p>
        </w:tc>
        <w:tc>
          <w:tcPr>
            <w:tcW w:w="3584" w:type="dxa"/>
            <w:noWrap w:val="0"/>
            <w:vAlign w:val="top"/>
          </w:tcPr>
          <w:p w14:paraId="2F21F1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 servings per day</w:t>
            </w:r>
          </w:p>
        </w:tc>
        <w:tc>
          <w:tcPr>
            <w:tcW w:w="3652" w:type="dxa"/>
            <w:noWrap w:val="0"/>
            <w:vAlign w:val="top"/>
          </w:tcPr>
          <w:p w14:paraId="0BC1DB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159D8C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1E8A2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69259A2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Whole grains</w:t>
            </w:r>
          </w:p>
        </w:tc>
        <w:tc>
          <w:tcPr>
            <w:tcW w:w="3191" w:type="dxa"/>
            <w:noWrap w:val="0"/>
            <w:vAlign w:val="top"/>
          </w:tcPr>
          <w:p w14:paraId="68BCAD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438, 1448, 1458, and 1468</w:t>
            </w:r>
          </w:p>
        </w:tc>
        <w:tc>
          <w:tcPr>
            <w:tcW w:w="3584" w:type="dxa"/>
            <w:noWrap w:val="0"/>
            <w:vAlign w:val="top"/>
          </w:tcPr>
          <w:p w14:paraId="0D09F13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Bread: wholemeal/wholegrain bread</w:t>
            </w:r>
          </w:p>
          <w:p w14:paraId="0A0E48F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Cereal: bran/oat/muesli cereal</w:t>
            </w:r>
          </w:p>
          <w:p w14:paraId="2A407CF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 servings per day</w:t>
            </w:r>
          </w:p>
        </w:tc>
        <w:tc>
          <w:tcPr>
            <w:tcW w:w="3652" w:type="dxa"/>
            <w:noWrap w:val="0"/>
            <w:vAlign w:val="top"/>
          </w:tcPr>
          <w:p w14:paraId="707A92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797C99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2EC28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08BCFA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Fish shellfish</w:t>
            </w:r>
          </w:p>
        </w:tc>
        <w:tc>
          <w:tcPr>
            <w:tcW w:w="3191" w:type="dxa"/>
            <w:noWrap w:val="0"/>
            <w:vAlign w:val="top"/>
          </w:tcPr>
          <w:p w14:paraId="5E574B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329 and 1339</w:t>
            </w:r>
          </w:p>
        </w:tc>
        <w:tc>
          <w:tcPr>
            <w:tcW w:w="3584" w:type="dxa"/>
            <w:noWrap w:val="0"/>
            <w:vAlign w:val="top"/>
          </w:tcPr>
          <w:p w14:paraId="4690085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≥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 servings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per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w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ee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k</w:t>
            </w:r>
          </w:p>
        </w:tc>
        <w:tc>
          <w:tcPr>
            <w:tcW w:w="3652" w:type="dxa"/>
            <w:noWrap w:val="0"/>
            <w:vAlign w:val="top"/>
          </w:tcPr>
          <w:p w14:paraId="2921D2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325FB4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7E2DB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59E6426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Dairy products</w:t>
            </w:r>
          </w:p>
        </w:tc>
        <w:tc>
          <w:tcPr>
            <w:tcW w:w="3191" w:type="dxa"/>
            <w:noWrap w:val="0"/>
            <w:vAlign w:val="top"/>
          </w:tcPr>
          <w:p w14:paraId="62AB8AA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1408 and 1418</w:t>
            </w:r>
          </w:p>
        </w:tc>
        <w:tc>
          <w:tcPr>
            <w:tcW w:w="3584" w:type="dxa"/>
            <w:noWrap w:val="0"/>
            <w:vAlign w:val="top"/>
          </w:tcPr>
          <w:p w14:paraId="13E99C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≥ 2 servings per day</w:t>
            </w:r>
          </w:p>
        </w:tc>
        <w:tc>
          <w:tcPr>
            <w:tcW w:w="3652" w:type="dxa"/>
            <w:noWrap w:val="0"/>
            <w:vAlign w:val="top"/>
          </w:tcPr>
          <w:p w14:paraId="431B75D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782321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06AFD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652FF35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Vegetable oils</w:t>
            </w:r>
          </w:p>
        </w:tc>
        <w:tc>
          <w:tcPr>
            <w:tcW w:w="3191" w:type="dxa"/>
            <w:noWrap w:val="0"/>
            <w:vAlign w:val="top"/>
          </w:tcPr>
          <w:p w14:paraId="04C77CA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1428 and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654</w:t>
            </w:r>
          </w:p>
        </w:tc>
        <w:tc>
          <w:tcPr>
            <w:tcW w:w="3584" w:type="dxa"/>
            <w:noWrap w:val="0"/>
            <w:vAlign w:val="top"/>
          </w:tcPr>
          <w:p w14:paraId="50504A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olive oil or polyunsaturated/sunflower oil</w:t>
            </w:r>
          </w:p>
        </w:tc>
        <w:tc>
          <w:tcPr>
            <w:tcW w:w="3652" w:type="dxa"/>
            <w:noWrap w:val="0"/>
            <w:vAlign w:val="top"/>
          </w:tcPr>
          <w:p w14:paraId="5C0667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1EC0CF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1B8B9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3C5303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highlight w:val="none"/>
              </w:rPr>
              <w:t>Consume less</w:t>
            </w:r>
          </w:p>
        </w:tc>
        <w:tc>
          <w:tcPr>
            <w:tcW w:w="3191" w:type="dxa"/>
            <w:noWrap w:val="0"/>
            <w:vAlign w:val="top"/>
          </w:tcPr>
          <w:p w14:paraId="2DAECC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  <w:tc>
          <w:tcPr>
            <w:tcW w:w="3584" w:type="dxa"/>
            <w:noWrap w:val="0"/>
            <w:vAlign w:val="top"/>
          </w:tcPr>
          <w:p w14:paraId="11DEC5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  <w:tc>
          <w:tcPr>
            <w:tcW w:w="3652" w:type="dxa"/>
            <w:noWrap w:val="0"/>
            <w:vAlign w:val="top"/>
          </w:tcPr>
          <w:p w14:paraId="3D04FF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</w:tr>
      <w:tr w14:paraId="54247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702D6C7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Refined grains, starches, added sugars</w:t>
            </w:r>
          </w:p>
        </w:tc>
        <w:tc>
          <w:tcPr>
            <w:tcW w:w="3191" w:type="dxa"/>
            <w:noWrap w:val="0"/>
            <w:vAlign w:val="top"/>
          </w:tcPr>
          <w:p w14:paraId="2011396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1438, 1448, 1458, and 1468</w:t>
            </w:r>
          </w:p>
        </w:tc>
        <w:tc>
          <w:tcPr>
            <w:tcW w:w="3584" w:type="dxa"/>
            <w:noWrap w:val="0"/>
            <w:vAlign w:val="top"/>
          </w:tcPr>
          <w:p w14:paraId="5728B0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Follow a similar coding scheme as for whole grains but select non-whole grains</w:t>
            </w:r>
          </w:p>
          <w:p w14:paraId="4CB34E0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≤ 2 servings per day</w:t>
            </w:r>
          </w:p>
        </w:tc>
        <w:tc>
          <w:tcPr>
            <w:tcW w:w="3652" w:type="dxa"/>
            <w:noWrap w:val="0"/>
            <w:vAlign w:val="top"/>
          </w:tcPr>
          <w:p w14:paraId="0A8A293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24763C8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7DEE3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7766707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Processed meats</w:t>
            </w:r>
          </w:p>
        </w:tc>
        <w:tc>
          <w:tcPr>
            <w:tcW w:w="3191" w:type="dxa"/>
            <w:noWrap w:val="0"/>
            <w:vAlign w:val="top"/>
          </w:tcPr>
          <w:p w14:paraId="2BE148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349</w:t>
            </w:r>
          </w:p>
        </w:tc>
        <w:tc>
          <w:tcPr>
            <w:tcW w:w="3584" w:type="dxa"/>
            <w:noWrap w:val="0"/>
            <w:vAlign w:val="top"/>
          </w:tcPr>
          <w:p w14:paraId="15FBD68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Once a week or less</w:t>
            </w:r>
          </w:p>
        </w:tc>
        <w:tc>
          <w:tcPr>
            <w:tcW w:w="3652" w:type="dxa"/>
            <w:noWrap w:val="0"/>
            <w:vAlign w:val="top"/>
          </w:tcPr>
          <w:p w14:paraId="21DACDA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6B7666F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350EC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100509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Unprocessed red meats</w:t>
            </w:r>
          </w:p>
        </w:tc>
        <w:tc>
          <w:tcPr>
            <w:tcW w:w="3191" w:type="dxa"/>
            <w:noWrap w:val="0"/>
            <w:vAlign w:val="top"/>
          </w:tcPr>
          <w:p w14:paraId="13EC0E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369, 1379, and 1389</w:t>
            </w:r>
          </w:p>
        </w:tc>
        <w:tc>
          <w:tcPr>
            <w:tcW w:w="3584" w:type="dxa"/>
            <w:noWrap w:val="0"/>
            <w:vAlign w:val="top"/>
          </w:tcPr>
          <w:p w14:paraId="5D73CF6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Summation of frequency of consumption across three types of red meats (lamb/mutton, beef or pork).</w:t>
            </w:r>
          </w:p>
          <w:p w14:paraId="42C0015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≤ 2 serving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 per week</w:t>
            </w:r>
          </w:p>
        </w:tc>
        <w:tc>
          <w:tcPr>
            <w:tcW w:w="3652" w:type="dxa"/>
            <w:noWrap w:val="0"/>
            <w:vAlign w:val="top"/>
          </w:tcPr>
          <w:p w14:paraId="1EA404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434BB57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2F367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5258E7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Industrial trans fat</w:t>
            </w:r>
          </w:p>
        </w:tc>
        <w:tc>
          <w:tcPr>
            <w:tcW w:w="3191" w:type="dxa"/>
            <w:noWrap w:val="0"/>
            <w:vAlign w:val="top"/>
          </w:tcPr>
          <w:p w14:paraId="24BFB4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428</w:t>
            </w:r>
          </w:p>
        </w:tc>
        <w:tc>
          <w:tcPr>
            <w:tcW w:w="3584" w:type="dxa"/>
            <w:noWrap w:val="0"/>
            <w:vAlign w:val="top"/>
          </w:tcPr>
          <w:p w14:paraId="6FDEA3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Never or rarely use spread</w:t>
            </w:r>
          </w:p>
        </w:tc>
        <w:tc>
          <w:tcPr>
            <w:tcW w:w="3652" w:type="dxa"/>
            <w:noWrap w:val="0"/>
            <w:vAlign w:val="top"/>
          </w:tcPr>
          <w:p w14:paraId="562427F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516019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4AFB5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637249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Sugar-sweetened beverages</w:t>
            </w:r>
          </w:p>
        </w:tc>
        <w:tc>
          <w:tcPr>
            <w:tcW w:w="3191" w:type="dxa"/>
            <w:noWrap w:val="0"/>
            <w:vAlign w:val="top"/>
          </w:tcPr>
          <w:p w14:paraId="1A49D1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144</w:t>
            </w:r>
          </w:p>
        </w:tc>
        <w:tc>
          <w:tcPr>
            <w:tcW w:w="3584" w:type="dxa"/>
            <w:noWrap w:val="0"/>
            <w:vAlign w:val="top"/>
          </w:tcPr>
          <w:p w14:paraId="7EC89DF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Never eat sugar or food/drink containing sugar</w:t>
            </w:r>
          </w:p>
        </w:tc>
        <w:tc>
          <w:tcPr>
            <w:tcW w:w="3652" w:type="dxa"/>
            <w:noWrap w:val="0"/>
            <w:vAlign w:val="top"/>
          </w:tcPr>
          <w:p w14:paraId="3B40BF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115B722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  <w:tr w14:paraId="677B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7" w:type="dxa"/>
            <w:noWrap w:val="0"/>
            <w:vAlign w:val="top"/>
          </w:tcPr>
          <w:p w14:paraId="78503A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Sodium</w:t>
            </w:r>
          </w:p>
        </w:tc>
        <w:tc>
          <w:tcPr>
            <w:tcW w:w="3191" w:type="dxa"/>
            <w:noWrap w:val="0"/>
            <w:vAlign w:val="top"/>
          </w:tcPr>
          <w:p w14:paraId="2A69D8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478</w:t>
            </w:r>
          </w:p>
        </w:tc>
        <w:tc>
          <w:tcPr>
            <w:tcW w:w="3584" w:type="dxa"/>
            <w:noWrap w:val="0"/>
            <w:vAlign w:val="top"/>
          </w:tcPr>
          <w:p w14:paraId="1B0D1FE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Never or rarely add salt to food</w:t>
            </w:r>
          </w:p>
          <w:p w14:paraId="7853EDF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</w:p>
        </w:tc>
        <w:tc>
          <w:tcPr>
            <w:tcW w:w="3652" w:type="dxa"/>
            <w:noWrap w:val="0"/>
            <w:vAlign w:val="top"/>
          </w:tcPr>
          <w:p w14:paraId="370D5C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 xml:space="preserve">1=meets criterion, 0=does not </w:t>
            </w:r>
          </w:p>
          <w:p w14:paraId="0CB4AC0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0"/>
                <w:highlight w:val="none"/>
              </w:rPr>
              <w:t>meet criterion</w:t>
            </w:r>
          </w:p>
        </w:tc>
      </w:tr>
    </w:tbl>
    <w:p w14:paraId="49814E0E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szCs w:val="20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szCs w:val="20"/>
          <w:highlight w:val="none"/>
        </w:rPr>
        <w:t>R</w:t>
      </w:r>
      <w:r>
        <w:rPr>
          <w:rFonts w:ascii="Times New Roman" w:hAnsi="Times New Roman" w:eastAsia="宋体"/>
          <w:b/>
          <w:bCs/>
          <w:sz w:val="24"/>
          <w:szCs w:val="20"/>
          <w:highlight w:val="none"/>
        </w:rPr>
        <w:t>eference</w:t>
      </w:r>
    </w:p>
    <w:p w14:paraId="27EE0B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>Ndumele CE, Neeland IJ, Tuttle KR, et al.; American Heart Association. A Synopsis of the Evidence for the Science and Clinical Management of Cardiovascular-Kidney-Metabolic (CKM) Syndrome: A Scientific Statement From the American Heart Association. Circulation. 2023 Nov 14;148(20):1636-1664.</w:t>
      </w:r>
    </w:p>
    <w:p w14:paraId="77B74B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>Aggarwal R, Ostrominski JW, Vaduganathan M. Prevalence of Cardiovascular-Kidney-Metabolic Syndrome Stages in US Adults, 2011-2020. JAMA. 2024 Jun 4;331(21):1858-1860.</w:t>
      </w:r>
    </w:p>
    <w:p w14:paraId="7E42D3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>Kidney Disease: Improving Global Outcomes (KDIGO) CKD Work Group. KDIGO 2024 Clinical Practice Guideline for the Evaluation and Management of Chronic Kidney Disease. Kidney Int. 2024 Apr;105(4S):S117-S314.</w:t>
      </w:r>
    </w:p>
    <w:p w14:paraId="4EDA3E7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 xml:space="preserve">PREVENTTM Online Calculator. </w:t>
      </w:r>
      <w:r>
        <w:rPr>
          <w:rFonts w:ascii="Times New Roman" w:hAnsi="Times New Roman" w:eastAsia="宋体"/>
          <w:sz w:val="24"/>
          <w:highlight w:val="none"/>
        </w:rPr>
        <w:fldChar w:fldCharType="begin"/>
      </w:r>
      <w:r>
        <w:rPr>
          <w:rFonts w:ascii="Times New Roman" w:hAnsi="Times New Roman" w:eastAsia="宋体"/>
          <w:sz w:val="24"/>
          <w:highlight w:val="none"/>
        </w:rPr>
        <w:instrText xml:space="preserve"> HYPERLINK "https://professional.heart.org/en/guidelines%20and-statements/prevent-calculator" </w:instrText>
      </w:r>
      <w:r>
        <w:rPr>
          <w:rFonts w:ascii="Times New Roman" w:hAnsi="Times New Roman" w:eastAsia="宋体"/>
          <w:sz w:val="24"/>
          <w:highlight w:val="none"/>
        </w:rPr>
        <w:fldChar w:fldCharType="separate"/>
      </w:r>
      <w:r>
        <w:rPr>
          <w:rFonts w:ascii="Times New Roman" w:hAnsi="Times New Roman" w:eastAsia="宋体" w:cs="Calibri"/>
          <w:bCs/>
          <w:color w:val="0026E5"/>
          <w:sz w:val="24"/>
          <w:szCs w:val="20"/>
          <w:highlight w:val="none"/>
          <w:u w:val="single"/>
        </w:rPr>
        <w:t>https://professional.heart.org/en/guidelines%20and-statements/prevent-calculator</w:t>
      </w:r>
      <w:r>
        <w:rPr>
          <w:rFonts w:ascii="Times New Roman" w:hAnsi="Times New Roman" w:eastAsia="宋体" w:cs="Calibri"/>
          <w:bCs/>
          <w:color w:val="0026E5"/>
          <w:sz w:val="24"/>
          <w:szCs w:val="20"/>
          <w:highlight w:val="none"/>
          <w:u w:val="single"/>
        </w:rPr>
        <w:fldChar w:fldCharType="end"/>
      </w:r>
      <w:r>
        <w:rPr>
          <w:rFonts w:ascii="Times New Roman" w:hAnsi="Times New Roman" w:eastAsia="宋体"/>
          <w:bCs/>
          <w:sz w:val="24"/>
          <w:szCs w:val="20"/>
          <w:highlight w:val="none"/>
        </w:rPr>
        <w:t>.</w:t>
      </w:r>
    </w:p>
    <w:p w14:paraId="270841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>Lloyd-Jones DM, Allen NB, Anderson CAM, et al. Life's Essential 8: Updating and Enhancing the American Heart Association's Construct of Cardiovascular Health: A Presidential Advisory From the American Heart Association. Circulation. 2022 Aug 2;146(5):e18-e43.</w:t>
      </w:r>
    </w:p>
    <w:p w14:paraId="1E40EB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  <w:r>
        <w:rPr>
          <w:rFonts w:ascii="Times New Roman" w:hAnsi="Times New Roman" w:eastAsia="宋体"/>
          <w:bCs/>
          <w:sz w:val="24"/>
          <w:szCs w:val="20"/>
          <w:highlight w:val="none"/>
        </w:rPr>
        <w:t>Beydoun HA, Beydoun MA, Meirelles O, et al. Cardiovascular health, infection burden, and incident dementia in the UK Biobank. Alzheimers Dement. 2023 Oct;19(10):4475-4487.</w:t>
      </w:r>
    </w:p>
    <w:p w14:paraId="0A20F751">
      <w:pPr>
        <w:numPr>
          <w:ilvl w:val="0"/>
          <w:numId w:val="0"/>
        </w:numPr>
        <w:spacing w:after="0" w:line="240" w:lineRule="auto"/>
        <w:ind w:leftChars="0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</w:p>
    <w:p w14:paraId="71ED5D96">
      <w:pPr>
        <w:numPr>
          <w:ilvl w:val="0"/>
          <w:numId w:val="0"/>
        </w:numPr>
        <w:spacing w:after="0" w:line="240" w:lineRule="auto"/>
        <w:ind w:leftChars="0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</w:p>
    <w:p w14:paraId="3223153B">
      <w:pPr>
        <w:numPr>
          <w:ilvl w:val="0"/>
          <w:numId w:val="0"/>
        </w:numPr>
        <w:spacing w:after="0" w:line="240" w:lineRule="auto"/>
        <w:ind w:leftChars="0"/>
        <w:jc w:val="both"/>
        <w:rPr>
          <w:rFonts w:ascii="Times New Roman" w:hAnsi="Times New Roman" w:eastAsia="宋体"/>
          <w:bCs/>
          <w:sz w:val="24"/>
          <w:szCs w:val="20"/>
          <w:highlight w:val="none"/>
        </w:rPr>
      </w:pPr>
    </w:p>
    <w:p w14:paraId="5EAB6FE1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sTable 1</w:t>
      </w:r>
      <w:r>
        <w:rPr>
          <w:rFonts w:hint="eastAsia" w:ascii="Times New Roman" w:hAnsi="Times New Roman" w:eastAsia="宋体"/>
          <w:b w:val="0"/>
          <w:bCs w:val="0"/>
          <w:sz w:val="24"/>
          <w:highlight w:val="none"/>
        </w:rPr>
        <w:t xml:space="preserve"> Baseline characteristics of participants included or excluded from 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 xml:space="preserve">main </w:t>
      </w:r>
      <w:r>
        <w:rPr>
          <w:rFonts w:hint="eastAsia" w:ascii="Times New Roman" w:hAnsi="Times New Roman" w:eastAsia="宋体"/>
          <w:b w:val="0"/>
          <w:bCs w:val="0"/>
          <w:sz w:val="24"/>
          <w:highlight w:val="none"/>
        </w:rPr>
        <w:t>analyses</w:t>
      </w:r>
      <w:r>
        <w:rPr>
          <w:rFonts w:hint="eastAsia"/>
          <w:b w:val="0"/>
          <w:bCs w:val="0"/>
          <w:sz w:val="24"/>
          <w:highlight w:val="none"/>
          <w:lang w:val="en-US" w:eastAsia="zh-CN"/>
        </w:rPr>
        <w:t xml:space="preserve"> due to missing information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777"/>
        <w:gridCol w:w="4020"/>
        <w:gridCol w:w="2834"/>
      </w:tblGrid>
      <w:tr w14:paraId="2DD68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tcBorders>
              <w:top w:val="single" w:color="auto" w:sz="12" w:space="0"/>
              <w:bottom w:val="single" w:color="auto" w:sz="6" w:space="0"/>
            </w:tcBorders>
            <w:vAlign w:val="top"/>
          </w:tcPr>
          <w:p w14:paraId="01943F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Baseline characteristics</w:t>
            </w:r>
          </w:p>
        </w:tc>
        <w:tc>
          <w:tcPr>
            <w:tcW w:w="377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3C0B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  <w:t>Included</w:t>
            </w:r>
            <w:r>
              <w:rPr>
                <w:rFonts w:hint="eastAsia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 (n=302,171)</w:t>
            </w:r>
          </w:p>
        </w:tc>
        <w:tc>
          <w:tcPr>
            <w:tcW w:w="402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C5848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Ex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  <w:t>cluded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 (n=200,221)</w:t>
            </w:r>
            <w:r>
              <w:rPr>
                <w:rFonts w:hint="eastAsia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/>
                <w:bCs/>
                <w:sz w:val="24"/>
                <w:szCs w:val="24"/>
                <w:highlight w:val="none"/>
                <w:vertAlign w:val="superscript"/>
                <w:lang w:val="en-US" w:eastAsia="zh-CN"/>
              </w:rPr>
              <w:t>a</w:t>
            </w:r>
          </w:p>
        </w:tc>
        <w:tc>
          <w:tcPr>
            <w:tcW w:w="283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D4FE4A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  <w:t>Effect size</w:t>
            </w:r>
            <w:r>
              <w:rPr>
                <w:rFonts w:hint="eastAsia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/>
                <w:bCs/>
                <w:sz w:val="24"/>
                <w:szCs w:val="24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 w14:paraId="02D0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tcBorders>
              <w:top w:val="single" w:color="auto" w:sz="6" w:space="0"/>
            </w:tcBorders>
            <w:vAlign w:val="top"/>
          </w:tcPr>
          <w:p w14:paraId="07C599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Age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, year</w:t>
            </w:r>
          </w:p>
        </w:tc>
        <w:tc>
          <w:tcPr>
            <w:tcW w:w="3777" w:type="dxa"/>
            <w:tcBorders>
              <w:top w:val="single" w:color="auto" w:sz="6" w:space="0"/>
            </w:tcBorders>
            <w:vAlign w:val="center"/>
          </w:tcPr>
          <w:p w14:paraId="513581E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56.1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8.1</w:t>
            </w:r>
          </w:p>
        </w:tc>
        <w:tc>
          <w:tcPr>
            <w:tcW w:w="4020" w:type="dxa"/>
            <w:tcBorders>
              <w:top w:val="single" w:color="auto" w:sz="6" w:space="0"/>
            </w:tcBorders>
            <w:vAlign w:val="center"/>
          </w:tcPr>
          <w:p w14:paraId="770C28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57.2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8.1</w:t>
            </w:r>
          </w:p>
        </w:tc>
        <w:tc>
          <w:tcPr>
            <w:tcW w:w="2834" w:type="dxa"/>
            <w:tcBorders>
              <w:top w:val="single" w:color="auto" w:sz="6" w:space="0"/>
            </w:tcBorders>
            <w:vAlign w:val="center"/>
          </w:tcPr>
          <w:p w14:paraId="028486F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-0.132 (SMD)</w:t>
            </w:r>
          </w:p>
        </w:tc>
      </w:tr>
      <w:tr w14:paraId="356FF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43" w:type="dxa"/>
            <w:vAlign w:val="top"/>
          </w:tcPr>
          <w:p w14:paraId="63F976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Males, n (%)</w:t>
            </w:r>
          </w:p>
        </w:tc>
        <w:tc>
          <w:tcPr>
            <w:tcW w:w="3777" w:type="dxa"/>
            <w:vAlign w:val="center"/>
          </w:tcPr>
          <w:p w14:paraId="7A5CFF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145,462 (48.1)</w:t>
            </w:r>
          </w:p>
        </w:tc>
        <w:tc>
          <w:tcPr>
            <w:tcW w:w="4020" w:type="dxa"/>
            <w:vAlign w:val="center"/>
          </w:tcPr>
          <w:p w14:paraId="20C8A6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83,616 (41.8)</w:t>
            </w:r>
          </w:p>
        </w:tc>
        <w:tc>
          <w:tcPr>
            <w:tcW w:w="2834" w:type="dxa"/>
            <w:vAlign w:val="center"/>
          </w:tcPr>
          <w:p w14:paraId="413361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0.127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)</w:t>
            </w:r>
          </w:p>
        </w:tc>
      </w:tr>
      <w:tr w14:paraId="198BE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187D0C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White, n (%)</w:t>
            </w:r>
          </w:p>
        </w:tc>
        <w:tc>
          <w:tcPr>
            <w:tcW w:w="3777" w:type="dxa"/>
            <w:vAlign w:val="center"/>
          </w:tcPr>
          <w:p w14:paraId="5490E1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289,528 (95.8)</w:t>
            </w:r>
          </w:p>
        </w:tc>
        <w:tc>
          <w:tcPr>
            <w:tcW w:w="4020" w:type="dxa"/>
            <w:vAlign w:val="center"/>
          </w:tcPr>
          <w:p w14:paraId="56AF97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183,067 (92.7)</w:t>
            </w:r>
          </w:p>
        </w:tc>
        <w:tc>
          <w:tcPr>
            <w:tcW w:w="2834" w:type="dxa"/>
            <w:vAlign w:val="center"/>
          </w:tcPr>
          <w:p w14:paraId="3C19FB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0.134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)</w:t>
            </w:r>
          </w:p>
        </w:tc>
      </w:tr>
      <w:tr w14:paraId="3884E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256D44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College/University degree, n (%)</w:t>
            </w:r>
          </w:p>
        </w:tc>
        <w:tc>
          <w:tcPr>
            <w:tcW w:w="3777" w:type="dxa"/>
            <w:vAlign w:val="center"/>
          </w:tcPr>
          <w:p w14:paraId="5D64F5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108,233 (35.8)</w:t>
            </w:r>
          </w:p>
        </w:tc>
        <w:tc>
          <w:tcPr>
            <w:tcW w:w="4020" w:type="dxa"/>
            <w:vAlign w:val="center"/>
          </w:tcPr>
          <w:p w14:paraId="5A8501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52,884 (27.8)</w:t>
            </w:r>
          </w:p>
        </w:tc>
        <w:tc>
          <w:tcPr>
            <w:tcW w:w="2834" w:type="dxa"/>
            <w:vAlign w:val="center"/>
          </w:tcPr>
          <w:p w14:paraId="1DA110D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0.172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)</w:t>
            </w:r>
          </w:p>
        </w:tc>
      </w:tr>
      <w:tr w14:paraId="39EC4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68D039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Average total household income before tax, n (%)</w:t>
            </w:r>
          </w:p>
        </w:tc>
        <w:tc>
          <w:tcPr>
            <w:tcW w:w="3777" w:type="dxa"/>
            <w:vAlign w:val="center"/>
          </w:tcPr>
          <w:p w14:paraId="24F5A7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  <w:tc>
          <w:tcPr>
            <w:tcW w:w="4020" w:type="dxa"/>
            <w:vAlign w:val="center"/>
          </w:tcPr>
          <w:p w14:paraId="032DE4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  <w:tc>
          <w:tcPr>
            <w:tcW w:w="2834" w:type="dxa"/>
            <w:vAlign w:val="center"/>
          </w:tcPr>
          <w:p w14:paraId="36B178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0.063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v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)</w:t>
            </w:r>
          </w:p>
        </w:tc>
      </w:tr>
      <w:tr w14:paraId="719B8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502D46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Less than 18,000</w:t>
            </w:r>
          </w:p>
        </w:tc>
        <w:tc>
          <w:tcPr>
            <w:tcW w:w="3777" w:type="dxa"/>
            <w:vAlign w:val="center"/>
          </w:tcPr>
          <w:p w14:paraId="732512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64,645 (21.4)</w:t>
            </w:r>
          </w:p>
        </w:tc>
        <w:tc>
          <w:tcPr>
            <w:tcW w:w="4020" w:type="dxa"/>
            <w:vAlign w:val="center"/>
          </w:tcPr>
          <w:p w14:paraId="3B0885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32,533 (26.4)</w:t>
            </w:r>
          </w:p>
        </w:tc>
        <w:tc>
          <w:tcPr>
            <w:tcW w:w="2834" w:type="dxa"/>
            <w:vAlign w:val="center"/>
          </w:tcPr>
          <w:p w14:paraId="05F0A8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53A11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6C9D61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18,000 to 30,999</w:t>
            </w:r>
          </w:p>
        </w:tc>
        <w:tc>
          <w:tcPr>
            <w:tcW w:w="3777" w:type="dxa"/>
            <w:vAlign w:val="center"/>
          </w:tcPr>
          <w:p w14:paraId="03EC89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76,158 (25.2)</w:t>
            </w:r>
          </w:p>
        </w:tc>
        <w:tc>
          <w:tcPr>
            <w:tcW w:w="4020" w:type="dxa"/>
            <w:vAlign w:val="center"/>
          </w:tcPr>
          <w:p w14:paraId="382566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31,995 (26.0)</w:t>
            </w:r>
          </w:p>
        </w:tc>
        <w:tc>
          <w:tcPr>
            <w:tcW w:w="2834" w:type="dxa"/>
            <w:vAlign w:val="center"/>
          </w:tcPr>
          <w:p w14:paraId="51A5C2C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4FDE9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727AA4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31,000 to 51,999</w:t>
            </w:r>
          </w:p>
        </w:tc>
        <w:tc>
          <w:tcPr>
            <w:tcW w:w="3777" w:type="dxa"/>
            <w:vAlign w:val="center"/>
          </w:tcPr>
          <w:p w14:paraId="73D88B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80,221 (26.6)</w:t>
            </w:r>
          </w:p>
        </w:tc>
        <w:tc>
          <w:tcPr>
            <w:tcW w:w="4020" w:type="dxa"/>
            <w:vAlign w:val="center"/>
          </w:tcPr>
          <w:p w14:paraId="6D2BB9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30,529 (24.8)</w:t>
            </w:r>
          </w:p>
        </w:tc>
        <w:tc>
          <w:tcPr>
            <w:tcW w:w="2834" w:type="dxa"/>
            <w:vAlign w:val="center"/>
          </w:tcPr>
          <w:p w14:paraId="3C3491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14341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76F96F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52,000 to 100,000</w:t>
            </w:r>
          </w:p>
        </w:tc>
        <w:tc>
          <w:tcPr>
            <w:tcW w:w="3777" w:type="dxa"/>
            <w:vAlign w:val="center"/>
          </w:tcPr>
          <w:p w14:paraId="1CF84F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63,880 (21.1)</w:t>
            </w:r>
          </w:p>
        </w:tc>
        <w:tc>
          <w:tcPr>
            <w:tcW w:w="4020" w:type="dxa"/>
            <w:vAlign w:val="center"/>
          </w:tcPr>
          <w:p w14:paraId="52640C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22,367 (18.2)</w:t>
            </w:r>
          </w:p>
        </w:tc>
        <w:tc>
          <w:tcPr>
            <w:tcW w:w="2834" w:type="dxa"/>
            <w:vAlign w:val="center"/>
          </w:tcPr>
          <w:p w14:paraId="1D6BD9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50AD1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43" w:type="dxa"/>
            <w:vAlign w:val="center"/>
          </w:tcPr>
          <w:p w14:paraId="57CA69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Greater than 100,000</w:t>
            </w:r>
          </w:p>
        </w:tc>
        <w:tc>
          <w:tcPr>
            <w:tcW w:w="3777" w:type="dxa"/>
            <w:vAlign w:val="center"/>
          </w:tcPr>
          <w:p w14:paraId="146EC2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17,267 (5.7)</w:t>
            </w:r>
          </w:p>
        </w:tc>
        <w:tc>
          <w:tcPr>
            <w:tcW w:w="4020" w:type="dxa"/>
            <w:vAlign w:val="center"/>
          </w:tcPr>
          <w:p w14:paraId="1DB3598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5,657 (4.6)</w:t>
            </w:r>
          </w:p>
        </w:tc>
        <w:tc>
          <w:tcPr>
            <w:tcW w:w="2834" w:type="dxa"/>
            <w:vAlign w:val="center"/>
          </w:tcPr>
          <w:p w14:paraId="6F93A2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7EE99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7A0EFA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Townsend deprivation index</w:t>
            </w:r>
          </w:p>
        </w:tc>
        <w:tc>
          <w:tcPr>
            <w:tcW w:w="3777" w:type="dxa"/>
            <w:vAlign w:val="center"/>
          </w:tcPr>
          <w:p w14:paraId="6446AF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-2.2 (-3.7, 0.3)</w:t>
            </w:r>
          </w:p>
        </w:tc>
        <w:tc>
          <w:tcPr>
            <w:tcW w:w="4020" w:type="dxa"/>
            <w:vAlign w:val="center"/>
          </w:tcPr>
          <w:p w14:paraId="4D8C400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-2.0 (-3.6, 1.0)</w:t>
            </w:r>
          </w:p>
        </w:tc>
        <w:tc>
          <w:tcPr>
            <w:tcW w:w="2834" w:type="dxa"/>
            <w:vAlign w:val="center"/>
          </w:tcPr>
          <w:p w14:paraId="3AED08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-0.048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(r)</w:t>
            </w:r>
          </w:p>
        </w:tc>
      </w:tr>
      <w:tr w14:paraId="2EA2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11C8CF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lef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History of cancer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3777" w:type="dxa"/>
            <w:vAlign w:val="center"/>
          </w:tcPr>
          <w:p w14:paraId="43AAC1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22,448 (7.4)</w:t>
            </w:r>
          </w:p>
        </w:tc>
        <w:tc>
          <w:tcPr>
            <w:tcW w:w="4020" w:type="dxa"/>
            <w:vAlign w:val="center"/>
          </w:tcPr>
          <w:p w14:paraId="64D1A8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16,163 (8.2)</w:t>
            </w:r>
          </w:p>
        </w:tc>
        <w:tc>
          <w:tcPr>
            <w:tcW w:w="2834" w:type="dxa"/>
            <w:vAlign w:val="center"/>
          </w:tcPr>
          <w:p w14:paraId="580AB8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-0.030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)</w:t>
            </w:r>
          </w:p>
        </w:tc>
      </w:tr>
      <w:tr w14:paraId="6302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43" w:type="dxa"/>
            <w:vAlign w:val="center"/>
          </w:tcPr>
          <w:p w14:paraId="1889A2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Medication use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3777" w:type="dxa"/>
            <w:vAlign w:val="center"/>
          </w:tcPr>
          <w:p w14:paraId="3682FC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  <w:tc>
          <w:tcPr>
            <w:tcW w:w="4020" w:type="dxa"/>
            <w:vAlign w:val="center"/>
          </w:tcPr>
          <w:p w14:paraId="2A4756A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  <w:tc>
          <w:tcPr>
            <w:tcW w:w="2834" w:type="dxa"/>
            <w:vAlign w:val="center"/>
          </w:tcPr>
          <w:p w14:paraId="4FD25C7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0.039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v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)</w:t>
            </w:r>
          </w:p>
        </w:tc>
      </w:tr>
      <w:tr w14:paraId="05C5A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61402E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 w:firstLine="240" w:firstLineChars="100"/>
              <w:jc w:val="left"/>
              <w:rPr>
                <w:rFonts w:hint="default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Blood pressure medication</w:t>
            </w:r>
          </w:p>
        </w:tc>
        <w:tc>
          <w:tcPr>
            <w:tcW w:w="3777" w:type="dxa"/>
            <w:vAlign w:val="center"/>
          </w:tcPr>
          <w:p w14:paraId="74E790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27,379 (9.1)</w:t>
            </w:r>
          </w:p>
        </w:tc>
        <w:tc>
          <w:tcPr>
            <w:tcW w:w="4020" w:type="dxa"/>
            <w:vAlign w:val="center"/>
          </w:tcPr>
          <w:p w14:paraId="4FFD8A4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20,142 (10.5)</w:t>
            </w:r>
          </w:p>
        </w:tc>
        <w:tc>
          <w:tcPr>
            <w:tcW w:w="2834" w:type="dxa"/>
            <w:vAlign w:val="center"/>
          </w:tcPr>
          <w:p w14:paraId="09A1526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4C9F4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081CC6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 w:firstLine="240" w:firstLineChars="100"/>
              <w:jc w:val="left"/>
              <w:rPr>
                <w:rFonts w:hint="default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Cholesterol lowering </w:t>
            </w: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medication</w:t>
            </w:r>
          </w:p>
        </w:tc>
        <w:tc>
          <w:tcPr>
            <w:tcW w:w="3777" w:type="dxa"/>
            <w:vAlign w:val="center"/>
          </w:tcPr>
          <w:p w14:paraId="78D4EA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18,495 (6.1)</w:t>
            </w:r>
          </w:p>
        </w:tc>
        <w:tc>
          <w:tcPr>
            <w:tcW w:w="4020" w:type="dxa"/>
            <w:vAlign w:val="center"/>
          </w:tcPr>
          <w:p w14:paraId="537BADC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12,678 (6.6)</w:t>
            </w:r>
          </w:p>
        </w:tc>
        <w:tc>
          <w:tcPr>
            <w:tcW w:w="2834" w:type="dxa"/>
            <w:vAlign w:val="center"/>
          </w:tcPr>
          <w:p w14:paraId="448D2FB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07D11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7066C1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 w:firstLine="240" w:firstLineChars="100"/>
              <w:jc w:val="left"/>
              <w:rPr>
                <w:rFonts w:hint="default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Insulin</w:t>
            </w:r>
          </w:p>
        </w:tc>
        <w:tc>
          <w:tcPr>
            <w:tcW w:w="3777" w:type="dxa"/>
            <w:vAlign w:val="center"/>
          </w:tcPr>
          <w:p w14:paraId="361D93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415 (0.1)</w:t>
            </w:r>
          </w:p>
        </w:tc>
        <w:tc>
          <w:tcPr>
            <w:tcW w:w="4020" w:type="dxa"/>
            <w:vAlign w:val="center"/>
          </w:tcPr>
          <w:p w14:paraId="40E419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347 (0.2)</w:t>
            </w:r>
          </w:p>
        </w:tc>
        <w:tc>
          <w:tcPr>
            <w:tcW w:w="2834" w:type="dxa"/>
            <w:vAlign w:val="center"/>
          </w:tcPr>
          <w:p w14:paraId="7F0E6D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3ADEB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28744C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 w:firstLine="240" w:firstLineChars="100"/>
              <w:jc w:val="left"/>
              <w:rPr>
                <w:rFonts w:hint="default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Any combination</w:t>
            </w:r>
          </w:p>
        </w:tc>
        <w:tc>
          <w:tcPr>
            <w:tcW w:w="3777" w:type="dxa"/>
            <w:vAlign w:val="center"/>
          </w:tcPr>
          <w:p w14:paraId="317449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47,164 (15.6)</w:t>
            </w:r>
          </w:p>
        </w:tc>
        <w:tc>
          <w:tcPr>
            <w:tcW w:w="4020" w:type="dxa"/>
            <w:vAlign w:val="center"/>
          </w:tcPr>
          <w:p w14:paraId="245FB7F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33,188 (17.3)</w:t>
            </w:r>
          </w:p>
        </w:tc>
        <w:tc>
          <w:tcPr>
            <w:tcW w:w="2834" w:type="dxa"/>
            <w:vAlign w:val="center"/>
          </w:tcPr>
          <w:p w14:paraId="11F7E7D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75858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73185F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 w:firstLine="240" w:firstLineChars="100"/>
              <w:jc w:val="left"/>
              <w:rPr>
                <w:rFonts w:hint="default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None of the above</w:t>
            </w:r>
          </w:p>
        </w:tc>
        <w:tc>
          <w:tcPr>
            <w:tcW w:w="3777" w:type="dxa"/>
            <w:vAlign w:val="center"/>
          </w:tcPr>
          <w:p w14:paraId="498BA1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208,718 (69.1)</w:t>
            </w:r>
          </w:p>
        </w:tc>
        <w:tc>
          <w:tcPr>
            <w:tcW w:w="4020" w:type="dxa"/>
            <w:vAlign w:val="center"/>
          </w:tcPr>
          <w:p w14:paraId="5139601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125,263 (65.4)</w:t>
            </w:r>
          </w:p>
        </w:tc>
        <w:tc>
          <w:tcPr>
            <w:tcW w:w="2834" w:type="dxa"/>
            <w:vAlign w:val="center"/>
          </w:tcPr>
          <w:p w14:paraId="06482A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</w:tr>
      <w:tr w14:paraId="0C1BD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730CB5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Diet score</w:t>
            </w:r>
          </w:p>
        </w:tc>
        <w:tc>
          <w:tcPr>
            <w:tcW w:w="3777" w:type="dxa"/>
            <w:vAlign w:val="center"/>
          </w:tcPr>
          <w:p w14:paraId="294271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25 (25, 50)</w:t>
            </w:r>
          </w:p>
        </w:tc>
        <w:tc>
          <w:tcPr>
            <w:tcW w:w="4020" w:type="dxa"/>
            <w:vAlign w:val="center"/>
          </w:tcPr>
          <w:p w14:paraId="33F09C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25 (25, 50)</w:t>
            </w:r>
          </w:p>
        </w:tc>
        <w:tc>
          <w:tcPr>
            <w:tcW w:w="2834" w:type="dxa"/>
            <w:vAlign w:val="center"/>
          </w:tcPr>
          <w:p w14:paraId="68A69F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0.012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(r)</w:t>
            </w:r>
          </w:p>
        </w:tc>
      </w:tr>
      <w:tr w14:paraId="6BC60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6A6550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Healthy Diet Index score</w:t>
            </w:r>
          </w:p>
        </w:tc>
        <w:tc>
          <w:tcPr>
            <w:tcW w:w="3777" w:type="dxa"/>
            <w:vAlign w:val="center"/>
          </w:tcPr>
          <w:p w14:paraId="35A739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  <w:t>4.6 ± 1.7</w:t>
            </w:r>
          </w:p>
        </w:tc>
        <w:tc>
          <w:tcPr>
            <w:tcW w:w="4020" w:type="dxa"/>
            <w:vAlign w:val="center"/>
          </w:tcPr>
          <w:p w14:paraId="3367B35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  <w:t xml:space="preserve"> ± 1.7</w:t>
            </w:r>
          </w:p>
        </w:tc>
        <w:tc>
          <w:tcPr>
            <w:tcW w:w="2834" w:type="dxa"/>
            <w:vAlign w:val="center"/>
          </w:tcPr>
          <w:p w14:paraId="57D237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cs="Times New Roman"/>
                <w:b w:val="0"/>
                <w:bCs w:val="0"/>
                <w:sz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0.028 (SMD)</w:t>
            </w:r>
          </w:p>
        </w:tc>
      </w:tr>
      <w:tr w14:paraId="213D9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756F02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Physical activity score</w:t>
            </w:r>
          </w:p>
        </w:tc>
        <w:tc>
          <w:tcPr>
            <w:tcW w:w="3777" w:type="dxa"/>
            <w:vAlign w:val="center"/>
          </w:tcPr>
          <w:p w14:paraId="3C6F47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100 (40, 100)</w:t>
            </w:r>
          </w:p>
        </w:tc>
        <w:tc>
          <w:tcPr>
            <w:tcW w:w="4020" w:type="dxa"/>
            <w:vAlign w:val="center"/>
          </w:tcPr>
          <w:p w14:paraId="0063D54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100 (40, 100)</w:t>
            </w:r>
          </w:p>
        </w:tc>
        <w:tc>
          <w:tcPr>
            <w:tcW w:w="2834" w:type="dxa"/>
            <w:vAlign w:val="center"/>
          </w:tcPr>
          <w:p w14:paraId="387C60C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0.036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(r)</w:t>
            </w:r>
          </w:p>
        </w:tc>
      </w:tr>
      <w:tr w14:paraId="2AC8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2EEB0D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Nicotine exposure score</w:t>
            </w:r>
          </w:p>
        </w:tc>
        <w:tc>
          <w:tcPr>
            <w:tcW w:w="3777" w:type="dxa"/>
            <w:vAlign w:val="center"/>
          </w:tcPr>
          <w:p w14:paraId="077319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100 (75, 100)</w:t>
            </w:r>
          </w:p>
        </w:tc>
        <w:tc>
          <w:tcPr>
            <w:tcW w:w="4020" w:type="dxa"/>
            <w:vAlign w:val="center"/>
          </w:tcPr>
          <w:p w14:paraId="630AE63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100 (75, 100)</w:t>
            </w:r>
          </w:p>
        </w:tc>
        <w:tc>
          <w:tcPr>
            <w:tcW w:w="2834" w:type="dxa"/>
            <w:vAlign w:val="center"/>
          </w:tcPr>
          <w:p w14:paraId="485E6B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0.001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(r)</w:t>
            </w:r>
          </w:p>
        </w:tc>
      </w:tr>
      <w:tr w14:paraId="3E988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1E7E89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Sleep health score</w:t>
            </w:r>
          </w:p>
        </w:tc>
        <w:tc>
          <w:tcPr>
            <w:tcW w:w="3777" w:type="dxa"/>
            <w:vAlign w:val="center"/>
          </w:tcPr>
          <w:p w14:paraId="1C9ED0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100 (70, 100)</w:t>
            </w:r>
          </w:p>
        </w:tc>
        <w:tc>
          <w:tcPr>
            <w:tcW w:w="4020" w:type="dxa"/>
            <w:vAlign w:val="center"/>
          </w:tcPr>
          <w:p w14:paraId="7B96CA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100 (70, 100)</w:t>
            </w:r>
          </w:p>
        </w:tc>
        <w:tc>
          <w:tcPr>
            <w:tcW w:w="2834" w:type="dxa"/>
            <w:vAlign w:val="center"/>
          </w:tcPr>
          <w:p w14:paraId="146CEB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0.038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(r)</w:t>
            </w:r>
          </w:p>
        </w:tc>
      </w:tr>
      <w:tr w14:paraId="10FF3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7037A5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Body mass index score</w:t>
            </w:r>
          </w:p>
        </w:tc>
        <w:tc>
          <w:tcPr>
            <w:tcW w:w="3777" w:type="dxa"/>
            <w:vAlign w:val="center"/>
          </w:tcPr>
          <w:p w14:paraId="20BAAF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70 (70, 100)</w:t>
            </w:r>
          </w:p>
        </w:tc>
        <w:tc>
          <w:tcPr>
            <w:tcW w:w="4020" w:type="dxa"/>
            <w:vAlign w:val="center"/>
          </w:tcPr>
          <w:p w14:paraId="2F698D8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70 (30, 100)</w:t>
            </w:r>
          </w:p>
        </w:tc>
        <w:tc>
          <w:tcPr>
            <w:tcW w:w="2834" w:type="dxa"/>
            <w:vAlign w:val="center"/>
          </w:tcPr>
          <w:p w14:paraId="38B90A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0.033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(r)</w:t>
            </w:r>
          </w:p>
        </w:tc>
      </w:tr>
      <w:tr w14:paraId="61F25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679B1E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Body mass index, kg/m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777" w:type="dxa"/>
            <w:vAlign w:val="center"/>
          </w:tcPr>
          <w:p w14:paraId="29AF16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27.3 ± 4.7</w:t>
            </w:r>
          </w:p>
        </w:tc>
        <w:tc>
          <w:tcPr>
            <w:tcW w:w="4020" w:type="dxa"/>
            <w:vAlign w:val="center"/>
          </w:tcPr>
          <w:p w14:paraId="49EC337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27.7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±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 xml:space="preserve"> 5.0</w:t>
            </w:r>
          </w:p>
        </w:tc>
        <w:tc>
          <w:tcPr>
            <w:tcW w:w="2834" w:type="dxa"/>
            <w:vAlign w:val="center"/>
          </w:tcPr>
          <w:p w14:paraId="199DC8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-0.078 (SMD)</w:t>
            </w:r>
          </w:p>
        </w:tc>
      </w:tr>
      <w:tr w14:paraId="09E6D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2E1799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Blood lipids score</w:t>
            </w:r>
          </w:p>
        </w:tc>
        <w:tc>
          <w:tcPr>
            <w:tcW w:w="3777" w:type="dxa"/>
            <w:vAlign w:val="center"/>
          </w:tcPr>
          <w:p w14:paraId="2393AF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40 (20, 60)</w:t>
            </w:r>
          </w:p>
        </w:tc>
        <w:tc>
          <w:tcPr>
            <w:tcW w:w="4020" w:type="dxa"/>
            <w:vAlign w:val="center"/>
          </w:tcPr>
          <w:p w14:paraId="553405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40 (20, 60)</w:t>
            </w:r>
          </w:p>
        </w:tc>
        <w:tc>
          <w:tcPr>
            <w:tcW w:w="2834" w:type="dxa"/>
            <w:vAlign w:val="center"/>
          </w:tcPr>
          <w:p w14:paraId="46B2FA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0.015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(r)</w:t>
            </w:r>
          </w:p>
        </w:tc>
      </w:tr>
      <w:tr w14:paraId="2BCF9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43" w:type="dxa"/>
            <w:vAlign w:val="center"/>
          </w:tcPr>
          <w:p w14:paraId="2C15F0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Non-HDL cholesterol, mg/dl</w:t>
            </w:r>
          </w:p>
        </w:tc>
        <w:tc>
          <w:tcPr>
            <w:tcW w:w="3777" w:type="dxa"/>
            <w:vAlign w:val="center"/>
          </w:tcPr>
          <w:p w14:paraId="27B75B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163.9 ± 41.3</w:t>
            </w:r>
          </w:p>
        </w:tc>
        <w:tc>
          <w:tcPr>
            <w:tcW w:w="4020" w:type="dxa"/>
            <w:vAlign w:val="center"/>
          </w:tcPr>
          <w:p w14:paraId="33214D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16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4.8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± 4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2.5</w:t>
            </w:r>
          </w:p>
        </w:tc>
        <w:tc>
          <w:tcPr>
            <w:tcW w:w="2834" w:type="dxa"/>
            <w:vAlign w:val="center"/>
          </w:tcPr>
          <w:p w14:paraId="6566CC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-0.021 (SMD)</w:t>
            </w:r>
          </w:p>
        </w:tc>
      </w:tr>
      <w:tr w14:paraId="2C1B8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05D8A6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Blood glucose score</w:t>
            </w:r>
          </w:p>
        </w:tc>
        <w:tc>
          <w:tcPr>
            <w:tcW w:w="3777" w:type="dxa"/>
            <w:vAlign w:val="center"/>
          </w:tcPr>
          <w:p w14:paraId="6502ED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100 (100, 100)</w:t>
            </w:r>
          </w:p>
        </w:tc>
        <w:tc>
          <w:tcPr>
            <w:tcW w:w="4020" w:type="dxa"/>
            <w:vAlign w:val="center"/>
          </w:tcPr>
          <w:p w14:paraId="02AF4EC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100 (100, 100)</w:t>
            </w:r>
          </w:p>
        </w:tc>
        <w:tc>
          <w:tcPr>
            <w:tcW w:w="2834" w:type="dxa"/>
            <w:vAlign w:val="center"/>
          </w:tcPr>
          <w:p w14:paraId="3A4DFC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0.040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(r)</w:t>
            </w:r>
          </w:p>
        </w:tc>
      </w:tr>
      <w:tr w14:paraId="37153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5DB6EC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Blood glucose, mg/dl</w:t>
            </w:r>
          </w:p>
        </w:tc>
        <w:tc>
          <w:tcPr>
            <w:tcW w:w="3777" w:type="dxa"/>
            <w:vAlign w:val="center"/>
          </w:tcPr>
          <w:p w14:paraId="03BBE1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91.6 ± 20.4</w:t>
            </w:r>
          </w:p>
        </w:tc>
        <w:tc>
          <w:tcPr>
            <w:tcW w:w="4020" w:type="dxa"/>
            <w:vAlign w:val="center"/>
          </w:tcPr>
          <w:p w14:paraId="337029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94.2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±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 xml:space="preserve"> 26.5</w:t>
            </w:r>
          </w:p>
        </w:tc>
        <w:tc>
          <w:tcPr>
            <w:tcW w:w="2834" w:type="dxa"/>
            <w:vAlign w:val="center"/>
          </w:tcPr>
          <w:p w14:paraId="19D908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-0.112 (SMD)</w:t>
            </w:r>
          </w:p>
        </w:tc>
      </w:tr>
      <w:tr w14:paraId="58315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1E76DC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Glycated hemoglobin, %</w:t>
            </w:r>
          </w:p>
        </w:tc>
        <w:tc>
          <w:tcPr>
            <w:tcW w:w="3777" w:type="dxa"/>
            <w:vAlign w:val="center"/>
          </w:tcPr>
          <w:p w14:paraId="28FCC4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5.4 ± 0.6</w:t>
            </w:r>
          </w:p>
        </w:tc>
        <w:tc>
          <w:tcPr>
            <w:tcW w:w="4020" w:type="dxa"/>
            <w:vAlign w:val="center"/>
          </w:tcPr>
          <w:p w14:paraId="18F45E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5.5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±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 xml:space="preserve"> 0.7</w:t>
            </w:r>
          </w:p>
        </w:tc>
        <w:tc>
          <w:tcPr>
            <w:tcW w:w="2834" w:type="dxa"/>
            <w:vAlign w:val="center"/>
          </w:tcPr>
          <w:p w14:paraId="22772A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-0.169 (SMD)</w:t>
            </w:r>
          </w:p>
        </w:tc>
      </w:tr>
      <w:tr w14:paraId="1DF6A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55ECB7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Blood pressure score</w:t>
            </w:r>
          </w:p>
        </w:tc>
        <w:tc>
          <w:tcPr>
            <w:tcW w:w="3777" w:type="dxa"/>
            <w:vAlign w:val="center"/>
          </w:tcPr>
          <w:p w14:paraId="7DA0E1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50 (25, 75)</w:t>
            </w:r>
          </w:p>
        </w:tc>
        <w:tc>
          <w:tcPr>
            <w:tcW w:w="4020" w:type="dxa"/>
            <w:vAlign w:val="center"/>
          </w:tcPr>
          <w:p w14:paraId="00E034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30 (25, 55)</w:t>
            </w:r>
          </w:p>
        </w:tc>
        <w:tc>
          <w:tcPr>
            <w:tcW w:w="2834" w:type="dxa"/>
            <w:vAlign w:val="center"/>
          </w:tcPr>
          <w:p w14:paraId="4FE87B5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0.035 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highlight w:val="none"/>
              </w:rPr>
              <w:t>(r)</w:t>
            </w:r>
          </w:p>
        </w:tc>
      </w:tr>
      <w:tr w14:paraId="37B03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vAlign w:val="center"/>
          </w:tcPr>
          <w:p w14:paraId="56B6B0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Systolic blood pressure, mmHg</w:t>
            </w:r>
          </w:p>
        </w:tc>
        <w:tc>
          <w:tcPr>
            <w:tcW w:w="3777" w:type="dxa"/>
            <w:vAlign w:val="center"/>
          </w:tcPr>
          <w:p w14:paraId="734251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137.3 ± 18.5</w:t>
            </w:r>
          </w:p>
        </w:tc>
        <w:tc>
          <w:tcPr>
            <w:tcW w:w="4020" w:type="dxa"/>
            <w:vAlign w:val="center"/>
          </w:tcPr>
          <w:p w14:paraId="4B65D34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13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8.7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± 1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9.0</w:t>
            </w:r>
          </w:p>
        </w:tc>
        <w:tc>
          <w:tcPr>
            <w:tcW w:w="2834" w:type="dxa"/>
            <w:vAlign w:val="center"/>
          </w:tcPr>
          <w:p w14:paraId="43B452F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-0.072 (SMD)</w:t>
            </w:r>
          </w:p>
        </w:tc>
      </w:tr>
      <w:tr w14:paraId="18A1F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tcBorders>
              <w:bottom w:val="single" w:color="auto" w:sz="12" w:space="0"/>
            </w:tcBorders>
            <w:vAlign w:val="center"/>
          </w:tcPr>
          <w:p w14:paraId="35652A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  <w:t>Diastolic blood pressure, mmHg</w:t>
            </w:r>
          </w:p>
        </w:tc>
        <w:tc>
          <w:tcPr>
            <w:tcW w:w="3777" w:type="dxa"/>
            <w:tcBorders>
              <w:bottom w:val="single" w:color="auto" w:sz="12" w:space="0"/>
            </w:tcBorders>
            <w:vAlign w:val="center"/>
          </w:tcPr>
          <w:p w14:paraId="0DD52B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82.2 ± 10.1</w:t>
            </w:r>
          </w:p>
        </w:tc>
        <w:tc>
          <w:tcPr>
            <w:tcW w:w="4020" w:type="dxa"/>
            <w:tcBorders>
              <w:bottom w:val="single" w:color="auto" w:sz="12" w:space="0"/>
            </w:tcBorders>
            <w:vAlign w:val="center"/>
          </w:tcPr>
          <w:p w14:paraId="754A6DE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82.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± 10.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834" w:type="dxa"/>
            <w:tcBorders>
              <w:bottom w:val="single" w:color="auto" w:sz="12" w:space="0"/>
            </w:tcBorders>
            <w:vAlign w:val="center"/>
          </w:tcPr>
          <w:p w14:paraId="205338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-0.009 (SMD)</w:t>
            </w:r>
          </w:p>
        </w:tc>
      </w:tr>
    </w:tbl>
    <w:p w14:paraId="2CD458E8">
      <w:pPr>
        <w:spacing w:after="0" w:line="240" w:lineRule="auto"/>
        <w:jc w:val="both"/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highlight w:val="none"/>
          <w:vertAlign w:val="superscript"/>
          <w:lang w:val="en-US" w:eastAsia="zh-CN"/>
        </w:rPr>
        <w:t>a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For excluded participants, the number of individuals with non-missing data varied by variable; percentages were calculated based on the available sample for each variable.</w:t>
      </w:r>
    </w:p>
    <w:p w14:paraId="0B87BFC2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</w:pPr>
      <w:r>
        <w:rPr>
          <w:rFonts w:hint="eastAsia"/>
          <w:b w:val="0"/>
          <w:bCs w:val="0"/>
          <w:sz w:val="21"/>
          <w:szCs w:val="21"/>
          <w:highlight w:val="none"/>
          <w:vertAlign w:val="superscript"/>
          <w:lang w:val="en-US" w:eastAsia="zh-CN"/>
        </w:rPr>
        <w:t>b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For normally distributed continuous variables, standardized mean difference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(SMD) was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 reported. For skewed continuous variables, 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r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ank-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b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iserial correlation coefficient (r)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was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 reported. For binary variables, Cohen</w:t>
      </w:r>
      <w:r>
        <w:rPr>
          <w:rFonts w:hint="default"/>
          <w:b w:val="0"/>
          <w:bCs w:val="0"/>
          <w:sz w:val="21"/>
          <w:szCs w:val="21"/>
          <w:highlight w:val="none"/>
          <w:lang w:val="en-US" w:eastAsia="zh-CN"/>
        </w:rPr>
        <w:t>’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s h 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was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 reported. For multi-category variables, Cramer</w:t>
      </w:r>
      <w:r>
        <w:rPr>
          <w:rFonts w:hint="default"/>
          <w:b w:val="0"/>
          <w:bCs w:val="0"/>
          <w:sz w:val="21"/>
          <w:szCs w:val="21"/>
          <w:highlight w:val="none"/>
          <w:lang w:val="en-US" w:eastAsia="zh-CN"/>
        </w:rPr>
        <w:t>’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s V 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was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 reported. Due to the very large sample sizes, all traditional 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p-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values were &lt;0.0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; effect sizes quantify the practical magnitude of differences. Conventionally, 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|SMD|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 &lt;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0.1, |r| &lt;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0.1, |h| &lt;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0.2, and V &lt;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0.1 indicate negligible differences.</w:t>
      </w:r>
    </w:p>
    <w:p w14:paraId="554BCF4D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0B4769C4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7718293E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32C3CA72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00B82F20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4A0ACBBF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2777AC61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10F82606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5FAA10A6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6C4373FD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sTable </w:t>
      </w:r>
      <w:r>
        <w:rPr>
          <w:rFonts w:hint="eastAsia"/>
          <w:b/>
          <w:bCs/>
          <w:sz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 </w:t>
      </w:r>
      <w:r>
        <w:rPr>
          <w:rFonts w:hint="eastAsia" w:ascii="Times New Roman" w:hAnsi="Times New Roman" w:eastAsia="宋体"/>
          <w:bCs/>
          <w:sz w:val="24"/>
          <w:highlight w:val="none"/>
        </w:rPr>
        <w:t>Variable importance ranking for all</w:t>
      </w:r>
      <w:r>
        <w:rPr>
          <w:rFonts w:hint="eastAsia"/>
          <w:bCs/>
          <w:sz w:val="24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/>
          <w:bCs/>
          <w:sz w:val="24"/>
          <w:highlight w:val="none"/>
        </w:rPr>
        <w:t>cause</w:t>
      </w:r>
      <w:r>
        <w:rPr>
          <w:rFonts w:hint="eastAsia"/>
          <w:bCs/>
          <w:sz w:val="24"/>
          <w:highlight w:val="none"/>
          <w:lang w:val="en-US" w:eastAsia="zh-CN"/>
        </w:rPr>
        <w:t xml:space="preserve"> and cardiovascular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 mortality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546"/>
        <w:gridCol w:w="2108"/>
        <w:gridCol w:w="1"/>
        <w:gridCol w:w="4307"/>
        <w:gridCol w:w="2095"/>
      </w:tblGrid>
      <w:tr w14:paraId="1F51F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Merge w:val="restart"/>
            <w:tcBorders>
              <w:top w:val="single" w:color="auto" w:sz="12" w:space="0"/>
            </w:tcBorders>
            <w:vAlign w:val="center"/>
          </w:tcPr>
          <w:p w14:paraId="70B0A9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Rank</w:t>
            </w:r>
          </w:p>
        </w:tc>
        <w:tc>
          <w:tcPr>
            <w:tcW w:w="6655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9287F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/>
                <w:b/>
                <w:bCs/>
                <w:sz w:val="24"/>
                <w:highlight w:val="none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All-cause mortality</w:t>
            </w:r>
          </w:p>
        </w:tc>
        <w:tc>
          <w:tcPr>
            <w:tcW w:w="6402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35AE2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/>
                <w:b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eastAsia" w:cs="Times New Roman"/>
                <w:b/>
                <w:bCs w:val="0"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  <w:highlight w:val="none"/>
              </w:rPr>
              <w:t>ardiovascular mortality</w:t>
            </w:r>
          </w:p>
        </w:tc>
      </w:tr>
      <w:tr w14:paraId="4924C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17" w:type="dxa"/>
            <w:vMerge w:val="continue"/>
            <w:tcBorders>
              <w:bottom w:val="single" w:color="auto" w:sz="6" w:space="0"/>
            </w:tcBorders>
          </w:tcPr>
          <w:p w14:paraId="561C91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sz w:val="24"/>
                <w:highlight w:val="none"/>
                <w:vertAlign w:val="baseline"/>
              </w:rPr>
            </w:pPr>
          </w:p>
        </w:tc>
        <w:tc>
          <w:tcPr>
            <w:tcW w:w="454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AD4DF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Variable</w:t>
            </w:r>
          </w:p>
        </w:tc>
        <w:tc>
          <w:tcPr>
            <w:tcW w:w="210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EF356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/>
                <w:b/>
                <w:bCs/>
                <w:sz w:val="24"/>
                <w:highlight w:val="none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Relative influence (%)</w:t>
            </w:r>
          </w:p>
        </w:tc>
        <w:tc>
          <w:tcPr>
            <w:tcW w:w="4308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1F68AC2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Variable</w:t>
            </w:r>
          </w:p>
        </w:tc>
        <w:tc>
          <w:tcPr>
            <w:tcW w:w="209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30816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Relative influence (%)</w:t>
            </w:r>
          </w:p>
        </w:tc>
      </w:tr>
      <w:tr w14:paraId="71D9C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466105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546" w:type="dxa"/>
            <w:vAlign w:val="center"/>
          </w:tcPr>
          <w:p w14:paraId="64DD406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a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ge</w:t>
            </w:r>
          </w:p>
        </w:tc>
        <w:tc>
          <w:tcPr>
            <w:tcW w:w="2108" w:type="dxa"/>
            <w:vAlign w:val="center"/>
          </w:tcPr>
          <w:p w14:paraId="13EC1D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34.36</w:t>
            </w:r>
          </w:p>
        </w:tc>
        <w:tc>
          <w:tcPr>
            <w:tcW w:w="4308" w:type="dxa"/>
            <w:gridSpan w:val="2"/>
            <w:vAlign w:val="center"/>
          </w:tcPr>
          <w:p w14:paraId="3F8EF3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/>
                <w:b w:val="0"/>
                <w:bCs w:val="0"/>
                <w:sz w:val="24"/>
                <w:highlight w:val="none"/>
                <w:vertAlign w:val="baseline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cardiovascular-kidney-metabolic stage</w:t>
            </w:r>
          </w:p>
        </w:tc>
        <w:tc>
          <w:tcPr>
            <w:tcW w:w="2095" w:type="dxa"/>
            <w:vAlign w:val="center"/>
          </w:tcPr>
          <w:p w14:paraId="0BFB99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34.34</w:t>
            </w:r>
          </w:p>
        </w:tc>
      </w:tr>
      <w:tr w14:paraId="2B497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3418C0C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546" w:type="dxa"/>
            <w:vAlign w:val="center"/>
          </w:tcPr>
          <w:p w14:paraId="518A6A4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cardiovascular-kidney-metabolic stage</w:t>
            </w:r>
          </w:p>
        </w:tc>
        <w:tc>
          <w:tcPr>
            <w:tcW w:w="2108" w:type="dxa"/>
            <w:vAlign w:val="center"/>
          </w:tcPr>
          <w:p w14:paraId="063996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15.79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31C4337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a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ge</w:t>
            </w:r>
          </w:p>
        </w:tc>
        <w:tc>
          <w:tcPr>
            <w:tcW w:w="2095" w:type="dxa"/>
            <w:vAlign w:val="center"/>
          </w:tcPr>
          <w:p w14:paraId="3735767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14.46</w:t>
            </w:r>
          </w:p>
        </w:tc>
      </w:tr>
      <w:tr w14:paraId="56642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211A33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546" w:type="dxa"/>
            <w:vAlign w:val="center"/>
          </w:tcPr>
          <w:p w14:paraId="53D118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nicotine exposure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108" w:type="dxa"/>
            <w:vAlign w:val="center"/>
          </w:tcPr>
          <w:p w14:paraId="1955DB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12.22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4FF3E80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Townsend deprivation index</w:t>
            </w:r>
          </w:p>
        </w:tc>
        <w:tc>
          <w:tcPr>
            <w:tcW w:w="2095" w:type="dxa"/>
            <w:vAlign w:val="center"/>
          </w:tcPr>
          <w:p w14:paraId="204C5A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14.46</w:t>
            </w:r>
          </w:p>
        </w:tc>
      </w:tr>
      <w:tr w14:paraId="27593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02102C4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546" w:type="dxa"/>
            <w:vAlign w:val="center"/>
          </w:tcPr>
          <w:p w14:paraId="01F4863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Townsend deprivation index</w:t>
            </w:r>
          </w:p>
        </w:tc>
        <w:tc>
          <w:tcPr>
            <w:tcW w:w="2108" w:type="dxa"/>
            <w:vAlign w:val="center"/>
          </w:tcPr>
          <w:p w14:paraId="66E701C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7.33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1DC06FF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blood glucose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4AB4BC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7.01</w:t>
            </w:r>
          </w:p>
        </w:tc>
      </w:tr>
      <w:tr w14:paraId="26BC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2E6EF84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546" w:type="dxa"/>
            <w:vAlign w:val="center"/>
          </w:tcPr>
          <w:p w14:paraId="00818F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h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istory of cancer</w:t>
            </w:r>
          </w:p>
        </w:tc>
        <w:tc>
          <w:tcPr>
            <w:tcW w:w="2108" w:type="dxa"/>
            <w:vAlign w:val="center"/>
          </w:tcPr>
          <w:p w14:paraId="0B4E14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6.51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78CB577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nicotine exposure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0C1DDD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6.72</w:t>
            </w:r>
          </w:p>
        </w:tc>
      </w:tr>
      <w:tr w14:paraId="3B416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6A8CEEA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546" w:type="dxa"/>
            <w:vAlign w:val="center"/>
          </w:tcPr>
          <w:p w14:paraId="68BDE8B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32"/>
                <w:highlight w:val="none"/>
              </w:rPr>
              <w:t>average total household income before tax</w:t>
            </w:r>
          </w:p>
        </w:tc>
        <w:tc>
          <w:tcPr>
            <w:tcW w:w="2108" w:type="dxa"/>
            <w:vAlign w:val="center"/>
          </w:tcPr>
          <w:p w14:paraId="18D098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6.21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74F0D23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s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ex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39EF66D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5.94</w:t>
            </w:r>
          </w:p>
        </w:tc>
      </w:tr>
      <w:tr w14:paraId="397A7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042D41D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4546" w:type="dxa"/>
            <w:vAlign w:val="center"/>
          </w:tcPr>
          <w:p w14:paraId="15B3874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s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ex</w:t>
            </w:r>
          </w:p>
        </w:tc>
        <w:tc>
          <w:tcPr>
            <w:tcW w:w="2108" w:type="dxa"/>
            <w:vAlign w:val="center"/>
          </w:tcPr>
          <w:p w14:paraId="76192AD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5.21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4E34A7D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m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edication use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23E622E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4.92</w:t>
            </w:r>
          </w:p>
        </w:tc>
      </w:tr>
      <w:tr w14:paraId="4F3FD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426C42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546" w:type="dxa"/>
            <w:vAlign w:val="center"/>
          </w:tcPr>
          <w:p w14:paraId="147A3FF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blood glucose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108" w:type="dxa"/>
            <w:vAlign w:val="center"/>
          </w:tcPr>
          <w:p w14:paraId="790E3C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5.20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12FF4D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4"/>
                <w:szCs w:val="32"/>
                <w:highlight w:val="none"/>
              </w:rPr>
              <w:t>average total household income before tax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104CEE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4.90</w:t>
            </w:r>
          </w:p>
        </w:tc>
      </w:tr>
      <w:tr w14:paraId="7463F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4A3F07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4546" w:type="dxa"/>
            <w:vAlign w:val="center"/>
          </w:tcPr>
          <w:p w14:paraId="37046C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m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edication use</w:t>
            </w:r>
          </w:p>
        </w:tc>
        <w:tc>
          <w:tcPr>
            <w:tcW w:w="2108" w:type="dxa"/>
            <w:vAlign w:val="center"/>
          </w:tcPr>
          <w:p w14:paraId="07CD2CA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1.47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333B18A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b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ody mass index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6BCEA35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1.65</w:t>
            </w:r>
          </w:p>
        </w:tc>
      </w:tr>
      <w:tr w14:paraId="41444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6B56F3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4546" w:type="dxa"/>
            <w:vAlign w:val="center"/>
          </w:tcPr>
          <w:p w14:paraId="549AC3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hysical activity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108" w:type="dxa"/>
            <w:vAlign w:val="center"/>
          </w:tcPr>
          <w:p w14:paraId="79B0C5C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1.41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3641528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b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lood pressure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3C0BF9F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1.44</w:t>
            </w:r>
          </w:p>
        </w:tc>
      </w:tr>
      <w:tr w14:paraId="5DD5D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7705B2B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4546" w:type="dxa"/>
            <w:vAlign w:val="center"/>
          </w:tcPr>
          <w:p w14:paraId="55BC6C1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b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ody mass index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108" w:type="dxa"/>
            <w:vAlign w:val="center"/>
          </w:tcPr>
          <w:p w14:paraId="28F35C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1.16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1E6166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e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ducation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13A215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1.02</w:t>
            </w:r>
          </w:p>
        </w:tc>
      </w:tr>
      <w:tr w14:paraId="10370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53833F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4546" w:type="dxa"/>
            <w:vAlign w:val="center"/>
          </w:tcPr>
          <w:p w14:paraId="0AEECBE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s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leep health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108" w:type="dxa"/>
            <w:vAlign w:val="center"/>
          </w:tcPr>
          <w:p w14:paraId="4841EF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0.86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2321345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s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leep health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3A50994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0.99</w:t>
            </w:r>
          </w:p>
        </w:tc>
      </w:tr>
      <w:tr w14:paraId="16090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7A3F1D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4546" w:type="dxa"/>
            <w:vAlign w:val="center"/>
          </w:tcPr>
          <w:p w14:paraId="2A8297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b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lood pressure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108" w:type="dxa"/>
            <w:vAlign w:val="center"/>
          </w:tcPr>
          <w:p w14:paraId="176225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0.72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2D322D6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hysical activity</w:t>
            </w: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 xml:space="preserve"> score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30EB14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0.94</w:t>
            </w:r>
          </w:p>
        </w:tc>
      </w:tr>
      <w:tr w14:paraId="4955A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298408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4546" w:type="dxa"/>
            <w:vAlign w:val="center"/>
          </w:tcPr>
          <w:p w14:paraId="02140B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highlight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highlight w:val="none"/>
              </w:rPr>
              <w:t>lood lipids</w:t>
            </w:r>
            <w:r>
              <w:rPr>
                <w:rFonts w:hint="eastAsia" w:cs="Times New Roman"/>
                <w:b w:val="0"/>
                <w:bCs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2108" w:type="dxa"/>
            <w:vAlign w:val="center"/>
          </w:tcPr>
          <w:p w14:paraId="5214F95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0.54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615D964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z w:val="24"/>
                <w:highlight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highlight w:val="none"/>
              </w:rPr>
              <w:t>lood lipids</w:t>
            </w:r>
            <w:r>
              <w:rPr>
                <w:rFonts w:hint="eastAsia" w:cs="Times New Roman"/>
                <w:b w:val="0"/>
                <w:bCs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7C5A5C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0.53</w:t>
            </w:r>
          </w:p>
        </w:tc>
      </w:tr>
      <w:tr w14:paraId="784E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vAlign w:val="center"/>
          </w:tcPr>
          <w:p w14:paraId="493A676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4546" w:type="dxa"/>
            <w:vAlign w:val="center"/>
          </w:tcPr>
          <w:p w14:paraId="28DB24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e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ducation</w:t>
            </w:r>
          </w:p>
        </w:tc>
        <w:tc>
          <w:tcPr>
            <w:tcW w:w="2108" w:type="dxa"/>
            <w:vAlign w:val="center"/>
          </w:tcPr>
          <w:p w14:paraId="053DD5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0.51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29C1A2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ethnicity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2B84A6F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0.32</w:t>
            </w:r>
          </w:p>
        </w:tc>
      </w:tr>
      <w:tr w14:paraId="22B88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</w:tcPr>
          <w:p w14:paraId="38F1BE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4546" w:type="dxa"/>
          </w:tcPr>
          <w:p w14:paraId="0ACDF56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diet score</w:t>
            </w:r>
          </w:p>
        </w:tc>
        <w:tc>
          <w:tcPr>
            <w:tcW w:w="2108" w:type="dxa"/>
            <w:vAlign w:val="center"/>
          </w:tcPr>
          <w:p w14:paraId="6AC6D1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0.29</w:t>
            </w:r>
          </w:p>
        </w:tc>
        <w:tc>
          <w:tcPr>
            <w:tcW w:w="4308" w:type="dxa"/>
            <w:gridSpan w:val="2"/>
            <w:shd w:val="clear" w:color="auto" w:fill="auto"/>
            <w:vAlign w:val="center"/>
          </w:tcPr>
          <w:p w14:paraId="165131B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h</w:t>
            </w:r>
            <w:r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istory of cancer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1E622E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0.19</w:t>
            </w:r>
          </w:p>
        </w:tc>
      </w:tr>
      <w:tr w14:paraId="15111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tcBorders>
              <w:bottom w:val="single" w:color="auto" w:sz="12" w:space="0"/>
            </w:tcBorders>
          </w:tcPr>
          <w:p w14:paraId="3C5A0A7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4546" w:type="dxa"/>
            <w:tcBorders>
              <w:bottom w:val="single" w:color="auto" w:sz="12" w:space="0"/>
            </w:tcBorders>
          </w:tcPr>
          <w:p w14:paraId="6531FC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ethnicity</w:t>
            </w:r>
          </w:p>
        </w:tc>
        <w:tc>
          <w:tcPr>
            <w:tcW w:w="2108" w:type="dxa"/>
            <w:tcBorders>
              <w:bottom w:val="single" w:color="auto" w:sz="12" w:space="0"/>
            </w:tcBorders>
            <w:vAlign w:val="center"/>
          </w:tcPr>
          <w:p w14:paraId="652CEF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0.23</w:t>
            </w:r>
          </w:p>
        </w:tc>
        <w:tc>
          <w:tcPr>
            <w:tcW w:w="4308" w:type="dxa"/>
            <w:gridSpan w:val="2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91F70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diet score</w:t>
            </w:r>
          </w:p>
        </w:tc>
        <w:tc>
          <w:tcPr>
            <w:tcW w:w="209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B1BC7E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0.17</w:t>
            </w:r>
          </w:p>
        </w:tc>
      </w:tr>
    </w:tbl>
    <w:p w14:paraId="18CE38C6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Gradient boosting machine models were implemented using the gbm package in R with a Cox proportional hazards loss function. 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Key p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arameters were: n.trees = 3000, interaction.depth = 3, shrinkage = 0.01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 The optimal number of trees was selected by 5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fold cross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validation via the gbm.perf function. Model performance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was assessed by the C-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index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(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0.764 for all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cause mortality and 0.828 for 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c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ardiovascular mortality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)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. Variable importance was measured by relative influence, defined as the reduction in squared error attributed to each variable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>reflect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>ing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highlight w:val="none"/>
        </w:rPr>
        <w:t xml:space="preserve"> predictive contribution within the model.</w:t>
      </w:r>
      <w:r>
        <w:rPr>
          <w:rFonts w:hint="eastAsia"/>
          <w:b w:val="0"/>
          <w:bCs w:val="0"/>
          <w:sz w:val="21"/>
          <w:szCs w:val="21"/>
          <w:highlight w:val="none"/>
          <w:lang w:val="en-US" w:eastAsia="zh-CN"/>
        </w:rPr>
        <w:t xml:space="preserve"> For categorical variables with more than two levels (e.g., medication use, ethnicity), the relative influence of all dummy indicators was summed to obtain the total importance of the original variable.</w:t>
      </w:r>
    </w:p>
    <w:p w14:paraId="2E2B78DD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sTable </w:t>
      </w:r>
      <w:r>
        <w:rPr>
          <w:rFonts w:hint="eastAsia"/>
          <w:b/>
          <w:bCs/>
          <w:sz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 </w:t>
      </w:r>
      <w:r>
        <w:rPr>
          <w:rFonts w:ascii="Times New Roman" w:hAnsi="Times New Roman" w:eastAsia="宋体"/>
          <w:bCs/>
          <w:sz w:val="24"/>
          <w:highlight w:val="none"/>
        </w:rPr>
        <w:t>Combined association</w:t>
      </w:r>
      <w:r>
        <w:rPr>
          <w:rFonts w:hint="eastAsia"/>
          <w:bCs/>
          <w:sz w:val="24"/>
          <w:highlight w:val="none"/>
          <w:lang w:val="en-US" w:eastAsia="zh-CN"/>
        </w:rPr>
        <w:t>s</w:t>
      </w:r>
      <w:bookmarkStart w:id="0" w:name="_GoBack"/>
      <w:bookmarkEnd w:id="0"/>
      <w:r>
        <w:rPr>
          <w:rFonts w:ascii="Times New Roman" w:hAnsi="Times New Roman" w:eastAsia="宋体"/>
          <w:bCs/>
          <w:sz w:val="24"/>
          <w:highlight w:val="none"/>
        </w:rPr>
        <w:t xml:space="preserve"> of CVH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 </w:t>
      </w:r>
      <w:r>
        <w:rPr>
          <w:rFonts w:ascii="Times New Roman" w:hAnsi="Times New Roman" w:eastAsia="宋体"/>
          <w:bCs/>
          <w:sz w:val="24"/>
          <w:highlight w:val="none"/>
        </w:rPr>
        <w:t xml:space="preserve">scores 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and </w:t>
      </w:r>
      <w:r>
        <w:rPr>
          <w:rFonts w:hint="eastAsia"/>
          <w:bCs/>
          <w:sz w:val="24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sz w:val="24"/>
          <w:highlight w:val="none"/>
        </w:rPr>
        <w:t>on-advanced</w:t>
      </w:r>
      <w:r>
        <w:rPr>
          <w:rFonts w:hint="eastAsia" w:cs="Times New Roman"/>
          <w:sz w:val="24"/>
          <w:highlight w:val="none"/>
          <w:lang w:val="en-US" w:eastAsia="zh-CN"/>
        </w:rPr>
        <w:t>/</w:t>
      </w:r>
      <w:r>
        <w:rPr>
          <w:rFonts w:ascii="Times New Roman" w:hAnsi="Times New Roman" w:eastAsia="宋体"/>
          <w:bCs/>
          <w:sz w:val="24"/>
          <w:highlight w:val="none"/>
        </w:rPr>
        <w:t xml:space="preserve">advanced CKM </w:t>
      </w:r>
      <w:r>
        <w:rPr>
          <w:rFonts w:hint="eastAsia"/>
          <w:bCs/>
          <w:sz w:val="24"/>
          <w:highlight w:val="none"/>
          <w:lang w:val="en-US" w:eastAsia="zh-CN"/>
        </w:rPr>
        <w:t xml:space="preserve">health stages </w:t>
      </w:r>
      <w:r>
        <w:rPr>
          <w:rFonts w:ascii="Times New Roman" w:hAnsi="Times New Roman" w:eastAsia="宋体"/>
          <w:bCs/>
          <w:sz w:val="24"/>
          <w:highlight w:val="none"/>
        </w:rPr>
        <w:t xml:space="preserve">with the risk of </w:t>
      </w:r>
      <w:r>
        <w:rPr>
          <w:rFonts w:hint="eastAsia" w:ascii="Times New Roman" w:hAnsi="Times New Roman" w:eastAsia="宋体"/>
          <w:bCs/>
          <w:sz w:val="24"/>
          <w:highlight w:val="none"/>
        </w:rPr>
        <w:t>mortality</w:t>
      </w:r>
    </w:p>
    <w:tbl>
      <w:tblPr>
        <w:tblStyle w:val="8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5"/>
        <w:gridCol w:w="1900"/>
        <w:gridCol w:w="3010"/>
        <w:gridCol w:w="1877"/>
        <w:gridCol w:w="3034"/>
      </w:tblGrid>
      <w:tr w14:paraId="25086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1E6FD3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  <w:t>Combined group</w:t>
            </w:r>
          </w:p>
        </w:tc>
        <w:tc>
          <w:tcPr>
            <w:tcW w:w="1733" w:type="pct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498160C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ll-cause mortality</w:t>
            </w:r>
          </w:p>
        </w:tc>
        <w:tc>
          <w:tcPr>
            <w:tcW w:w="1733" w:type="pct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224ACC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ardiovascular mortality</w:t>
            </w:r>
          </w:p>
        </w:tc>
      </w:tr>
      <w:tr w14:paraId="6B362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533" w:type="pct"/>
            <w:vMerge w:val="continue"/>
            <w:tcBorders>
              <w:bottom w:val="single" w:color="auto" w:sz="6" w:space="0"/>
            </w:tcBorders>
            <w:noWrap w:val="0"/>
            <w:vAlign w:val="top"/>
          </w:tcPr>
          <w:p w14:paraId="783A86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67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0817E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Events/</w:t>
            </w:r>
          </w:p>
          <w:p w14:paraId="27BB9A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Participants</w:t>
            </w:r>
          </w:p>
        </w:tc>
        <w:tc>
          <w:tcPr>
            <w:tcW w:w="1062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FEFE9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djusted hazard ratio (95% confidence interval)</w:t>
            </w:r>
          </w:p>
        </w:tc>
        <w:tc>
          <w:tcPr>
            <w:tcW w:w="662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7565F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Events/</w:t>
            </w:r>
          </w:p>
          <w:p w14:paraId="6DFF0F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Participants</w:t>
            </w:r>
          </w:p>
        </w:tc>
        <w:tc>
          <w:tcPr>
            <w:tcW w:w="107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50F88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djusted hazard ratio (95% confidence interval)</w:t>
            </w:r>
          </w:p>
        </w:tc>
      </w:tr>
      <w:tr w14:paraId="10684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noWrap w:val="0"/>
            <w:vAlign w:val="top"/>
          </w:tcPr>
          <w:p w14:paraId="11DC858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Advanced CKM + CVH score 0-49</w:t>
            </w:r>
          </w:p>
        </w:tc>
        <w:tc>
          <w:tcPr>
            <w:tcW w:w="670" w:type="pct"/>
            <w:noWrap w:val="0"/>
            <w:vAlign w:val="center"/>
          </w:tcPr>
          <w:p w14:paraId="61ECDE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1,494/5,278</w:t>
            </w:r>
          </w:p>
        </w:tc>
        <w:tc>
          <w:tcPr>
            <w:tcW w:w="1062" w:type="pct"/>
            <w:noWrap w:val="0"/>
            <w:vAlign w:val="center"/>
          </w:tcPr>
          <w:p w14:paraId="3D7F58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662" w:type="pct"/>
            <w:shd w:val="clear" w:color="auto" w:fill="auto"/>
            <w:noWrap w:val="0"/>
            <w:vAlign w:val="center"/>
          </w:tcPr>
          <w:p w14:paraId="2F0F1D2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480/5,278</w:t>
            </w:r>
          </w:p>
        </w:tc>
        <w:tc>
          <w:tcPr>
            <w:tcW w:w="1070" w:type="pct"/>
            <w:noWrap w:val="0"/>
            <w:vAlign w:val="center"/>
          </w:tcPr>
          <w:p w14:paraId="5B7DF2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2171C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noWrap w:val="0"/>
            <w:vAlign w:val="top"/>
          </w:tcPr>
          <w:p w14:paraId="34F6313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Advanced CKM + CVH score 50-79</w:t>
            </w:r>
          </w:p>
        </w:tc>
        <w:tc>
          <w:tcPr>
            <w:tcW w:w="670" w:type="pct"/>
            <w:noWrap w:val="0"/>
            <w:vAlign w:val="center"/>
          </w:tcPr>
          <w:p w14:paraId="2BF1DB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3,372/19,505</w:t>
            </w:r>
          </w:p>
        </w:tc>
        <w:tc>
          <w:tcPr>
            <w:tcW w:w="1062" w:type="pct"/>
            <w:noWrap w:val="0"/>
            <w:vAlign w:val="center"/>
          </w:tcPr>
          <w:p w14:paraId="2DEA50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(0.57, 0.6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662" w:type="pct"/>
            <w:shd w:val="clear" w:color="auto" w:fill="auto"/>
            <w:noWrap w:val="0"/>
            <w:vAlign w:val="center"/>
          </w:tcPr>
          <w:p w14:paraId="088476A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1,069/19,505</w:t>
            </w:r>
          </w:p>
        </w:tc>
        <w:tc>
          <w:tcPr>
            <w:tcW w:w="1070" w:type="pct"/>
            <w:noWrap w:val="0"/>
            <w:vAlign w:val="center"/>
          </w:tcPr>
          <w:p w14:paraId="018757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234AE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noWrap w:val="0"/>
            <w:vAlign w:val="top"/>
          </w:tcPr>
          <w:p w14:paraId="7821E3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Advanced CKM + CVH score 80-100</w:t>
            </w:r>
          </w:p>
        </w:tc>
        <w:tc>
          <w:tcPr>
            <w:tcW w:w="670" w:type="pct"/>
            <w:noWrap w:val="0"/>
            <w:vAlign w:val="center"/>
          </w:tcPr>
          <w:p w14:paraId="4D7B72D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102/871</w:t>
            </w:r>
          </w:p>
        </w:tc>
        <w:tc>
          <w:tcPr>
            <w:tcW w:w="1062" w:type="pct"/>
            <w:noWrap w:val="0"/>
            <w:vAlign w:val="center"/>
          </w:tcPr>
          <w:p w14:paraId="138FB3C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662" w:type="pct"/>
            <w:shd w:val="clear" w:color="auto" w:fill="auto"/>
            <w:noWrap w:val="0"/>
            <w:vAlign w:val="center"/>
          </w:tcPr>
          <w:p w14:paraId="3BAE5A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33/871</w:t>
            </w:r>
          </w:p>
        </w:tc>
        <w:tc>
          <w:tcPr>
            <w:tcW w:w="1070" w:type="pct"/>
            <w:noWrap w:val="0"/>
            <w:vAlign w:val="center"/>
          </w:tcPr>
          <w:p w14:paraId="30A4383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0.78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**</w:t>
            </w:r>
          </w:p>
        </w:tc>
      </w:tr>
      <w:tr w14:paraId="3CCB9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noWrap w:val="0"/>
            <w:vAlign w:val="top"/>
          </w:tcPr>
          <w:p w14:paraId="380DCF2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Non-advanced CKM + CVH score 0-49</w:t>
            </w:r>
          </w:p>
        </w:tc>
        <w:tc>
          <w:tcPr>
            <w:tcW w:w="670" w:type="pct"/>
            <w:noWrap w:val="0"/>
            <w:vAlign w:val="center"/>
          </w:tcPr>
          <w:p w14:paraId="72C195C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2,212/21,887</w:t>
            </w:r>
          </w:p>
        </w:tc>
        <w:tc>
          <w:tcPr>
            <w:tcW w:w="1062" w:type="pct"/>
            <w:noWrap w:val="0"/>
            <w:vAlign w:val="center"/>
          </w:tcPr>
          <w:p w14:paraId="3F53D0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662" w:type="pct"/>
            <w:shd w:val="clear" w:color="auto" w:fill="auto"/>
            <w:noWrap w:val="0"/>
            <w:vAlign w:val="center"/>
          </w:tcPr>
          <w:p w14:paraId="04D74C2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419/21,887</w:t>
            </w:r>
          </w:p>
        </w:tc>
        <w:tc>
          <w:tcPr>
            <w:tcW w:w="1070" w:type="pct"/>
            <w:noWrap w:val="0"/>
            <w:vAlign w:val="center"/>
          </w:tcPr>
          <w:p w14:paraId="4678AB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4BA28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noWrap w:val="0"/>
            <w:vAlign w:val="top"/>
          </w:tcPr>
          <w:p w14:paraId="6DDEC8B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Non-advanced CKM + CVH score 50-79</w:t>
            </w:r>
          </w:p>
        </w:tc>
        <w:tc>
          <w:tcPr>
            <w:tcW w:w="670" w:type="pct"/>
            <w:noWrap w:val="0"/>
            <w:vAlign w:val="center"/>
          </w:tcPr>
          <w:p w14:paraId="4A12E3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12,185/219,304</w:t>
            </w:r>
          </w:p>
        </w:tc>
        <w:tc>
          <w:tcPr>
            <w:tcW w:w="1062" w:type="pct"/>
            <w:noWrap w:val="0"/>
            <w:vAlign w:val="center"/>
          </w:tcPr>
          <w:p w14:paraId="19CC9FA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662" w:type="pct"/>
            <w:shd w:val="clear" w:color="auto" w:fill="auto"/>
            <w:noWrap w:val="0"/>
            <w:vAlign w:val="center"/>
          </w:tcPr>
          <w:p w14:paraId="424BB93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1,895/219,304</w:t>
            </w:r>
          </w:p>
        </w:tc>
        <w:tc>
          <w:tcPr>
            <w:tcW w:w="1070" w:type="pct"/>
            <w:noWrap w:val="0"/>
            <w:vAlign w:val="center"/>
          </w:tcPr>
          <w:p w14:paraId="72DC1E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5D0D0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tcBorders>
              <w:bottom w:val="single" w:color="auto" w:sz="12" w:space="0"/>
            </w:tcBorders>
            <w:noWrap w:val="0"/>
            <w:vAlign w:val="top"/>
          </w:tcPr>
          <w:p w14:paraId="4DBFAD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Non-advanced CKM + CVH score 80-100</w:t>
            </w:r>
          </w:p>
        </w:tc>
        <w:tc>
          <w:tcPr>
            <w:tcW w:w="670" w:type="pct"/>
            <w:tcBorders>
              <w:bottom w:val="single" w:color="auto" w:sz="12" w:space="0"/>
            </w:tcBorders>
            <w:noWrap w:val="0"/>
            <w:vAlign w:val="center"/>
          </w:tcPr>
          <w:p w14:paraId="72BF3B6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917/35,326</w:t>
            </w:r>
          </w:p>
        </w:tc>
        <w:tc>
          <w:tcPr>
            <w:tcW w:w="1062" w:type="pct"/>
            <w:tcBorders>
              <w:bottom w:val="single" w:color="auto" w:sz="12" w:space="0"/>
            </w:tcBorders>
            <w:noWrap w:val="0"/>
            <w:vAlign w:val="center"/>
          </w:tcPr>
          <w:p w14:paraId="728306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0.2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662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622288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83/35,326</w:t>
            </w:r>
          </w:p>
        </w:tc>
        <w:tc>
          <w:tcPr>
            <w:tcW w:w="1070" w:type="pct"/>
            <w:tcBorders>
              <w:bottom w:val="single" w:color="auto" w:sz="12" w:space="0"/>
            </w:tcBorders>
            <w:noWrap w:val="0"/>
            <w:vAlign w:val="center"/>
          </w:tcPr>
          <w:p w14:paraId="44B8485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(0.0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0.1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</w:tbl>
    <w:p w14:paraId="36EB10B9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  <w:r>
        <w:rPr>
          <w:rFonts w:ascii="Times New Roman" w:hAnsi="Times New Roman" w:eastAsia="宋体"/>
          <w:sz w:val="21"/>
          <w:highlight w:val="none"/>
        </w:rPr>
        <w:t xml:space="preserve">Hazard ratios were calculated by adjusting for </w:t>
      </w:r>
      <w:r>
        <w:rPr>
          <w:rFonts w:hint="eastAsia" w:ascii="Times New Roman" w:hAnsi="Times New Roman" w:eastAsia="宋体"/>
          <w:sz w:val="21"/>
          <w:highlight w:val="none"/>
        </w:rPr>
        <w:t xml:space="preserve">age, sex, ethnicity, education, average total household income before tax, Townsend deprivation index, history of cancer, </w:t>
      </w:r>
      <w:r>
        <w:rPr>
          <w:rFonts w:hint="eastAsia"/>
          <w:sz w:val="21"/>
          <w:highlight w:val="none"/>
          <w:lang w:val="en-US" w:eastAsia="zh-CN"/>
        </w:rPr>
        <w:t>and m</w:t>
      </w:r>
      <w:r>
        <w:rPr>
          <w:rFonts w:ascii="Times New Roman" w:hAnsi="Times New Roman" w:eastAsia="宋体"/>
          <w:sz w:val="21"/>
          <w:highlight w:val="none"/>
        </w:rPr>
        <w:t xml:space="preserve">edication </w:t>
      </w:r>
      <w:r>
        <w:rPr>
          <w:rFonts w:hint="eastAsia"/>
          <w:sz w:val="21"/>
          <w:highlight w:val="none"/>
          <w:lang w:val="en-US" w:eastAsia="zh-CN"/>
        </w:rPr>
        <w:t>use (</w:t>
      </w:r>
      <w:r>
        <w:rPr>
          <w:rFonts w:ascii="Times New Roman" w:hAnsi="Times New Roman" w:eastAsia="宋体"/>
          <w:sz w:val="21"/>
          <w:highlight w:val="none"/>
        </w:rPr>
        <w:t>for cholesterol</w:t>
      </w:r>
      <w:r>
        <w:rPr>
          <w:rFonts w:hint="eastAsia"/>
          <w:sz w:val="21"/>
          <w:highlight w:val="none"/>
          <w:lang w:val="en-US" w:eastAsia="zh-CN"/>
        </w:rPr>
        <w:t>/</w:t>
      </w:r>
      <w:r>
        <w:rPr>
          <w:rFonts w:ascii="Times New Roman" w:hAnsi="Times New Roman" w:eastAsia="宋体"/>
          <w:sz w:val="21"/>
          <w:highlight w:val="none"/>
        </w:rPr>
        <w:t>blood pressure</w:t>
      </w:r>
      <w:r>
        <w:rPr>
          <w:rFonts w:hint="eastAsia"/>
          <w:sz w:val="21"/>
          <w:highlight w:val="none"/>
          <w:lang w:val="en-US" w:eastAsia="zh-CN"/>
        </w:rPr>
        <w:t>/</w:t>
      </w:r>
      <w:r>
        <w:rPr>
          <w:rFonts w:ascii="Times New Roman" w:hAnsi="Times New Roman" w:eastAsia="宋体"/>
          <w:sz w:val="21"/>
          <w:highlight w:val="none"/>
        </w:rPr>
        <w:t>diabetes</w:t>
      </w:r>
      <w:r>
        <w:rPr>
          <w:rFonts w:hint="eastAsia"/>
          <w:sz w:val="21"/>
          <w:highlight w:val="none"/>
          <w:lang w:val="en-US" w:eastAsia="zh-CN"/>
        </w:rPr>
        <w:t xml:space="preserve">). </w:t>
      </w:r>
      <w:r>
        <w:rPr>
          <w:rFonts w:ascii="Times New Roman" w:hAnsi="Times New Roman" w:eastAsia="宋体"/>
          <w:sz w:val="21"/>
          <w:highlight w:val="none"/>
        </w:rPr>
        <w:t>CVH, cardiovascular health; CKM, cardiovascular-kidney-metabolic</w:t>
      </w:r>
      <w:r>
        <w:rPr>
          <w:rFonts w:hint="eastAsia"/>
          <w:sz w:val="21"/>
          <w:highlight w:val="none"/>
          <w:lang w:val="en-US" w:eastAsia="zh-CN"/>
        </w:rPr>
        <w:t xml:space="preserve">. </w:t>
      </w:r>
      <w:r>
        <w:rPr>
          <w:rFonts w:ascii="Times New Roman" w:hAnsi="Times New Roman" w:eastAsia="宋体"/>
          <w:sz w:val="21"/>
          <w:highlight w:val="none"/>
        </w:rPr>
        <w:t>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0.05, 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0.01, ***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0.001</w:t>
      </w:r>
    </w:p>
    <w:p w14:paraId="7271FCD9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591B0EE0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4F4A2272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63575F19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01CA6E60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083CB16F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4169F08A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365E94DE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338CF43F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47900873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19EDA653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686CA10D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33602EC1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01E7A020">
      <w:pPr>
        <w:spacing w:after="0" w:line="240" w:lineRule="auto"/>
        <w:jc w:val="both"/>
        <w:rPr>
          <w:rFonts w:ascii="Times New Roman" w:hAnsi="Times New Roman" w:eastAsia="宋体"/>
          <w:bCs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sTable </w:t>
      </w:r>
      <w:r>
        <w:rPr>
          <w:rFonts w:hint="eastAsia"/>
          <w:b/>
          <w:bCs/>
          <w:sz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 </w:t>
      </w:r>
      <w:r>
        <w:rPr>
          <w:rFonts w:ascii="Times New Roman" w:hAnsi="Times New Roman" w:eastAsia="宋体"/>
          <w:bCs/>
          <w:sz w:val="24"/>
          <w:highlight w:val="none"/>
        </w:rPr>
        <w:t>A</w:t>
      </w:r>
      <w:r>
        <w:rPr>
          <w:rFonts w:hint="eastAsia" w:ascii="Times New Roman" w:hAnsi="Times New Roman" w:eastAsia="宋体"/>
          <w:bCs/>
          <w:sz w:val="24"/>
          <w:highlight w:val="none"/>
        </w:rPr>
        <w:t>ssociation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between CVH components 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and </w:t>
      </w:r>
      <w:r>
        <w:rPr>
          <w:rFonts w:ascii="Times New Roman" w:hAnsi="Times New Roman" w:eastAsia="宋体"/>
          <w:bCs/>
          <w:sz w:val="24"/>
          <w:highlight w:val="none"/>
        </w:rPr>
        <w:t xml:space="preserve">the risk of </w:t>
      </w:r>
      <w:r>
        <w:rPr>
          <w:rFonts w:hint="eastAsia" w:ascii="Times New Roman" w:hAnsi="Times New Roman" w:eastAsia="宋体"/>
          <w:bCs/>
          <w:sz w:val="24"/>
          <w:highlight w:val="none"/>
        </w:rPr>
        <w:t>mortality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in non-advanced </w:t>
      </w:r>
      <w:r>
        <w:rPr>
          <w:rFonts w:hint="eastAsia" w:ascii="Times New Roman" w:hAnsi="Times New Roman" w:eastAsia="宋体"/>
          <w:bCs/>
          <w:sz w:val="24"/>
          <w:highlight w:val="none"/>
        </w:rPr>
        <w:t>cardiovascular-kidney-metabolic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</w:t>
      </w:r>
      <w:r>
        <w:rPr>
          <w:rFonts w:hint="eastAsia"/>
          <w:bCs/>
          <w:sz w:val="24"/>
          <w:highlight w:val="none"/>
          <w:lang w:val="en-US" w:eastAsia="zh-CN"/>
        </w:rPr>
        <w:t>health stages (stages 0-2)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0"/>
        <w:gridCol w:w="2230"/>
        <w:gridCol w:w="3388"/>
        <w:gridCol w:w="2235"/>
        <w:gridCol w:w="3381"/>
      </w:tblGrid>
      <w:tr w14:paraId="22841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3357C29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  <w:t>CVH components</w:t>
            </w:r>
          </w:p>
        </w:tc>
        <w:tc>
          <w:tcPr>
            <w:tcW w:w="1981" w:type="pct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4C45379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ll-cause mortality</w:t>
            </w:r>
          </w:p>
        </w:tc>
        <w:tc>
          <w:tcPr>
            <w:tcW w:w="1980" w:type="pct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57BC47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ardiovascular mortality</w:t>
            </w:r>
          </w:p>
        </w:tc>
      </w:tr>
      <w:tr w14:paraId="28596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79E5F0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7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1F4A12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Events/Participants</w:t>
            </w:r>
          </w:p>
        </w:tc>
        <w:tc>
          <w:tcPr>
            <w:tcW w:w="119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746164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djusted hazard ratio</w:t>
            </w:r>
          </w:p>
          <w:p w14:paraId="16588E7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(95% confidence interval)</w:t>
            </w:r>
          </w:p>
        </w:tc>
        <w:tc>
          <w:tcPr>
            <w:tcW w:w="78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292B6E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Events/Participants</w:t>
            </w:r>
          </w:p>
        </w:tc>
        <w:tc>
          <w:tcPr>
            <w:tcW w:w="119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022D75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djusted hazard ratio</w:t>
            </w:r>
          </w:p>
          <w:p w14:paraId="4CAD2C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(95% confidence interval)</w:t>
            </w:r>
          </w:p>
        </w:tc>
      </w:tr>
      <w:tr w14:paraId="41484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18303ED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Diet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6" w:type="pct"/>
            <w:tcBorders>
              <w:top w:val="single" w:color="auto" w:sz="6" w:space="0"/>
            </w:tcBorders>
            <w:noWrap w:val="0"/>
            <w:vAlign w:val="center"/>
          </w:tcPr>
          <w:p w14:paraId="36E8532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4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026AC7C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8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166C39D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1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6C8E2E8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DEDC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2E38C00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6" w:type="pct"/>
            <w:noWrap w:val="0"/>
            <w:vAlign w:val="center"/>
          </w:tcPr>
          <w:p w14:paraId="288BCA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11,051/193,680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79C19AC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7A3853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1,746/193,680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2062931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2A24A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189B40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6" w:type="pct"/>
            <w:noWrap w:val="0"/>
            <w:vAlign w:val="center"/>
          </w:tcPr>
          <w:p w14:paraId="6D802AA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4,152/80,864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7F6787F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.9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0.9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3D00DF5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637/80,864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4F897C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4FD6B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389298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6" w:type="pct"/>
            <w:noWrap w:val="0"/>
            <w:vAlign w:val="center"/>
          </w:tcPr>
          <w:p w14:paraId="564841B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111/1,973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20D0763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6F08ED5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14/1,973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0A5A99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0.69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1.16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16E0A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20544C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Physical activity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6" w:type="pct"/>
            <w:noWrap w:val="0"/>
            <w:vAlign w:val="center"/>
          </w:tcPr>
          <w:p w14:paraId="31C980B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A6EB33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0BA72E4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4A50595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96E5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5976C4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6" w:type="pct"/>
            <w:noWrap w:val="0"/>
            <w:vAlign w:val="center"/>
          </w:tcPr>
          <w:p w14:paraId="2BC4F02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4,467/69,376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7E67B0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6BE7E45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700/69,376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1497279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3AC8C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3BAE15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6" w:type="pct"/>
            <w:noWrap w:val="0"/>
            <w:vAlign w:val="center"/>
          </w:tcPr>
          <w:p w14:paraId="7E3B41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975/17,769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0DE5810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(0.83,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2D80941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136/17,769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24967E8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81 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8, 0.9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</w:t>
            </w:r>
          </w:p>
        </w:tc>
      </w:tr>
      <w:tr w14:paraId="17139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6283FF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6" w:type="pct"/>
            <w:noWrap w:val="0"/>
            <w:vAlign w:val="center"/>
          </w:tcPr>
          <w:p w14:paraId="5AC5B6C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9,872/189,372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4EF293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546F2B3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1,561/189,372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136579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0.94) **</w:t>
            </w:r>
          </w:p>
        </w:tc>
      </w:tr>
      <w:tr w14:paraId="345B8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0E036F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Nicotine exposure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6" w:type="pct"/>
            <w:noWrap w:val="0"/>
            <w:vAlign w:val="center"/>
          </w:tcPr>
          <w:p w14:paraId="0458CF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27E37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4789C0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78327DD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A318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201EB5F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6" w:type="pct"/>
            <w:noWrap w:val="0"/>
            <w:vAlign w:val="center"/>
          </w:tcPr>
          <w:p w14:paraId="153D88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2,794/28,544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077C8D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759889D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503/28,544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6D1E79A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6F40A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57F7CC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6" w:type="pct"/>
            <w:noWrap w:val="0"/>
            <w:vAlign w:val="center"/>
          </w:tcPr>
          <w:p w14:paraId="44672E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4,475/60,493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03311F2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73E2DC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673/60,493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57AE845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8) ***</w:t>
            </w:r>
          </w:p>
        </w:tc>
      </w:tr>
      <w:tr w14:paraId="0D977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62CD33F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6" w:type="pct"/>
            <w:noWrap w:val="0"/>
            <w:vAlign w:val="center"/>
          </w:tcPr>
          <w:p w14:paraId="423CE9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8,045/187,480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2D0249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1B13F9D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1,221/187,480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40E2DD4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(0.3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49BD4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5CF04B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Sleep health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6" w:type="pct"/>
            <w:noWrap w:val="0"/>
            <w:vAlign w:val="center"/>
          </w:tcPr>
          <w:p w14:paraId="48EF8F1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7ECD62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508E3D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1693B6B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F944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3FD42C6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6" w:type="pct"/>
            <w:noWrap w:val="0"/>
            <w:vAlign w:val="center"/>
          </w:tcPr>
          <w:p w14:paraId="3428496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1,400/16,966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26963C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32740D3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227/16,966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106B919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5B0EE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1BB5E84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6" w:type="pct"/>
            <w:noWrap w:val="0"/>
            <w:vAlign w:val="center"/>
          </w:tcPr>
          <w:p w14:paraId="2708EEE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2,910/52,376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443A48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518D97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483/52,376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644E53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</w:t>
            </w:r>
          </w:p>
        </w:tc>
      </w:tr>
      <w:tr w14:paraId="2D7DC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58F32BE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6" w:type="pct"/>
            <w:noWrap w:val="0"/>
            <w:vAlign w:val="center"/>
          </w:tcPr>
          <w:p w14:paraId="44B61A3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11,004/207,175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F0CDE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21C8AF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1,687/207,175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3A6BE30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(0.64, 0.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**</w:t>
            </w:r>
          </w:p>
        </w:tc>
      </w:tr>
      <w:tr w14:paraId="0C507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7A2293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Body mass index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6" w:type="pct"/>
            <w:noWrap w:val="0"/>
            <w:vAlign w:val="center"/>
          </w:tcPr>
          <w:p w14:paraId="50C680C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4528C4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0CDB71F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0D96348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FC99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1E26157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6" w:type="pct"/>
            <w:noWrap w:val="0"/>
            <w:vAlign w:val="center"/>
          </w:tcPr>
          <w:p w14:paraId="69820DA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4,005/60,410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4F82FD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4550424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685/60,410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08E1A6C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6E173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70D065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6" w:type="pct"/>
            <w:noWrap w:val="0"/>
            <w:vAlign w:val="center"/>
          </w:tcPr>
          <w:p w14:paraId="7B6A37E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6,482/118,108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145F261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(0.82, 0.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79A9F0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1,056/118,108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33A583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(0.77,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**</w:t>
            </w:r>
          </w:p>
        </w:tc>
      </w:tr>
      <w:tr w14:paraId="304EB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64896FD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6" w:type="pct"/>
            <w:noWrap w:val="0"/>
            <w:vAlign w:val="center"/>
          </w:tcPr>
          <w:p w14:paraId="39BA23F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4,827/97,999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0E002CC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.9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6815A99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656/97,999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272D8A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</w:t>
            </w:r>
          </w:p>
        </w:tc>
      </w:tr>
      <w:tr w14:paraId="1DE65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36B00DC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Blood lipids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6" w:type="pct"/>
            <w:noWrap w:val="0"/>
            <w:vAlign w:val="center"/>
          </w:tcPr>
          <w:p w14:paraId="5DA012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96E8B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6DBD21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4D7E2B7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9B25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4800A33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6" w:type="pct"/>
            <w:noWrap w:val="0"/>
            <w:vAlign w:val="center"/>
          </w:tcPr>
          <w:p w14:paraId="46BB21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8,877/158,444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2F378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65C5D01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1,471/158,444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0E8A3D0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436A1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68F14EF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6" w:type="pct"/>
            <w:noWrap w:val="0"/>
            <w:vAlign w:val="center"/>
          </w:tcPr>
          <w:p w14:paraId="36D6F3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3,144/65,570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08F3F6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(1.0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1.1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5A04FB3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424/65,570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694354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.9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0)</w:t>
            </w:r>
          </w:p>
        </w:tc>
      </w:tr>
      <w:tr w14:paraId="47F2B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166E40C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6" w:type="pct"/>
            <w:noWrap w:val="0"/>
            <w:vAlign w:val="center"/>
          </w:tcPr>
          <w:p w14:paraId="2B821FE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3,293/52,503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2E4D32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.1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1.2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2200097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502/52,503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1A49367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(0.84, 1.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2973D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741018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Blood glucose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6" w:type="pct"/>
            <w:noWrap w:val="0"/>
            <w:vAlign w:val="center"/>
          </w:tcPr>
          <w:p w14:paraId="79AADD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ACC39D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6A400B4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4CCFA0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96AA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34DE29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6" w:type="pct"/>
            <w:noWrap w:val="0"/>
            <w:vAlign w:val="center"/>
          </w:tcPr>
          <w:p w14:paraId="5F823EE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952/8,870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1DB4C13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04AD851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193/8,870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2F2BF74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7BD1A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02B0744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6" w:type="pct"/>
            <w:noWrap w:val="0"/>
            <w:vAlign w:val="center"/>
          </w:tcPr>
          <w:p w14:paraId="2413B1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2,666/32,881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3C9D3E6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2966C82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433/32,881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092DC1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21474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0C6B6D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6" w:type="pct"/>
            <w:noWrap w:val="0"/>
            <w:vAlign w:val="center"/>
          </w:tcPr>
          <w:p w14:paraId="6830FB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11,696/234,766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64227E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2AF0312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1,771/234,766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342CB3B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69397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shd w:val="clear" w:color="auto" w:fill="auto"/>
            <w:noWrap w:val="0"/>
            <w:vAlign w:val="center"/>
          </w:tcPr>
          <w:p w14:paraId="5B83661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Blood pressure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6" w:type="pct"/>
            <w:noWrap w:val="0"/>
            <w:vAlign w:val="center"/>
          </w:tcPr>
          <w:p w14:paraId="1D6D16F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4325883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7EBCE3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71AF4D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8B02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noWrap w:val="0"/>
            <w:vAlign w:val="center"/>
          </w:tcPr>
          <w:p w14:paraId="3856B09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6" w:type="pct"/>
            <w:noWrap w:val="0"/>
            <w:vAlign w:val="center"/>
          </w:tcPr>
          <w:p w14:paraId="37E1B6D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9,181/130,989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C6C03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6B6B98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1,641/130,989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2E2AD5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221D2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noWrap w:val="0"/>
            <w:vAlign w:val="center"/>
          </w:tcPr>
          <w:p w14:paraId="56C723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6" w:type="pct"/>
            <w:noWrap w:val="0"/>
            <w:vAlign w:val="center"/>
          </w:tcPr>
          <w:p w14:paraId="542A89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4,557/101,328</w:t>
            </w:r>
          </w:p>
        </w:tc>
        <w:tc>
          <w:tcPr>
            <w:tcW w:w="1194" w:type="pct"/>
            <w:shd w:val="clear" w:color="auto" w:fill="auto"/>
            <w:noWrap w:val="0"/>
            <w:vAlign w:val="center"/>
          </w:tcPr>
          <w:p w14:paraId="5DA6E0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.9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0.96) **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</w:t>
            </w:r>
          </w:p>
        </w:tc>
        <w:tc>
          <w:tcPr>
            <w:tcW w:w="788" w:type="pct"/>
            <w:shd w:val="clear" w:color="auto" w:fill="auto"/>
            <w:noWrap w:val="0"/>
            <w:vAlign w:val="center"/>
          </w:tcPr>
          <w:p w14:paraId="0C8B9F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587/101,328</w:t>
            </w:r>
          </w:p>
        </w:tc>
        <w:tc>
          <w:tcPr>
            <w:tcW w:w="1191" w:type="pct"/>
            <w:shd w:val="clear" w:color="auto" w:fill="auto"/>
            <w:noWrap w:val="0"/>
            <w:vAlign w:val="center"/>
          </w:tcPr>
          <w:p w14:paraId="729A790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36DD8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tcBorders>
              <w:bottom w:val="single" w:color="auto" w:sz="12" w:space="0"/>
            </w:tcBorders>
            <w:noWrap w:val="0"/>
            <w:vAlign w:val="center"/>
          </w:tcPr>
          <w:p w14:paraId="589F5E7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6" w:type="pct"/>
            <w:tcBorders>
              <w:bottom w:val="single" w:color="auto" w:sz="12" w:space="0"/>
            </w:tcBorders>
            <w:noWrap w:val="0"/>
            <w:vAlign w:val="center"/>
          </w:tcPr>
          <w:p w14:paraId="163BAF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1,576/44,200</w:t>
            </w:r>
          </w:p>
        </w:tc>
        <w:tc>
          <w:tcPr>
            <w:tcW w:w="1194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074943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.95 (0.8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1.0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  <w:tc>
          <w:tcPr>
            <w:tcW w:w="788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423189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169/44,200</w:t>
            </w:r>
          </w:p>
        </w:tc>
        <w:tc>
          <w:tcPr>
            <w:tcW w:w="1191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1E3C74D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</w:t>
            </w:r>
          </w:p>
        </w:tc>
      </w:tr>
    </w:tbl>
    <w:p w14:paraId="17B18F1D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  <w:r>
        <w:rPr>
          <w:rFonts w:ascii="Times New Roman" w:hAnsi="Times New Roman" w:eastAsia="宋体"/>
          <w:sz w:val="21"/>
          <w:highlight w:val="none"/>
        </w:rPr>
        <w:t xml:space="preserve">Hazard ratios were calculated by adjusting for </w:t>
      </w:r>
      <w:r>
        <w:rPr>
          <w:rFonts w:hint="eastAsia" w:ascii="Times New Roman" w:hAnsi="Times New Roman" w:eastAsia="宋体"/>
          <w:sz w:val="21"/>
          <w:highlight w:val="none"/>
        </w:rPr>
        <w:t xml:space="preserve">age, sex, ethnicity, education, average total household income before tax, Townsend deprivation index, history of cancer, </w:t>
      </w:r>
      <w:r>
        <w:rPr>
          <w:rFonts w:hint="eastAsia"/>
          <w:sz w:val="21"/>
          <w:highlight w:val="none"/>
          <w:lang w:val="en-US" w:eastAsia="zh-CN"/>
        </w:rPr>
        <w:t>medication use (for cholesterol/blood pressure/diabetes)</w:t>
      </w:r>
      <w:r>
        <w:rPr>
          <w:rFonts w:ascii="Times New Roman" w:hAnsi="Times New Roman" w:eastAsia="宋体"/>
          <w:sz w:val="21"/>
          <w:highlight w:val="none"/>
        </w:rPr>
        <w:t>, diet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nicotine exposure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physical activity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sleep health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body mass index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blood glucose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blood lipids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and blood pressure</w:t>
      </w:r>
      <w:r>
        <w:rPr>
          <w:rFonts w:hint="eastAsia"/>
          <w:sz w:val="21"/>
          <w:highlight w:val="none"/>
          <w:lang w:val="en-US" w:eastAsia="zh-CN"/>
        </w:rPr>
        <w:t xml:space="preserve"> score. </w:t>
      </w:r>
      <w:r>
        <w:rPr>
          <w:rFonts w:ascii="Times New Roman" w:hAnsi="Times New Roman" w:eastAsia="宋体"/>
          <w:sz w:val="21"/>
          <w:highlight w:val="none"/>
        </w:rPr>
        <w:t>CVH, cardiovascular health</w:t>
      </w:r>
      <w:r>
        <w:rPr>
          <w:rFonts w:hint="eastAsia"/>
          <w:sz w:val="21"/>
          <w:highlight w:val="none"/>
          <w:lang w:val="en-US" w:eastAsia="zh-CN"/>
        </w:rPr>
        <w:t xml:space="preserve">. </w:t>
      </w:r>
      <w:r>
        <w:rPr>
          <w:rFonts w:ascii="Times New Roman" w:hAnsi="Times New Roman" w:eastAsia="宋体"/>
          <w:sz w:val="21"/>
          <w:highlight w:val="none"/>
        </w:rPr>
        <w:t>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0.05, 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0.01, ***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0.001</w:t>
      </w:r>
    </w:p>
    <w:p w14:paraId="309ADB9B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7D30EDF4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555960CA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78295047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66D9622C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2D8CC98A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0B6A921A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2CB15CBB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76842BDD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033836A3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6969F26E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0FD2C9C1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30339217">
      <w:pPr>
        <w:spacing w:after="0" w:line="240" w:lineRule="auto"/>
        <w:jc w:val="both"/>
        <w:rPr>
          <w:rFonts w:hint="eastAsia"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sTable </w:t>
      </w:r>
      <w:r>
        <w:rPr>
          <w:rFonts w:hint="eastAsia"/>
          <w:b/>
          <w:bCs/>
          <w:sz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/>
          <w:b/>
          <w:bCs/>
          <w:sz w:val="24"/>
          <w:highlight w:val="none"/>
        </w:rPr>
        <w:t xml:space="preserve"> </w:t>
      </w:r>
      <w:r>
        <w:rPr>
          <w:rFonts w:ascii="Times New Roman" w:hAnsi="Times New Roman" w:eastAsia="宋体"/>
          <w:bCs/>
          <w:sz w:val="24"/>
          <w:highlight w:val="none"/>
        </w:rPr>
        <w:t>A</w:t>
      </w:r>
      <w:r>
        <w:rPr>
          <w:rFonts w:hint="eastAsia" w:ascii="Times New Roman" w:hAnsi="Times New Roman" w:eastAsia="宋体"/>
          <w:bCs/>
          <w:sz w:val="24"/>
          <w:highlight w:val="none"/>
        </w:rPr>
        <w:t>ssociation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between CVH components </w:t>
      </w:r>
      <w:r>
        <w:rPr>
          <w:rFonts w:hint="eastAsia" w:ascii="Times New Roman" w:hAnsi="Times New Roman" w:eastAsia="宋体"/>
          <w:bCs/>
          <w:sz w:val="24"/>
          <w:highlight w:val="none"/>
        </w:rPr>
        <w:t xml:space="preserve">and </w:t>
      </w:r>
      <w:r>
        <w:rPr>
          <w:rFonts w:ascii="Times New Roman" w:hAnsi="Times New Roman" w:eastAsia="宋体"/>
          <w:bCs/>
          <w:sz w:val="24"/>
          <w:highlight w:val="none"/>
        </w:rPr>
        <w:t xml:space="preserve">the risk of </w:t>
      </w:r>
      <w:r>
        <w:rPr>
          <w:rFonts w:hint="eastAsia" w:ascii="Times New Roman" w:hAnsi="Times New Roman" w:eastAsia="宋体"/>
          <w:bCs/>
          <w:sz w:val="24"/>
          <w:highlight w:val="none"/>
        </w:rPr>
        <w:t>mortality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in advanced </w:t>
      </w:r>
      <w:r>
        <w:rPr>
          <w:rFonts w:hint="eastAsia" w:ascii="Times New Roman" w:hAnsi="Times New Roman" w:eastAsia="宋体"/>
          <w:bCs/>
          <w:sz w:val="24"/>
          <w:highlight w:val="none"/>
        </w:rPr>
        <w:t>cardiovascular-kidney-metabolic</w:t>
      </w:r>
      <w:r>
        <w:rPr>
          <w:rFonts w:ascii="Times New Roman" w:hAnsi="Times New Roman" w:eastAsia="宋体"/>
          <w:bCs/>
          <w:sz w:val="24"/>
          <w:highlight w:val="none"/>
        </w:rPr>
        <w:t xml:space="preserve"> </w:t>
      </w:r>
      <w:r>
        <w:rPr>
          <w:rFonts w:hint="eastAsia"/>
          <w:bCs/>
          <w:sz w:val="24"/>
          <w:highlight w:val="none"/>
          <w:lang w:val="en-US" w:eastAsia="zh-CN"/>
        </w:rPr>
        <w:t>health stages (stages 3-4)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2230"/>
        <w:gridCol w:w="3387"/>
        <w:gridCol w:w="2236"/>
        <w:gridCol w:w="3379"/>
      </w:tblGrid>
      <w:tr w14:paraId="249F2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12A7882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  <w:t>CVH components</w:t>
            </w:r>
          </w:p>
        </w:tc>
        <w:tc>
          <w:tcPr>
            <w:tcW w:w="1980" w:type="pct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4FB23B4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ll-cause mortality</w:t>
            </w:r>
          </w:p>
        </w:tc>
        <w:tc>
          <w:tcPr>
            <w:tcW w:w="1981" w:type="pct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4E68EAE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ardiovascular mortality</w:t>
            </w:r>
          </w:p>
        </w:tc>
      </w:tr>
      <w:tr w14:paraId="42963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3FE413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78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1961F2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Events/Participants</w:t>
            </w:r>
          </w:p>
        </w:tc>
        <w:tc>
          <w:tcPr>
            <w:tcW w:w="119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271444D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djusted hazard ratio</w:t>
            </w:r>
          </w:p>
          <w:p w14:paraId="459730F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(95% confidence interval)</w:t>
            </w:r>
          </w:p>
        </w:tc>
        <w:tc>
          <w:tcPr>
            <w:tcW w:w="7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54148C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Events/Participants</w:t>
            </w:r>
          </w:p>
        </w:tc>
        <w:tc>
          <w:tcPr>
            <w:tcW w:w="11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48CE374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djusted hazard ratio</w:t>
            </w:r>
          </w:p>
          <w:p w14:paraId="6C027CB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(95% confidence interval)</w:t>
            </w:r>
          </w:p>
        </w:tc>
      </w:tr>
      <w:tr w14:paraId="61FFC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tcBorders>
              <w:top w:val="single" w:color="auto" w:sz="6" w:space="0"/>
            </w:tcBorders>
            <w:noWrap w:val="0"/>
            <w:vAlign w:val="center"/>
          </w:tcPr>
          <w:p w14:paraId="5B77967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Diet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5" w:type="pct"/>
            <w:tcBorders>
              <w:top w:val="single" w:color="auto" w:sz="6" w:space="0"/>
            </w:tcBorders>
            <w:noWrap w:val="0"/>
            <w:vAlign w:val="center"/>
          </w:tcPr>
          <w:p w14:paraId="09131C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60CAD4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9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610756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2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200ECD2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D4B9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234B21B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5" w:type="pct"/>
            <w:noWrap w:val="0"/>
            <w:vAlign w:val="center"/>
          </w:tcPr>
          <w:p w14:paraId="0CDF66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3,581/17,619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4898050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136916D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1,118/17,619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41C6C7B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4AEB8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271D45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5" w:type="pct"/>
            <w:noWrap w:val="0"/>
            <w:vAlign w:val="center"/>
          </w:tcPr>
          <w:p w14:paraId="7ED3AE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1,333/7,759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06B5A2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0.9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0832D6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451/7,759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672C1F3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.9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1.1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5032A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02D3EC0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5" w:type="pct"/>
            <w:noWrap w:val="0"/>
            <w:vAlign w:val="center"/>
          </w:tcPr>
          <w:p w14:paraId="508DEB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54/276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07D335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64A9C1D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13/276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76C91F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48C14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650CAA2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Physical activity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5" w:type="pct"/>
            <w:noWrap w:val="0"/>
            <w:vAlign w:val="center"/>
          </w:tcPr>
          <w:p w14:paraId="0DD107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722989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7E1F80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176E14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188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1C0FB96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5" w:type="pct"/>
            <w:noWrap w:val="0"/>
            <w:vAlign w:val="center"/>
          </w:tcPr>
          <w:p w14:paraId="7FE73AD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1,867/8,048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48BFBD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2675D9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573/8,048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08EB2A4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4F3BB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011A91B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5" w:type="pct"/>
            <w:noWrap w:val="0"/>
            <w:vAlign w:val="center"/>
          </w:tcPr>
          <w:p w14:paraId="2EC4F5E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300/1,613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675FF01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52B5875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104/1,613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2572D2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.96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753A1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628E6F3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5" w:type="pct"/>
            <w:noWrap w:val="0"/>
            <w:vAlign w:val="center"/>
          </w:tcPr>
          <w:p w14:paraId="68B9F9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2,801/15,993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4FE562E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3F5E5A4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905/15,993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3A3B97D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**</w:t>
            </w:r>
          </w:p>
        </w:tc>
      </w:tr>
      <w:tr w14:paraId="6617E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72236E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Nicotine exposure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5" w:type="pct"/>
            <w:noWrap w:val="0"/>
            <w:vAlign w:val="center"/>
          </w:tcPr>
          <w:p w14:paraId="072538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083131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5933F74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3E139F7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B959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098144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5" w:type="pct"/>
            <w:noWrap w:val="0"/>
            <w:vAlign w:val="center"/>
          </w:tcPr>
          <w:p w14:paraId="67D910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1,118/3,882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3E7E98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15A6184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334/3,882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117470A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5AF84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3398A26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5" w:type="pct"/>
            <w:noWrap w:val="0"/>
            <w:vAlign w:val="center"/>
          </w:tcPr>
          <w:p w14:paraId="0CB164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2,054/9,362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6FC56F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(0.65, 0.7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4D9B9DF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675/9,362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3AA64E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.73 (0.6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397CA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323B4A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5" w:type="pct"/>
            <w:noWrap w:val="0"/>
            <w:vAlign w:val="center"/>
          </w:tcPr>
          <w:p w14:paraId="657E1B8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1,796/12,410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300C676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2B7BA0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573/12,410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61D3DF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.55 (0.4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0D034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7D1C2B0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Sleep health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5" w:type="pct"/>
            <w:noWrap w:val="0"/>
            <w:vAlign w:val="center"/>
          </w:tcPr>
          <w:p w14:paraId="4943309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7D100B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6324521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2AFBA0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0B16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7022D5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5" w:type="pct"/>
            <w:noWrap w:val="0"/>
            <w:vAlign w:val="center"/>
          </w:tcPr>
          <w:p w14:paraId="7259CD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684/2,806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20E254E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24B032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210/2,806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3DEBF9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3DF32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0B307A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5" w:type="pct"/>
            <w:noWrap w:val="0"/>
            <w:vAlign w:val="center"/>
          </w:tcPr>
          <w:p w14:paraId="4961BB6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911/4,878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6AA276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5F6E93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295/4,878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3F2FADD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6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64CE5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00E48F2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5" w:type="pct"/>
            <w:noWrap w:val="0"/>
            <w:vAlign w:val="center"/>
          </w:tcPr>
          <w:p w14:paraId="4D665D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3,373/17,970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533B6E1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4EE718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1,077/17,970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3A87C6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</w:t>
            </w:r>
          </w:p>
        </w:tc>
      </w:tr>
      <w:tr w14:paraId="15640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1B02A0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Body mass index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5" w:type="pct"/>
            <w:noWrap w:val="0"/>
            <w:vAlign w:val="center"/>
          </w:tcPr>
          <w:p w14:paraId="54D98C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704610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1079B3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5E3F77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2A46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732865E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5" w:type="pct"/>
            <w:noWrap w:val="0"/>
            <w:vAlign w:val="center"/>
          </w:tcPr>
          <w:p w14:paraId="5C774A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2,061/9,875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516DDD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65723D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701/9,875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25E235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40200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45000BF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5" w:type="pct"/>
            <w:noWrap w:val="0"/>
            <w:vAlign w:val="center"/>
          </w:tcPr>
          <w:p w14:paraId="705DC3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2,095/11,796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4C1F90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.9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1.0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5CDBB6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663/11,796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14E3F8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,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*</w:t>
            </w:r>
          </w:p>
        </w:tc>
      </w:tr>
      <w:tr w14:paraId="22E0E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6CD31A3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5" w:type="pct"/>
            <w:noWrap w:val="0"/>
            <w:vAlign w:val="center"/>
          </w:tcPr>
          <w:p w14:paraId="4D56DA0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812/3,983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2192FF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6) 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1015E2D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218/3,983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0D8F922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0.94 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(0.8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158DA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05DCE2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Blood lipids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5" w:type="pct"/>
            <w:noWrap w:val="0"/>
            <w:vAlign w:val="center"/>
          </w:tcPr>
          <w:p w14:paraId="1DB966E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4EA1A5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726FF4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352CEB8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B553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50009F1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5" w:type="pct"/>
            <w:noWrap w:val="0"/>
            <w:vAlign w:val="center"/>
          </w:tcPr>
          <w:p w14:paraId="1A213F8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2,075/11,546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52FD73F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62EEBF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654/11,546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4746C4F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39760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1A7370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5" w:type="pct"/>
            <w:noWrap w:val="0"/>
            <w:vAlign w:val="center"/>
          </w:tcPr>
          <w:p w14:paraId="2D8B22B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372/2,147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33AF4B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0.89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6E2F9EA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99/2,147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5DB95C0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3C74E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152C83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5" w:type="pct"/>
            <w:noWrap w:val="0"/>
            <w:vAlign w:val="center"/>
          </w:tcPr>
          <w:p w14:paraId="29007D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2,521/11,961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2B7CA63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(1.0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151CEE2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829/11,961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227AF57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0.93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2C672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596C12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Blood glucose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5" w:type="pct"/>
            <w:noWrap w:val="0"/>
            <w:vAlign w:val="center"/>
          </w:tcPr>
          <w:p w14:paraId="61B3D6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3B6FE9F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4EF5B9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572FF5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789E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6D01CB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5" w:type="pct"/>
            <w:noWrap w:val="0"/>
            <w:vAlign w:val="center"/>
          </w:tcPr>
          <w:p w14:paraId="387A49B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1,620/5,749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0D10B8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27D7692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534/5,749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3A8E832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4A440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3292B8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5" w:type="pct"/>
            <w:noWrap w:val="0"/>
            <w:vAlign w:val="center"/>
          </w:tcPr>
          <w:p w14:paraId="09A34ED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1,137/5,341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2A0666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.74 (0.6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7FD3CA0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354/5,341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7D47039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0.8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1EAC7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55F464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5" w:type="pct"/>
            <w:noWrap w:val="0"/>
            <w:vAlign w:val="center"/>
          </w:tcPr>
          <w:p w14:paraId="2C5AC7C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2,211/14,564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27BCB8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0.67) ***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39A5340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694/14,564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166DC8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3F9D8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0C830A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Blood pressure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score</w:t>
            </w:r>
          </w:p>
        </w:tc>
        <w:tc>
          <w:tcPr>
            <w:tcW w:w="785" w:type="pct"/>
            <w:noWrap w:val="0"/>
            <w:vAlign w:val="center"/>
          </w:tcPr>
          <w:p w14:paraId="2973188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0B670D6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5211E25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3014E60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9DDC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04CFE5E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785" w:type="pct"/>
            <w:noWrap w:val="0"/>
            <w:vAlign w:val="center"/>
          </w:tcPr>
          <w:p w14:paraId="4DBA211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3,604/17,685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2586816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1FCE09F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1,154/17,685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11FD8D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.00 (Ref)</w:t>
            </w:r>
          </w:p>
        </w:tc>
      </w:tr>
      <w:tr w14:paraId="0C818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noWrap w:val="0"/>
            <w:vAlign w:val="center"/>
          </w:tcPr>
          <w:p w14:paraId="75A878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785" w:type="pct"/>
            <w:noWrap w:val="0"/>
            <w:vAlign w:val="center"/>
          </w:tcPr>
          <w:p w14:paraId="06379A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821/5,181</w:t>
            </w:r>
          </w:p>
        </w:tc>
        <w:tc>
          <w:tcPr>
            <w:tcW w:w="1195" w:type="pct"/>
            <w:shd w:val="clear" w:color="auto" w:fill="auto"/>
            <w:noWrap w:val="0"/>
            <w:vAlign w:val="center"/>
          </w:tcPr>
          <w:p w14:paraId="57391F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1.00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1.0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  <w:tc>
          <w:tcPr>
            <w:tcW w:w="789" w:type="pct"/>
            <w:shd w:val="clear" w:color="auto" w:fill="auto"/>
            <w:noWrap w:val="0"/>
            <w:vAlign w:val="center"/>
          </w:tcPr>
          <w:p w14:paraId="686CD1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246/5,181</w:t>
            </w:r>
          </w:p>
        </w:tc>
        <w:tc>
          <w:tcPr>
            <w:tcW w:w="1192" w:type="pct"/>
            <w:shd w:val="clear" w:color="auto" w:fill="auto"/>
            <w:noWrap w:val="0"/>
            <w:vAlign w:val="center"/>
          </w:tcPr>
          <w:p w14:paraId="671AFC8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094E4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pct"/>
            <w:tcBorders>
              <w:bottom w:val="single" w:color="auto" w:sz="12" w:space="0"/>
            </w:tcBorders>
            <w:noWrap w:val="0"/>
            <w:vAlign w:val="center"/>
          </w:tcPr>
          <w:p w14:paraId="506142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785" w:type="pct"/>
            <w:tcBorders>
              <w:bottom w:val="single" w:color="auto" w:sz="12" w:space="0"/>
            </w:tcBorders>
            <w:noWrap w:val="0"/>
            <w:vAlign w:val="center"/>
          </w:tcPr>
          <w:p w14:paraId="6822702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543/2,788</w:t>
            </w:r>
          </w:p>
        </w:tc>
        <w:tc>
          <w:tcPr>
            <w:tcW w:w="1195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3DB0B10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(1.10, 1.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2) **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</w:t>
            </w:r>
          </w:p>
        </w:tc>
        <w:tc>
          <w:tcPr>
            <w:tcW w:w="789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7B031DE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182/2,788</w:t>
            </w:r>
          </w:p>
        </w:tc>
        <w:tc>
          <w:tcPr>
            <w:tcW w:w="1192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4A4018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.2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(1.0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1.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</w:t>
            </w:r>
          </w:p>
        </w:tc>
      </w:tr>
    </w:tbl>
    <w:p w14:paraId="1D9600C2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  <w:r>
        <w:rPr>
          <w:rFonts w:ascii="Times New Roman" w:hAnsi="Times New Roman" w:eastAsia="宋体"/>
          <w:sz w:val="21"/>
          <w:highlight w:val="none"/>
        </w:rPr>
        <w:t xml:space="preserve">Hazard ratios were calculated by adjusting for </w:t>
      </w:r>
      <w:r>
        <w:rPr>
          <w:rFonts w:hint="eastAsia" w:ascii="Times New Roman" w:hAnsi="Times New Roman" w:eastAsia="宋体"/>
          <w:sz w:val="21"/>
          <w:highlight w:val="none"/>
        </w:rPr>
        <w:t xml:space="preserve">age, sex, ethnicity, education, average total household income before tax, Townsend deprivation index, history of cancer, </w:t>
      </w:r>
      <w:r>
        <w:rPr>
          <w:rFonts w:hint="eastAsia"/>
          <w:sz w:val="21"/>
          <w:highlight w:val="none"/>
          <w:lang w:val="en-US" w:eastAsia="zh-CN"/>
        </w:rPr>
        <w:t>medication use (for cholesterol/blood pressure/diabetes)</w:t>
      </w:r>
      <w:r>
        <w:rPr>
          <w:rFonts w:ascii="Times New Roman" w:hAnsi="Times New Roman" w:eastAsia="宋体"/>
          <w:sz w:val="21"/>
          <w:highlight w:val="none"/>
        </w:rPr>
        <w:t>, diet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nicotine exposure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physical activity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sleep health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body mass index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blood glucose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blood lipids</w:t>
      </w:r>
      <w:r>
        <w:rPr>
          <w:rFonts w:hint="eastAsia"/>
          <w:sz w:val="21"/>
          <w:highlight w:val="none"/>
          <w:lang w:val="en-US" w:eastAsia="zh-CN"/>
        </w:rPr>
        <w:t xml:space="preserve"> score</w:t>
      </w:r>
      <w:r>
        <w:rPr>
          <w:rFonts w:ascii="Times New Roman" w:hAnsi="Times New Roman" w:eastAsia="宋体"/>
          <w:sz w:val="21"/>
          <w:highlight w:val="none"/>
        </w:rPr>
        <w:t>, and blood pressure</w:t>
      </w:r>
      <w:r>
        <w:rPr>
          <w:rFonts w:hint="eastAsia"/>
          <w:sz w:val="21"/>
          <w:highlight w:val="none"/>
          <w:lang w:val="en-US" w:eastAsia="zh-CN"/>
        </w:rPr>
        <w:t xml:space="preserve"> score. </w:t>
      </w:r>
      <w:r>
        <w:rPr>
          <w:rFonts w:ascii="Times New Roman" w:hAnsi="Times New Roman" w:eastAsia="宋体"/>
          <w:sz w:val="21"/>
          <w:highlight w:val="none"/>
        </w:rPr>
        <w:t>CVH, cardiovascular health</w:t>
      </w:r>
      <w:r>
        <w:rPr>
          <w:rFonts w:hint="eastAsia"/>
          <w:sz w:val="21"/>
          <w:highlight w:val="none"/>
          <w:lang w:val="en-US" w:eastAsia="zh-CN"/>
        </w:rPr>
        <w:t xml:space="preserve">. </w:t>
      </w:r>
      <w:r>
        <w:rPr>
          <w:rFonts w:ascii="Times New Roman" w:hAnsi="Times New Roman" w:eastAsia="宋体"/>
          <w:sz w:val="21"/>
          <w:highlight w:val="none"/>
        </w:rPr>
        <w:t>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0.05, 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0.01, ***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0.001</w:t>
      </w:r>
    </w:p>
    <w:p w14:paraId="471A7EFE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7B80D493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2253D769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53D61A21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037E930D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48A7EDF4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1163120C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4F619F62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440FA901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53BD7E05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7C525181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63FE4EB2">
      <w:pPr>
        <w:spacing w:after="0" w:line="240" w:lineRule="auto"/>
        <w:jc w:val="both"/>
        <w:rPr>
          <w:rFonts w:ascii="Times New Roman" w:hAnsi="Times New Roman" w:eastAsia="宋体"/>
          <w:b/>
          <w:bCs/>
          <w:sz w:val="24"/>
          <w:highlight w:val="none"/>
        </w:rPr>
      </w:pPr>
    </w:p>
    <w:p w14:paraId="1499A9C2">
      <w:pPr>
        <w:spacing w:after="0" w:line="240" w:lineRule="auto"/>
        <w:jc w:val="both"/>
        <w:rPr>
          <w:rFonts w:ascii="Times New Roman" w:hAnsi="Times New Roman" w:eastAsia="宋体"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sT</w:t>
      </w:r>
      <w:r>
        <w:rPr>
          <w:rFonts w:ascii="Times New Roman" w:hAnsi="Times New Roman" w:eastAsia="宋体"/>
          <w:b/>
          <w:sz w:val="24"/>
          <w:highlight w:val="none"/>
        </w:rPr>
        <w:t xml:space="preserve">able </w:t>
      </w:r>
      <w:r>
        <w:rPr>
          <w:rFonts w:hint="eastAsia"/>
          <w:b/>
          <w:sz w:val="24"/>
          <w:highlight w:val="none"/>
          <w:lang w:val="en-US" w:eastAsia="zh-CN"/>
        </w:rPr>
        <w:t>6</w:t>
      </w:r>
      <w:r>
        <w:rPr>
          <w:rFonts w:ascii="Times New Roman" w:hAnsi="Times New Roman" w:eastAsia="宋体"/>
          <w:sz w:val="24"/>
          <w:highlight w:val="none"/>
        </w:rPr>
        <w:t xml:space="preserve"> Subgroup analysis of the association between </w:t>
      </w:r>
      <w:r>
        <w:rPr>
          <w:rFonts w:hint="eastAsia"/>
          <w:sz w:val="24"/>
          <w:highlight w:val="none"/>
          <w:lang w:val="en-US" w:eastAsia="zh-CN"/>
        </w:rPr>
        <w:t>CVH</w:t>
      </w:r>
      <w:r>
        <w:rPr>
          <w:rFonts w:ascii="Times New Roman" w:hAnsi="Times New Roman" w:eastAsia="宋体"/>
          <w:sz w:val="24"/>
          <w:highlight w:val="none"/>
        </w:rPr>
        <w:t xml:space="preserve"> scores and the risk of mortality</w:t>
      </w:r>
    </w:p>
    <w:tbl>
      <w:tblPr>
        <w:tblStyle w:val="8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3006"/>
        <w:gridCol w:w="3006"/>
        <w:gridCol w:w="3006"/>
        <w:gridCol w:w="3017"/>
      </w:tblGrid>
      <w:tr w14:paraId="6EC6F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1358DF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  <w:t>CVH scores</w:t>
            </w:r>
          </w:p>
        </w:tc>
        <w:tc>
          <w:tcPr>
            <w:tcW w:w="2122" w:type="pct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7820D9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ll-cause mortality</w:t>
            </w:r>
          </w:p>
        </w:tc>
        <w:tc>
          <w:tcPr>
            <w:tcW w:w="2126" w:type="pct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54F3FEC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ardiovascular mortality</w:t>
            </w:r>
          </w:p>
        </w:tc>
      </w:tr>
      <w:tr w14:paraId="3124A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vMerge w:val="continue"/>
            <w:tcBorders>
              <w:bottom w:val="single" w:color="auto" w:sz="6" w:space="0"/>
            </w:tcBorders>
            <w:noWrap w:val="0"/>
            <w:vAlign w:val="top"/>
          </w:tcPr>
          <w:p w14:paraId="5DDF48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061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2FE7C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Events/Participants</w:t>
            </w:r>
          </w:p>
        </w:tc>
        <w:tc>
          <w:tcPr>
            <w:tcW w:w="1061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54A12B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djusted hazard ratio (95%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confidence interval)</w:t>
            </w:r>
          </w:p>
        </w:tc>
        <w:tc>
          <w:tcPr>
            <w:tcW w:w="10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75494C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"/>
              </w:rPr>
              <w:t>Events/Participants</w:t>
            </w:r>
          </w:p>
        </w:tc>
        <w:tc>
          <w:tcPr>
            <w:tcW w:w="1065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06423A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djusted hazard ratio (95%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confidence interval)</w:t>
            </w:r>
          </w:p>
        </w:tc>
      </w:tr>
      <w:tr w14:paraId="30E53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tcBorders>
              <w:top w:val="single" w:color="auto" w:sz="6" w:space="0"/>
            </w:tcBorders>
            <w:noWrap w:val="0"/>
            <w:vAlign w:val="center"/>
          </w:tcPr>
          <w:p w14:paraId="5340CEE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highlight w:val="none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  <w:t>ex group</w:t>
            </w:r>
          </w:p>
        </w:tc>
        <w:tc>
          <w:tcPr>
            <w:tcW w:w="1061" w:type="pct"/>
            <w:tcBorders>
              <w:top w:val="single" w:color="auto" w:sz="6" w:space="0"/>
            </w:tcBorders>
            <w:noWrap w:val="0"/>
            <w:vAlign w:val="center"/>
          </w:tcPr>
          <w:p w14:paraId="2C9916F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</w:pPr>
          </w:p>
        </w:tc>
        <w:tc>
          <w:tcPr>
            <w:tcW w:w="1061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5B32575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6FDC33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5" w:type="pct"/>
            <w:tcBorders>
              <w:top w:val="single" w:color="auto" w:sz="6" w:space="0"/>
            </w:tcBorders>
            <w:shd w:val="clear" w:color="auto" w:fill="auto"/>
            <w:noWrap w:val="0"/>
            <w:vAlign w:val="center"/>
          </w:tcPr>
          <w:p w14:paraId="6911FC8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1075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6FD75DA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1" w:firstLineChars="10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highlight w:val="none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  <w:t>ales</w:t>
            </w:r>
          </w:p>
        </w:tc>
        <w:tc>
          <w:tcPr>
            <w:tcW w:w="1061" w:type="pct"/>
            <w:noWrap w:val="0"/>
            <w:vAlign w:val="center"/>
          </w:tcPr>
          <w:p w14:paraId="6269751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highlight w:val="none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624691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9E794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175ED7D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9F35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1DDEF8B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061" w:type="pct"/>
            <w:noWrap w:val="0"/>
            <w:vAlign w:val="center"/>
          </w:tcPr>
          <w:p w14:paraId="3E1284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2,440/15,476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70CE8C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22D687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664/15,476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79C219E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0D312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0CBF75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1061" w:type="pct"/>
            <w:noWrap w:val="0"/>
            <w:vAlign w:val="center"/>
          </w:tcPr>
          <w:p w14:paraId="6DF57A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9,806/119,326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8E984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0.65) ***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3FB76F9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2,212/119,326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2D800A4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35596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6681730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1061" w:type="pct"/>
            <w:noWrap w:val="0"/>
            <w:vAlign w:val="center"/>
          </w:tcPr>
          <w:p w14:paraId="1BA0246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439/10,660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708B3A2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(0.3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33EDEA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71/10,660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3011A77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0.44) ***</w:t>
            </w:r>
          </w:p>
        </w:tc>
      </w:tr>
      <w:tr w14:paraId="2C00B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751" w:type="pct"/>
            <w:noWrap w:val="0"/>
            <w:vAlign w:val="top"/>
          </w:tcPr>
          <w:p w14:paraId="409CD44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1" w:firstLineChars="10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Females</w:t>
            </w:r>
          </w:p>
        </w:tc>
        <w:tc>
          <w:tcPr>
            <w:tcW w:w="1061" w:type="pct"/>
            <w:noWrap w:val="0"/>
            <w:vAlign w:val="center"/>
          </w:tcPr>
          <w:p w14:paraId="1F199D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19F70DE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643A59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59B922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1EB1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4F75054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061" w:type="pct"/>
            <w:noWrap w:val="0"/>
            <w:vAlign w:val="center"/>
          </w:tcPr>
          <w:p w14:paraId="077CB1D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1,266/11,689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48618F2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145DC10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235/11,689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0F9C49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3CE2B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4F0165F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1061" w:type="pct"/>
            <w:noWrap w:val="0"/>
            <w:vAlign w:val="center"/>
          </w:tcPr>
          <w:p w14:paraId="18E5D12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5,751/119,483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3D9F61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19E7AA8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752/119,483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120C71D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(0.3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3B47F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57F5384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1061" w:type="pct"/>
            <w:noWrap w:val="0"/>
            <w:vAlign w:val="center"/>
          </w:tcPr>
          <w:p w14:paraId="7707E4D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580/25,537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23A57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429F041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45/25,537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2AB62B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1FB33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45518D5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/>
                <w:iCs/>
                <w:sz w:val="24"/>
                <w:highlight w:val="none"/>
                <w:lang w:val="en-US" w:eastAsia="zh-CN"/>
              </w:rPr>
              <w:t>P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for interaction</w:t>
            </w:r>
          </w:p>
        </w:tc>
        <w:tc>
          <w:tcPr>
            <w:tcW w:w="1061" w:type="pct"/>
            <w:noWrap w:val="0"/>
            <w:vAlign w:val="center"/>
          </w:tcPr>
          <w:p w14:paraId="253BF4A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-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7AC2192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0.718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15183E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-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67ED1E1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0.004</w:t>
            </w:r>
          </w:p>
        </w:tc>
      </w:tr>
      <w:tr w14:paraId="11B35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top"/>
          </w:tcPr>
          <w:p w14:paraId="2767B3E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ge group</w:t>
            </w:r>
          </w:p>
        </w:tc>
        <w:tc>
          <w:tcPr>
            <w:tcW w:w="1061" w:type="pct"/>
            <w:noWrap w:val="0"/>
            <w:vAlign w:val="center"/>
          </w:tcPr>
          <w:p w14:paraId="6A73787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3DC18C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6810ED0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796F5F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89DA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top"/>
          </w:tcPr>
          <w:p w14:paraId="24BCB72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1" w:firstLineChars="10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ge &lt; 65 years</w:t>
            </w:r>
          </w:p>
        </w:tc>
        <w:tc>
          <w:tcPr>
            <w:tcW w:w="1061" w:type="pct"/>
            <w:noWrap w:val="0"/>
            <w:vAlign w:val="center"/>
          </w:tcPr>
          <w:p w14:paraId="1D888CC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03C16EA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055ADE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06A07A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ACC7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4B3DC2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061" w:type="pct"/>
            <w:noWrap w:val="0"/>
            <w:vAlign w:val="center"/>
          </w:tcPr>
          <w:p w14:paraId="4F56A53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2,370/22,036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1DA8DB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1EDFBE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570/22,036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45DA69F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45C00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4152FB3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1061" w:type="pct"/>
            <w:noWrap w:val="0"/>
            <w:vAlign w:val="center"/>
          </w:tcPr>
          <w:p w14:paraId="72E251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9,164/194,202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0F38251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1B7D08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1,634/194,202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45420B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3A601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05A597F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1061" w:type="pct"/>
            <w:noWrap w:val="0"/>
            <w:vAlign w:val="center"/>
          </w:tcPr>
          <w:p w14:paraId="2C272AB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736/33,303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40D79AD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226CAA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70/33,303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1777F6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77B6F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top"/>
          </w:tcPr>
          <w:p w14:paraId="156B911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1" w:firstLineChars="100"/>
              <w:jc w:val="both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ge ≥ 65 years</w:t>
            </w:r>
          </w:p>
        </w:tc>
        <w:tc>
          <w:tcPr>
            <w:tcW w:w="1061" w:type="pct"/>
            <w:noWrap w:val="0"/>
            <w:vAlign w:val="center"/>
          </w:tcPr>
          <w:p w14:paraId="75B57A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20DC4D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F25814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0248C54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C42D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12125A3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061" w:type="pct"/>
            <w:noWrap w:val="0"/>
            <w:vAlign w:val="center"/>
          </w:tcPr>
          <w:p w14:paraId="05CD993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1,336/5,129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4BF15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429FA39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329/5,129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086393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55F30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2160340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B5E62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6,393/44,607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2A26BF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0.67) ***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645BE80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1,330/44,607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36F3B45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60 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657DC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noWrap w:val="0"/>
            <w:vAlign w:val="center"/>
          </w:tcPr>
          <w:p w14:paraId="553F98D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54DAB50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283/2,894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6584770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061" w:type="pct"/>
            <w:shd w:val="clear" w:color="auto" w:fill="auto"/>
            <w:noWrap w:val="0"/>
            <w:vAlign w:val="center"/>
          </w:tcPr>
          <w:p w14:paraId="3D3EB76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46/2,894</w:t>
            </w:r>
          </w:p>
        </w:tc>
        <w:tc>
          <w:tcPr>
            <w:tcW w:w="1065" w:type="pct"/>
            <w:shd w:val="clear" w:color="auto" w:fill="auto"/>
            <w:noWrap w:val="0"/>
            <w:vAlign w:val="center"/>
          </w:tcPr>
          <w:p w14:paraId="125303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0.59) **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*</w:t>
            </w:r>
          </w:p>
        </w:tc>
      </w:tr>
      <w:tr w14:paraId="1BDE0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pct"/>
            <w:tcBorders>
              <w:bottom w:val="single" w:color="auto" w:sz="12" w:space="0"/>
            </w:tcBorders>
            <w:noWrap w:val="0"/>
            <w:vAlign w:val="center"/>
          </w:tcPr>
          <w:p w14:paraId="6B04AD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cs="Times New Roman"/>
                <w:i/>
                <w:iCs/>
                <w:sz w:val="24"/>
                <w:highlight w:val="none"/>
                <w:lang w:val="en-US" w:eastAsia="zh-CN"/>
              </w:rPr>
              <w:t>P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for interaction</w:t>
            </w:r>
          </w:p>
        </w:tc>
        <w:tc>
          <w:tcPr>
            <w:tcW w:w="1061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064321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-</w:t>
            </w:r>
          </w:p>
        </w:tc>
        <w:tc>
          <w:tcPr>
            <w:tcW w:w="1061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6EDFC6E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&lt;0.001</w:t>
            </w:r>
          </w:p>
        </w:tc>
        <w:tc>
          <w:tcPr>
            <w:tcW w:w="1061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4A301B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-</w:t>
            </w:r>
          </w:p>
        </w:tc>
        <w:tc>
          <w:tcPr>
            <w:tcW w:w="1065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780F5B7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&lt;0.001</w:t>
            </w:r>
          </w:p>
        </w:tc>
      </w:tr>
    </w:tbl>
    <w:p w14:paraId="4F016B44">
      <w:pPr>
        <w:spacing w:after="0" w:line="240" w:lineRule="auto"/>
        <w:jc w:val="both"/>
        <w:rPr>
          <w:rFonts w:ascii="Times New Roman" w:hAnsi="Times New Roman" w:eastAsia="宋体"/>
          <w:sz w:val="24"/>
          <w:highlight w:val="none"/>
        </w:rPr>
      </w:pPr>
      <w:r>
        <w:rPr>
          <w:rFonts w:ascii="Times New Roman" w:hAnsi="Times New Roman" w:eastAsia="宋体"/>
          <w:sz w:val="21"/>
          <w:highlight w:val="none"/>
        </w:rPr>
        <w:t xml:space="preserve">Hazard ratios were calculated by adjusting for </w:t>
      </w:r>
      <w:r>
        <w:rPr>
          <w:rFonts w:hint="eastAsia" w:ascii="Times New Roman" w:hAnsi="Times New Roman" w:eastAsia="宋体"/>
          <w:sz w:val="21"/>
          <w:highlight w:val="none"/>
        </w:rPr>
        <w:t xml:space="preserve">age, sex, ethnicity, education, average total household income before tax, Townsend deprivation index, history of cancer, </w:t>
      </w:r>
      <w:r>
        <w:rPr>
          <w:rFonts w:hint="eastAsia"/>
          <w:sz w:val="21"/>
          <w:highlight w:val="none"/>
          <w:lang w:val="en-US" w:eastAsia="zh-CN"/>
        </w:rPr>
        <w:t xml:space="preserve">medication use (for cholesterol/blood pressure/diabetes), and </w:t>
      </w:r>
      <w:r>
        <w:rPr>
          <w:rFonts w:ascii="Times New Roman" w:hAnsi="Times New Roman" w:eastAsia="宋体"/>
          <w:sz w:val="21"/>
          <w:highlight w:val="none"/>
        </w:rPr>
        <w:t>cardiovascular-kidney-metabolic</w:t>
      </w:r>
      <w:r>
        <w:rPr>
          <w:rFonts w:hint="eastAsia"/>
          <w:sz w:val="21"/>
          <w:highlight w:val="none"/>
          <w:lang w:val="en-US" w:eastAsia="zh-CN"/>
        </w:rPr>
        <w:t xml:space="preserve"> health stages. </w:t>
      </w:r>
      <w:r>
        <w:rPr>
          <w:rFonts w:ascii="Times New Roman" w:hAnsi="Times New Roman" w:eastAsia="宋体"/>
          <w:sz w:val="21"/>
          <w:highlight w:val="none"/>
        </w:rPr>
        <w:t>CVH, cardiovascular health</w:t>
      </w:r>
      <w:r>
        <w:rPr>
          <w:rFonts w:hint="eastAsia"/>
          <w:sz w:val="21"/>
          <w:highlight w:val="none"/>
          <w:lang w:val="en-US" w:eastAsia="zh-CN"/>
        </w:rPr>
        <w:t xml:space="preserve">. </w:t>
      </w:r>
      <w:r>
        <w:rPr>
          <w:rFonts w:ascii="Times New Roman" w:hAnsi="Times New Roman" w:eastAsia="宋体"/>
          <w:sz w:val="21"/>
          <w:highlight w:val="none"/>
        </w:rPr>
        <w:t>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0.05, 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0.01, ***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0.001</w:t>
      </w:r>
    </w:p>
    <w:p w14:paraId="1BD81EE7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4867B217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544BAF6B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0ECDB8D4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35C36570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28715A0E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75AA098F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640355AA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34325763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6D17AE10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2904B07E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3ACE6A62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508CCBAA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2D771559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326713B1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6B55A40C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1FBFE07E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4CA71228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387A3208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07694389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773EC39C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402B66C2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4D1B4134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6AC5D67A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12FF8D40">
      <w:pPr>
        <w:spacing w:after="0" w:line="240" w:lineRule="auto"/>
        <w:jc w:val="both"/>
        <w:rPr>
          <w:rFonts w:hint="eastAsia" w:ascii="Times New Roman" w:hAnsi="Times New Roman" w:eastAsia="宋体"/>
          <w:b w:val="0"/>
          <w:bCs w:val="0"/>
          <w:sz w:val="24"/>
          <w:highlight w:val="none"/>
        </w:rPr>
      </w:pPr>
    </w:p>
    <w:p w14:paraId="4BC20F73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sT</w:t>
      </w:r>
      <w:r>
        <w:rPr>
          <w:rFonts w:ascii="Times New Roman" w:hAnsi="Times New Roman" w:eastAsia="宋体"/>
          <w:b/>
          <w:sz w:val="24"/>
          <w:highlight w:val="none"/>
        </w:rPr>
        <w:t xml:space="preserve">able </w:t>
      </w:r>
      <w:r>
        <w:rPr>
          <w:rFonts w:hint="eastAsia"/>
          <w:b/>
          <w:sz w:val="24"/>
          <w:highlight w:val="none"/>
          <w:lang w:val="en-US" w:eastAsia="zh-CN"/>
        </w:rPr>
        <w:t>7</w:t>
      </w:r>
      <w:r>
        <w:rPr>
          <w:rFonts w:ascii="Times New Roman" w:hAnsi="Times New Roman" w:eastAsia="宋体"/>
          <w:b/>
          <w:sz w:val="24"/>
          <w:highlight w:val="none"/>
        </w:rPr>
        <w:t xml:space="preserve"> </w:t>
      </w:r>
      <w:r>
        <w:rPr>
          <w:rFonts w:ascii="Times New Roman" w:hAnsi="Times New Roman" w:eastAsia="宋体"/>
          <w:sz w:val="24"/>
          <w:highlight w:val="none"/>
        </w:rPr>
        <w:t>Sensitivity analysis of the association between CVH scores and the risk of mortality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5395"/>
        <w:gridCol w:w="5414"/>
      </w:tblGrid>
      <w:tr w14:paraId="44833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0AE43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CVH scores</w:t>
            </w:r>
          </w:p>
        </w:tc>
        <w:tc>
          <w:tcPr>
            <w:tcW w:w="3812" w:type="pct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2AA71B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djusted hazard ratio (95%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confidence interval)</w:t>
            </w:r>
          </w:p>
        </w:tc>
      </w:tr>
      <w:tr w14:paraId="278C1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vMerge w:val="continue"/>
            <w:tcBorders>
              <w:bottom w:val="single" w:color="auto" w:sz="6" w:space="0"/>
            </w:tcBorders>
            <w:noWrap w:val="0"/>
            <w:vAlign w:val="top"/>
          </w:tcPr>
          <w:p w14:paraId="6F7268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903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A5578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ll-cause mortality</w:t>
            </w:r>
          </w:p>
        </w:tc>
        <w:tc>
          <w:tcPr>
            <w:tcW w:w="1909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805E1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ardiovascular mortality</w:t>
            </w:r>
          </w:p>
        </w:tc>
      </w:tr>
      <w:tr w14:paraId="1246C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3"/>
            <w:tcBorders>
              <w:top w:val="single" w:color="auto" w:sz="6" w:space="0"/>
            </w:tcBorders>
            <w:noWrap w:val="0"/>
            <w:vAlign w:val="center"/>
          </w:tcPr>
          <w:p w14:paraId="7DB6E4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 xml:space="preserve">Sensitivity analysis 1: 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Excluding participants whose outcomes occurred within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years after baseline (n=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297,506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07D76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4B2B3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903" w:type="pct"/>
            <w:noWrap w:val="0"/>
            <w:vAlign w:val="center"/>
          </w:tcPr>
          <w:p w14:paraId="5C3DD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909" w:type="pct"/>
            <w:noWrap w:val="0"/>
            <w:vAlign w:val="center"/>
          </w:tcPr>
          <w:p w14:paraId="7142F7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4568E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666CEC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1903" w:type="pct"/>
            <w:noWrap w:val="0"/>
            <w:vAlign w:val="center"/>
          </w:tcPr>
          <w:p w14:paraId="1CF921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.59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0.62) ***</w:t>
            </w:r>
          </w:p>
        </w:tc>
        <w:tc>
          <w:tcPr>
            <w:tcW w:w="1909" w:type="pct"/>
            <w:noWrap w:val="0"/>
            <w:vAlign w:val="center"/>
          </w:tcPr>
          <w:p w14:paraId="392BF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67830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1BE4BF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1903" w:type="pct"/>
            <w:noWrap w:val="0"/>
            <w:vAlign w:val="center"/>
          </w:tcPr>
          <w:p w14:paraId="331B0B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909" w:type="pct"/>
            <w:noWrap w:val="0"/>
            <w:vAlign w:val="center"/>
          </w:tcPr>
          <w:p w14:paraId="29C55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0CA3F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3"/>
            <w:noWrap w:val="0"/>
            <w:vAlign w:val="center"/>
          </w:tcPr>
          <w:p w14:paraId="5B16C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Sensitivity analysis 2: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Using multiple imputation method to deal with missing covariates (n=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349,740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215C2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3EA919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903" w:type="pct"/>
            <w:noWrap w:val="0"/>
            <w:vAlign w:val="center"/>
          </w:tcPr>
          <w:p w14:paraId="1539E6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909" w:type="pct"/>
            <w:noWrap w:val="0"/>
            <w:vAlign w:val="center"/>
          </w:tcPr>
          <w:p w14:paraId="33567E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3934F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0E5EB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1903" w:type="pct"/>
            <w:noWrap w:val="0"/>
            <w:vAlign w:val="center"/>
          </w:tcPr>
          <w:p w14:paraId="199C94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909" w:type="pct"/>
            <w:noWrap w:val="0"/>
            <w:vAlign w:val="center"/>
          </w:tcPr>
          <w:p w14:paraId="52334D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26550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2E65B9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1903" w:type="pct"/>
            <w:noWrap w:val="0"/>
            <w:vAlign w:val="center"/>
          </w:tcPr>
          <w:p w14:paraId="405C31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909" w:type="pct"/>
            <w:noWrap w:val="0"/>
            <w:vAlign w:val="center"/>
          </w:tcPr>
          <w:p w14:paraId="1291F4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6, 0.3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74AA9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3"/>
            <w:noWrap w:val="0"/>
            <w:vAlign w:val="center"/>
          </w:tcPr>
          <w:p w14:paraId="3DFFA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 xml:space="preserve">Sensitivity analysis 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Using other grouping methods of CVH scores (n=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302,171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32EFA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top"/>
          </w:tcPr>
          <w:p w14:paraId="7EE94A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Tertile 1</w:t>
            </w:r>
          </w:p>
        </w:tc>
        <w:tc>
          <w:tcPr>
            <w:tcW w:w="1903" w:type="pct"/>
            <w:noWrap w:val="0"/>
            <w:vAlign w:val="center"/>
          </w:tcPr>
          <w:p w14:paraId="67C84F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909" w:type="pct"/>
            <w:noWrap w:val="0"/>
            <w:vAlign w:val="center"/>
          </w:tcPr>
          <w:p w14:paraId="7611DE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523CD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top"/>
          </w:tcPr>
          <w:p w14:paraId="6A48CE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Tertile 2</w:t>
            </w:r>
          </w:p>
        </w:tc>
        <w:tc>
          <w:tcPr>
            <w:tcW w:w="1903" w:type="pct"/>
            <w:noWrap w:val="0"/>
            <w:vAlign w:val="center"/>
          </w:tcPr>
          <w:p w14:paraId="38DD7A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(0.6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0.7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909" w:type="pct"/>
            <w:noWrap w:val="0"/>
            <w:vAlign w:val="center"/>
          </w:tcPr>
          <w:p w14:paraId="657C4B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7F07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top"/>
          </w:tcPr>
          <w:p w14:paraId="288435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Tertile 3</w:t>
            </w:r>
          </w:p>
        </w:tc>
        <w:tc>
          <w:tcPr>
            <w:tcW w:w="1903" w:type="pct"/>
            <w:noWrap w:val="0"/>
            <w:vAlign w:val="center"/>
          </w:tcPr>
          <w:p w14:paraId="080BAE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909" w:type="pct"/>
            <w:noWrap w:val="0"/>
            <w:vAlign w:val="center"/>
          </w:tcPr>
          <w:p w14:paraId="4ECB6B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51798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3"/>
            <w:noWrap w:val="0"/>
            <w:vAlign w:val="center"/>
          </w:tcPr>
          <w:p w14:paraId="6234B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 xml:space="preserve">Sensitivity analysis 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Using other grouping methods of CVH scores (n=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302,171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0CED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2AE097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903" w:type="pct"/>
            <w:noWrap w:val="0"/>
            <w:vAlign w:val="center"/>
          </w:tcPr>
          <w:p w14:paraId="4F0AD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909" w:type="pct"/>
            <w:noWrap w:val="0"/>
            <w:vAlign w:val="center"/>
          </w:tcPr>
          <w:p w14:paraId="546E71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11ED5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428D24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50-74</w:t>
            </w:r>
          </w:p>
        </w:tc>
        <w:tc>
          <w:tcPr>
            <w:tcW w:w="1903" w:type="pct"/>
            <w:noWrap w:val="0"/>
            <w:vAlign w:val="center"/>
          </w:tcPr>
          <w:p w14:paraId="5C3D2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.61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0.64) ***</w:t>
            </w:r>
          </w:p>
        </w:tc>
        <w:tc>
          <w:tcPr>
            <w:tcW w:w="1909" w:type="pct"/>
            <w:noWrap w:val="0"/>
            <w:vAlign w:val="center"/>
          </w:tcPr>
          <w:p w14:paraId="2651E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27DCE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470B12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75-100</w:t>
            </w:r>
          </w:p>
        </w:tc>
        <w:tc>
          <w:tcPr>
            <w:tcW w:w="1903" w:type="pct"/>
            <w:noWrap w:val="0"/>
            <w:vAlign w:val="center"/>
          </w:tcPr>
          <w:p w14:paraId="3BE2C9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0.4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909" w:type="pct"/>
            <w:noWrap w:val="0"/>
            <w:vAlign w:val="center"/>
          </w:tcPr>
          <w:p w14:paraId="6EF1CE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0.3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31AE0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3"/>
            <w:noWrap w:val="0"/>
            <w:vAlign w:val="center"/>
          </w:tcPr>
          <w:p w14:paraId="3E106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 xml:space="preserve">Sensitivity analysis 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Using 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weighted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CVH scores (n=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302,171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</w:t>
            </w:r>
          </w:p>
        </w:tc>
      </w:tr>
      <w:tr w14:paraId="46417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top"/>
          </w:tcPr>
          <w:p w14:paraId="5C1D45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Tertile 1</w:t>
            </w:r>
          </w:p>
        </w:tc>
        <w:tc>
          <w:tcPr>
            <w:tcW w:w="1903" w:type="pct"/>
            <w:noWrap w:val="0"/>
            <w:vAlign w:val="center"/>
          </w:tcPr>
          <w:p w14:paraId="464431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909" w:type="pct"/>
            <w:noWrap w:val="0"/>
            <w:vAlign w:val="center"/>
          </w:tcPr>
          <w:p w14:paraId="0B281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7003A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top"/>
          </w:tcPr>
          <w:p w14:paraId="08F73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Tertile 2</w:t>
            </w:r>
          </w:p>
        </w:tc>
        <w:tc>
          <w:tcPr>
            <w:tcW w:w="1903" w:type="pct"/>
            <w:noWrap w:val="0"/>
            <w:vAlign w:val="center"/>
          </w:tcPr>
          <w:p w14:paraId="60D89D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(0.5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  <w:tc>
          <w:tcPr>
            <w:tcW w:w="1909" w:type="pct"/>
            <w:noWrap w:val="0"/>
            <w:vAlign w:val="center"/>
          </w:tcPr>
          <w:p w14:paraId="7B4A47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00020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top"/>
          </w:tcPr>
          <w:p w14:paraId="4D522A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Tertile 3</w:t>
            </w:r>
          </w:p>
        </w:tc>
        <w:tc>
          <w:tcPr>
            <w:tcW w:w="1903" w:type="pct"/>
            <w:noWrap w:val="0"/>
            <w:vAlign w:val="center"/>
          </w:tcPr>
          <w:p w14:paraId="48CB47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5) ***</w:t>
            </w:r>
          </w:p>
        </w:tc>
        <w:tc>
          <w:tcPr>
            <w:tcW w:w="1909" w:type="pct"/>
            <w:noWrap w:val="0"/>
            <w:vAlign w:val="center"/>
          </w:tcPr>
          <w:p w14:paraId="7FC805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37C38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3"/>
            <w:noWrap w:val="0"/>
            <w:vAlign w:val="center"/>
          </w:tcPr>
          <w:p w14:paraId="6FAD9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 xml:space="preserve">Sensitivity analysis 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 xml:space="preserve">: </w:t>
            </w:r>
            <w:r>
              <w:rPr>
                <w:rFonts w:hint="eastAsia" w:cs="Times New Roman"/>
                <w:b w:val="0"/>
                <w:bCs/>
                <w:sz w:val="24"/>
                <w:highlight w:val="none"/>
                <w:lang w:val="en-US" w:eastAsia="zh-CN"/>
              </w:rPr>
              <w:t>Using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 xml:space="preserve">Fine-Gray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 xml:space="preserve">ompeting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 xml:space="preserve">isks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 xml:space="preserve">egression for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 xml:space="preserve">ardiovascular 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ortality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(n=302,171)</w:t>
            </w:r>
          </w:p>
        </w:tc>
      </w:tr>
      <w:tr w14:paraId="71627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1DB1E1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903" w:type="pct"/>
            <w:noWrap w:val="0"/>
            <w:vAlign w:val="center"/>
          </w:tcPr>
          <w:p w14:paraId="2BF11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909" w:type="pct"/>
            <w:noWrap w:val="0"/>
            <w:vAlign w:val="center"/>
          </w:tcPr>
          <w:p w14:paraId="5E7C69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7C54E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38A6F1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1903" w:type="pct"/>
            <w:noWrap w:val="0"/>
            <w:vAlign w:val="center"/>
          </w:tcPr>
          <w:p w14:paraId="44783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-</w:t>
            </w:r>
          </w:p>
        </w:tc>
        <w:tc>
          <w:tcPr>
            <w:tcW w:w="1909" w:type="pct"/>
            <w:noWrap w:val="0"/>
            <w:vAlign w:val="center"/>
          </w:tcPr>
          <w:p w14:paraId="727E84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97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</w:t>
            </w:r>
          </w:p>
        </w:tc>
      </w:tr>
      <w:tr w14:paraId="6CF40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noWrap w:val="0"/>
            <w:vAlign w:val="center"/>
          </w:tcPr>
          <w:p w14:paraId="05E732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1903" w:type="pct"/>
            <w:noWrap w:val="0"/>
            <w:vAlign w:val="center"/>
          </w:tcPr>
          <w:p w14:paraId="3B4455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-</w:t>
            </w:r>
          </w:p>
        </w:tc>
        <w:tc>
          <w:tcPr>
            <w:tcW w:w="1909" w:type="pct"/>
            <w:noWrap w:val="0"/>
            <w:vAlign w:val="center"/>
          </w:tcPr>
          <w:p w14:paraId="69E601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 xml:space="preserve"> (0.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, 0.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) ***</w:t>
            </w:r>
          </w:p>
        </w:tc>
      </w:tr>
      <w:tr w14:paraId="5D3C7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3"/>
            <w:noWrap w:val="0"/>
            <w:vAlign w:val="center"/>
          </w:tcPr>
          <w:p w14:paraId="24C9C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 xml:space="preserve">Sensitivity analysis </w:t>
            </w:r>
            <w:r>
              <w:rPr>
                <w:rFonts w:hint="eastAsia" w:cs="Times New Roman"/>
                <w:b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highlight w:val="none"/>
              </w:rPr>
              <w:t xml:space="preserve">: </w:t>
            </w:r>
            <w:r>
              <w:rPr>
                <w:rFonts w:hint="eastAsia" w:cs="Times New Roman"/>
                <w:b w:val="0"/>
                <w:bCs/>
                <w:sz w:val="24"/>
                <w:highlight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epeating main analyses in participants with CKM syndrome (stages 1-4)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 xml:space="preserve"> (n=259,143)</w:t>
            </w:r>
          </w:p>
        </w:tc>
      </w:tr>
      <w:tr w14:paraId="7ED9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shd w:val="clear" w:color="auto" w:fill="auto"/>
            <w:noWrap w:val="0"/>
            <w:vAlign w:val="center"/>
          </w:tcPr>
          <w:p w14:paraId="55C066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903" w:type="pct"/>
            <w:shd w:val="clear" w:color="auto" w:fill="auto"/>
            <w:noWrap w:val="0"/>
            <w:vAlign w:val="center"/>
          </w:tcPr>
          <w:p w14:paraId="7757B5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909" w:type="pct"/>
            <w:shd w:val="clear" w:color="auto" w:fill="auto"/>
            <w:noWrap w:val="0"/>
            <w:vAlign w:val="center"/>
          </w:tcPr>
          <w:p w14:paraId="682AEE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02D3B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shd w:val="clear" w:color="auto" w:fill="auto"/>
            <w:noWrap w:val="0"/>
            <w:vAlign w:val="center"/>
          </w:tcPr>
          <w:p w14:paraId="2777EB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1903" w:type="pct"/>
            <w:noWrap w:val="0"/>
            <w:vAlign w:val="center"/>
          </w:tcPr>
          <w:p w14:paraId="4688CF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0.60 (0.58, 0.62) ***</w:t>
            </w:r>
          </w:p>
        </w:tc>
        <w:tc>
          <w:tcPr>
            <w:tcW w:w="1909" w:type="pct"/>
            <w:noWrap w:val="0"/>
            <w:vAlign w:val="center"/>
          </w:tcPr>
          <w:p w14:paraId="1ED52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0.55 (0.51, 0.60) ***</w:t>
            </w:r>
          </w:p>
        </w:tc>
      </w:tr>
      <w:tr w14:paraId="47CCF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shd w:val="clear" w:color="auto" w:fill="auto"/>
            <w:noWrap w:val="0"/>
            <w:vAlign w:val="center"/>
          </w:tcPr>
          <w:p w14:paraId="591B09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1903" w:type="pct"/>
            <w:noWrap w:val="0"/>
            <w:vAlign w:val="center"/>
          </w:tcPr>
          <w:p w14:paraId="0C5529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0.47 (0.43, 0.52) ***</w:t>
            </w:r>
          </w:p>
        </w:tc>
        <w:tc>
          <w:tcPr>
            <w:tcW w:w="1909" w:type="pct"/>
            <w:noWrap w:val="0"/>
            <w:vAlign w:val="center"/>
          </w:tcPr>
          <w:p w14:paraId="497080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0.34 (0.26, 0.43) ***</w:t>
            </w:r>
          </w:p>
        </w:tc>
      </w:tr>
      <w:tr w14:paraId="1FA44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3"/>
            <w:shd w:val="clear" w:color="auto" w:fill="auto"/>
            <w:noWrap w:val="0"/>
            <w:vAlign w:val="center"/>
          </w:tcPr>
          <w:p w14:paraId="2E9B6E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cs="Times New Roman"/>
                <w:highlight w:val="none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8"/>
              </w:rPr>
              <w:t xml:space="preserve">Sensitivity analysis </w:t>
            </w: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8</w:t>
            </w:r>
            <w:r>
              <w:rPr>
                <w:rFonts w:hint="default"/>
                <w:b/>
                <w:bCs/>
                <w:sz w:val="24"/>
                <w:szCs w:val="28"/>
              </w:rPr>
              <w:t>:</w:t>
            </w:r>
            <w:r>
              <w:rPr>
                <w:rFonts w:hint="default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U</w:t>
            </w:r>
            <w:r>
              <w:rPr>
                <w:rFonts w:hint="default"/>
                <w:sz w:val="24"/>
                <w:szCs w:val="28"/>
              </w:rPr>
              <w:t xml:space="preserve">sing robust standard errors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to </w:t>
            </w:r>
            <w:r>
              <w:rPr>
                <w:rFonts w:hint="default"/>
                <w:sz w:val="24"/>
                <w:szCs w:val="28"/>
              </w:rPr>
              <w:t>confirm the robustness of the findings 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(n=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302,171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) </w:t>
            </w:r>
            <w:r>
              <w:rPr>
                <w:rFonts w:hint="eastAsia"/>
                <w:sz w:val="24"/>
                <w:szCs w:val="28"/>
                <w:vertAlign w:val="superscript"/>
                <w:lang w:val="en-US" w:eastAsia="zh-CN"/>
              </w:rPr>
              <w:t>a</w:t>
            </w:r>
          </w:p>
        </w:tc>
      </w:tr>
      <w:tr w14:paraId="1BA9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shd w:val="clear" w:color="auto" w:fill="auto"/>
            <w:noWrap w:val="0"/>
            <w:vAlign w:val="center"/>
          </w:tcPr>
          <w:p w14:paraId="0405ED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0-49</w:t>
            </w:r>
          </w:p>
        </w:tc>
        <w:tc>
          <w:tcPr>
            <w:tcW w:w="1903" w:type="pct"/>
            <w:shd w:val="clear" w:color="auto" w:fill="auto"/>
            <w:noWrap w:val="0"/>
            <w:vAlign w:val="center"/>
          </w:tcPr>
          <w:p w14:paraId="2F4213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  <w:tc>
          <w:tcPr>
            <w:tcW w:w="1909" w:type="pct"/>
            <w:shd w:val="clear" w:color="auto" w:fill="auto"/>
            <w:noWrap w:val="0"/>
            <w:vAlign w:val="center"/>
          </w:tcPr>
          <w:p w14:paraId="7F30D8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</w:rPr>
              <w:t>1.00 (Ref)</w:t>
            </w:r>
          </w:p>
        </w:tc>
      </w:tr>
      <w:tr w14:paraId="02F2A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shd w:val="clear" w:color="auto" w:fill="auto"/>
            <w:noWrap w:val="0"/>
            <w:vAlign w:val="center"/>
          </w:tcPr>
          <w:p w14:paraId="2D78C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50-79</w:t>
            </w:r>
          </w:p>
        </w:tc>
        <w:tc>
          <w:tcPr>
            <w:tcW w:w="1903" w:type="pct"/>
            <w:shd w:val="clear" w:color="auto" w:fill="auto"/>
            <w:noWrap w:val="0"/>
            <w:vAlign w:val="center"/>
          </w:tcPr>
          <w:p w14:paraId="74BE9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0.60 (0.58, 0.62) ***</w:t>
            </w:r>
          </w:p>
        </w:tc>
        <w:tc>
          <w:tcPr>
            <w:tcW w:w="1909" w:type="pct"/>
            <w:shd w:val="clear" w:color="auto" w:fill="auto"/>
            <w:noWrap w:val="0"/>
            <w:vAlign w:val="center"/>
          </w:tcPr>
          <w:p w14:paraId="357F93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0.55 (0.51, 0.60) ***</w:t>
            </w:r>
          </w:p>
        </w:tc>
      </w:tr>
      <w:tr w14:paraId="23705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7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27FC63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80-100</w:t>
            </w:r>
          </w:p>
        </w:tc>
        <w:tc>
          <w:tcPr>
            <w:tcW w:w="1903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4E9186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0.45 (0.42, 0.49) ***</w:t>
            </w:r>
          </w:p>
        </w:tc>
        <w:tc>
          <w:tcPr>
            <w:tcW w:w="1909" w:type="pct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7D192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0.33 (0.27, 0.41) ***</w:t>
            </w:r>
          </w:p>
        </w:tc>
      </w:tr>
    </w:tbl>
    <w:p w14:paraId="6403C712">
      <w:pPr>
        <w:spacing w:after="0" w:line="240" w:lineRule="auto"/>
        <w:jc w:val="both"/>
        <w:rPr>
          <w:rFonts w:hint="default" w:ascii="Times New Roman" w:hAnsi="Times New Roman" w:eastAsia="宋体"/>
          <w:sz w:val="21"/>
          <w:highlight w:val="none"/>
          <w:lang w:val="en-US" w:eastAsia="zh-CN"/>
        </w:rPr>
      </w:pPr>
      <w:r>
        <w:rPr>
          <w:rFonts w:hint="eastAsia"/>
          <w:sz w:val="21"/>
          <w:highlight w:val="none"/>
          <w:vertAlign w:val="superscript"/>
          <w:lang w:val="en-US" w:eastAsia="zh-CN"/>
        </w:rPr>
        <w:t>a</w:t>
      </w:r>
      <w:r>
        <w:rPr>
          <w:rFonts w:hint="eastAsia"/>
          <w:sz w:val="21"/>
          <w:highlight w:val="none"/>
          <w:lang w:val="en-US" w:eastAsia="zh-CN"/>
        </w:rPr>
        <w:t xml:space="preserve"> DFBETA statistics were used to assess influential observations. Despite a small proportion of observations exceeding the conventional threshold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2/√N</w:t>
      </w:r>
      <w:r>
        <w:rPr>
          <w:rFonts w:hint="eastAsia"/>
          <w:sz w:val="21"/>
          <w:highlight w:val="none"/>
          <w:lang w:val="en-US" w:eastAsia="zh-CN"/>
        </w:rPr>
        <w:t>, all maximum DFBETA values were of low magnitude, indicating limited individual influence on model results.</w:t>
      </w:r>
    </w:p>
    <w:p w14:paraId="6C1DA367">
      <w:pPr>
        <w:spacing w:after="0" w:line="240" w:lineRule="auto"/>
        <w:jc w:val="both"/>
        <w:rPr>
          <w:rFonts w:ascii="Times New Roman" w:hAnsi="Times New Roman" w:eastAsia="宋体"/>
          <w:sz w:val="24"/>
          <w:highlight w:val="none"/>
        </w:rPr>
      </w:pPr>
      <w:r>
        <w:rPr>
          <w:rFonts w:hint="eastAsia" w:ascii="Times New Roman" w:hAnsi="Times New Roman" w:eastAsia="宋体"/>
          <w:sz w:val="21"/>
          <w:highlight w:val="none"/>
        </w:rPr>
        <w:t>H</w:t>
      </w:r>
      <w:r>
        <w:rPr>
          <w:rFonts w:ascii="Times New Roman" w:hAnsi="Times New Roman" w:eastAsia="宋体"/>
          <w:sz w:val="21"/>
          <w:highlight w:val="none"/>
        </w:rPr>
        <w:t xml:space="preserve">azard ratios were calculated by adjusting for </w:t>
      </w:r>
      <w:r>
        <w:rPr>
          <w:rFonts w:hint="eastAsia" w:ascii="Times New Roman" w:hAnsi="Times New Roman" w:eastAsia="宋体"/>
          <w:sz w:val="21"/>
          <w:highlight w:val="none"/>
        </w:rPr>
        <w:t xml:space="preserve">age, sex, ethnicity, education, average total household income before tax, Townsend deprivation index, history of cancer, </w:t>
      </w:r>
      <w:r>
        <w:rPr>
          <w:rFonts w:hint="eastAsia"/>
          <w:sz w:val="21"/>
          <w:highlight w:val="none"/>
          <w:lang w:val="en-US" w:eastAsia="zh-CN"/>
        </w:rPr>
        <w:t>medication use (for cholesterol/blood pressure/diabetes)</w:t>
      </w:r>
      <w:r>
        <w:rPr>
          <w:rFonts w:hint="eastAsia" w:ascii="Times New Roman" w:hAnsi="Times New Roman" w:eastAsia="宋体"/>
          <w:sz w:val="21"/>
          <w:highlight w:val="none"/>
        </w:rPr>
        <w:t xml:space="preserve">, and cardiovascular-kidney-metabolic </w:t>
      </w:r>
      <w:r>
        <w:rPr>
          <w:rFonts w:hint="eastAsia"/>
          <w:sz w:val="21"/>
          <w:highlight w:val="none"/>
          <w:lang w:val="en-US" w:eastAsia="zh-CN"/>
        </w:rPr>
        <w:t xml:space="preserve">health </w:t>
      </w:r>
      <w:r>
        <w:rPr>
          <w:rFonts w:hint="eastAsia" w:ascii="Times New Roman" w:hAnsi="Times New Roman" w:eastAsia="宋体"/>
          <w:sz w:val="21"/>
          <w:highlight w:val="none"/>
        </w:rPr>
        <w:t>stage</w:t>
      </w:r>
      <w:r>
        <w:rPr>
          <w:rFonts w:hint="eastAsia"/>
          <w:sz w:val="21"/>
          <w:highlight w:val="none"/>
          <w:lang w:val="en-US" w:eastAsia="zh-CN"/>
        </w:rPr>
        <w:t xml:space="preserve">s. </w:t>
      </w:r>
      <w:r>
        <w:rPr>
          <w:rFonts w:ascii="Times New Roman" w:hAnsi="Times New Roman" w:eastAsia="宋体"/>
          <w:sz w:val="21"/>
          <w:highlight w:val="none"/>
        </w:rPr>
        <w:t>CVH, cardiovascular health</w:t>
      </w:r>
      <w:r>
        <w:rPr>
          <w:rFonts w:hint="eastAsia"/>
          <w:sz w:val="21"/>
          <w:highlight w:val="none"/>
          <w:lang w:val="en-US" w:eastAsia="zh-CN"/>
        </w:rPr>
        <w:t xml:space="preserve">. </w:t>
      </w:r>
      <w:r>
        <w:rPr>
          <w:rFonts w:ascii="Times New Roman" w:hAnsi="Times New Roman" w:eastAsia="宋体"/>
          <w:sz w:val="21"/>
          <w:highlight w:val="none"/>
        </w:rPr>
        <w:t>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0.05, 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0.01, ***</w:t>
      </w:r>
      <w:r>
        <w:rPr>
          <w:rFonts w:ascii="Times New Roman" w:hAnsi="Times New Roman" w:eastAsia="宋体"/>
          <w:i/>
          <w:sz w:val="21"/>
          <w:highlight w:val="none"/>
        </w:rPr>
        <w:t>P</w:t>
      </w:r>
      <w:r>
        <w:rPr>
          <w:rFonts w:ascii="Times New Roman" w:hAnsi="Times New Roman" w:eastAsia="宋体"/>
          <w:sz w:val="21"/>
          <w:highlight w:val="none"/>
        </w:rPr>
        <w:t xml:space="preserve"> &lt; 0.001</w:t>
      </w:r>
    </w:p>
    <w:p w14:paraId="3E0BFA3F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1E0A3C6A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072DE438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4404D6A6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08A31AE3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130C32BD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02ABA2BA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3E4A22C9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69B4FD7D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60640C99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37C0FCA7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67F682C3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</w:p>
    <w:p w14:paraId="685120E6">
      <w:pPr>
        <w:spacing w:after="0" w:line="240" w:lineRule="auto"/>
        <w:jc w:val="both"/>
        <w:rPr>
          <w:rFonts w:ascii="Times New Roman" w:hAnsi="Times New Roman" w:eastAsia="宋体"/>
          <w:b/>
          <w:sz w:val="24"/>
          <w:highlight w:val="none"/>
        </w:rPr>
      </w:pPr>
      <w:r>
        <w:rPr>
          <w:rFonts w:hint="eastAsia" w:ascii="Times New Roman" w:hAnsi="Times New Roman" w:eastAsia="宋体"/>
          <w:b/>
          <w:bCs/>
          <w:sz w:val="24"/>
          <w:highlight w:val="none"/>
        </w:rPr>
        <w:t>sF</w:t>
      </w:r>
      <w:r>
        <w:rPr>
          <w:rFonts w:hint="eastAsia" w:ascii="Times New Roman" w:hAnsi="Times New Roman" w:eastAsia="宋体"/>
          <w:b/>
          <w:sz w:val="24"/>
          <w:highlight w:val="none"/>
        </w:rPr>
        <w:t>igure</w:t>
      </w:r>
      <w:r>
        <w:rPr>
          <w:rFonts w:ascii="Times New Roman" w:hAnsi="Times New Roman" w:eastAsia="宋体"/>
          <w:b/>
          <w:sz w:val="24"/>
          <w:highlight w:val="none"/>
        </w:rPr>
        <w:t xml:space="preserve"> 1 </w:t>
      </w:r>
      <w:r>
        <w:rPr>
          <w:rFonts w:ascii="Times New Roman" w:hAnsi="Times New Roman" w:eastAsia="宋体"/>
          <w:sz w:val="24"/>
          <w:highlight w:val="none"/>
        </w:rPr>
        <w:t>S</w:t>
      </w:r>
      <w:r>
        <w:rPr>
          <w:rFonts w:hint="eastAsia" w:ascii="Times New Roman" w:hAnsi="Times New Roman" w:eastAsia="宋体"/>
          <w:sz w:val="24"/>
          <w:highlight w:val="none"/>
        </w:rPr>
        <w:t>tudy</w:t>
      </w:r>
      <w:r>
        <w:rPr>
          <w:rFonts w:ascii="Times New Roman" w:hAnsi="Times New Roman" w:eastAsia="宋体"/>
          <w:sz w:val="24"/>
          <w:highlight w:val="none"/>
        </w:rPr>
        <w:t xml:space="preserve"> flow chart</w:t>
      </w:r>
    </w:p>
    <w:p w14:paraId="671D34C0">
      <w:pPr>
        <w:spacing w:after="0" w:line="240" w:lineRule="auto"/>
        <w:jc w:val="both"/>
        <w:rPr>
          <w:rFonts w:hint="eastAsia" w:ascii="Times New Roman" w:hAnsi="Times New Roman" w:eastAsia="宋体"/>
          <w:sz w:val="24"/>
          <w:highlight w:val="none"/>
          <w:lang w:eastAsia="zh-CN"/>
        </w:rPr>
      </w:pPr>
      <w:r>
        <w:rPr>
          <w:rFonts w:hint="eastAsia" w:ascii="Times New Roman" w:hAnsi="Times New Roman" w:eastAsia="宋体"/>
          <w:sz w:val="24"/>
          <w:highlight w:val="none"/>
          <w:lang w:eastAsia="zh-CN"/>
        </w:rPr>
        <w:drawing>
          <wp:inline distT="0" distB="0" distL="114300" distR="114300">
            <wp:extent cx="6298565" cy="4646295"/>
            <wp:effectExtent l="0" t="0" r="6985" b="1905"/>
            <wp:docPr id="1" name="图片 1" descr="f52b0989-b8ce-49ee-83b5-3f0f319fec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52b0989-b8ce-49ee-83b5-3f0f319fec9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464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6449">
      <w:pPr>
        <w:spacing w:after="0" w:line="240" w:lineRule="auto"/>
        <w:jc w:val="both"/>
        <w:rPr>
          <w:rFonts w:hint="eastAsia" w:ascii="Times New Roman" w:hAnsi="Times New Roman" w:eastAsia="宋体"/>
          <w:bCs/>
          <w:sz w:val="24"/>
          <w:highlight w:val="none"/>
        </w:rPr>
      </w:pPr>
      <w:r>
        <w:rPr>
          <w:rFonts w:ascii="Times New Roman" w:hAnsi="Times New Roman" w:eastAsia="宋体"/>
          <w:sz w:val="21"/>
          <w:highlight w:val="none"/>
        </w:rPr>
        <w:t>CKM, cardiovascular-kidney-metabolic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7F961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20</w:t>
    </w:r>
    <w:r>
      <w:fldChar w:fldCharType="end"/>
    </w:r>
  </w:p>
  <w:p w14:paraId="77E9CE77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5B78AA"/>
    <w:multiLevelType w:val="multilevel"/>
    <w:tmpl w:val="455B78A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AA"/>
    <w:rsid w:val="0008277B"/>
    <w:rsid w:val="000B6767"/>
    <w:rsid w:val="0020472E"/>
    <w:rsid w:val="002C0FC7"/>
    <w:rsid w:val="0052758D"/>
    <w:rsid w:val="005F40EB"/>
    <w:rsid w:val="00615CA6"/>
    <w:rsid w:val="006307C3"/>
    <w:rsid w:val="006A41E4"/>
    <w:rsid w:val="007A5BC3"/>
    <w:rsid w:val="007E64CD"/>
    <w:rsid w:val="00880521"/>
    <w:rsid w:val="008C3F21"/>
    <w:rsid w:val="00977597"/>
    <w:rsid w:val="009F514B"/>
    <w:rsid w:val="00A342A5"/>
    <w:rsid w:val="00AC343A"/>
    <w:rsid w:val="00AD1D44"/>
    <w:rsid w:val="00AF3608"/>
    <w:rsid w:val="00B36CAA"/>
    <w:rsid w:val="00C80C9E"/>
    <w:rsid w:val="00CA6A19"/>
    <w:rsid w:val="00D263C6"/>
    <w:rsid w:val="00D26502"/>
    <w:rsid w:val="00DD0D13"/>
    <w:rsid w:val="00DE26C1"/>
    <w:rsid w:val="00EA408E"/>
    <w:rsid w:val="00F74999"/>
    <w:rsid w:val="00F8574C"/>
    <w:rsid w:val="010B4357"/>
    <w:rsid w:val="011C471E"/>
    <w:rsid w:val="0168074B"/>
    <w:rsid w:val="017E4628"/>
    <w:rsid w:val="021E7C7C"/>
    <w:rsid w:val="023F6367"/>
    <w:rsid w:val="026826BF"/>
    <w:rsid w:val="027368DB"/>
    <w:rsid w:val="02D7414A"/>
    <w:rsid w:val="02E65B70"/>
    <w:rsid w:val="02ED10F0"/>
    <w:rsid w:val="0318380B"/>
    <w:rsid w:val="034877EC"/>
    <w:rsid w:val="03852BDD"/>
    <w:rsid w:val="039C2675"/>
    <w:rsid w:val="03AD1503"/>
    <w:rsid w:val="040D6820"/>
    <w:rsid w:val="041B280B"/>
    <w:rsid w:val="04835281"/>
    <w:rsid w:val="04842AA6"/>
    <w:rsid w:val="04A479AC"/>
    <w:rsid w:val="04B912AC"/>
    <w:rsid w:val="04F93F1C"/>
    <w:rsid w:val="059F2783"/>
    <w:rsid w:val="05F83591"/>
    <w:rsid w:val="06117A07"/>
    <w:rsid w:val="06C5252B"/>
    <w:rsid w:val="06D3561E"/>
    <w:rsid w:val="07134E8C"/>
    <w:rsid w:val="072B079D"/>
    <w:rsid w:val="08052C30"/>
    <w:rsid w:val="081F0C66"/>
    <w:rsid w:val="087150EF"/>
    <w:rsid w:val="08887809"/>
    <w:rsid w:val="08F83980"/>
    <w:rsid w:val="095264E5"/>
    <w:rsid w:val="09CE7624"/>
    <w:rsid w:val="09D55381"/>
    <w:rsid w:val="0A5B7DD0"/>
    <w:rsid w:val="0AED1A93"/>
    <w:rsid w:val="0AF934E7"/>
    <w:rsid w:val="0AFA538C"/>
    <w:rsid w:val="0BE92E07"/>
    <w:rsid w:val="0C2003EB"/>
    <w:rsid w:val="0C4A0131"/>
    <w:rsid w:val="0C6236CC"/>
    <w:rsid w:val="0C7E4044"/>
    <w:rsid w:val="0CB55A5F"/>
    <w:rsid w:val="0CDF5F6F"/>
    <w:rsid w:val="0CE916E4"/>
    <w:rsid w:val="0D2210AE"/>
    <w:rsid w:val="0D2941EA"/>
    <w:rsid w:val="0D5C734A"/>
    <w:rsid w:val="0D6F6E94"/>
    <w:rsid w:val="0DDC6046"/>
    <w:rsid w:val="0E06277D"/>
    <w:rsid w:val="0E0A3FD5"/>
    <w:rsid w:val="0E2B79E9"/>
    <w:rsid w:val="0E3B11CE"/>
    <w:rsid w:val="0E713147"/>
    <w:rsid w:val="0F032819"/>
    <w:rsid w:val="0F1369A0"/>
    <w:rsid w:val="0F1E4EB1"/>
    <w:rsid w:val="0F7B6008"/>
    <w:rsid w:val="0F883721"/>
    <w:rsid w:val="0FA432CE"/>
    <w:rsid w:val="0FFA00C0"/>
    <w:rsid w:val="0FFB0691"/>
    <w:rsid w:val="10196798"/>
    <w:rsid w:val="10573F82"/>
    <w:rsid w:val="10BA4216"/>
    <w:rsid w:val="10D75D0B"/>
    <w:rsid w:val="11025679"/>
    <w:rsid w:val="11033F6E"/>
    <w:rsid w:val="11124F95"/>
    <w:rsid w:val="115A2B38"/>
    <w:rsid w:val="11823EC9"/>
    <w:rsid w:val="11AA463D"/>
    <w:rsid w:val="11DE2D99"/>
    <w:rsid w:val="11F03528"/>
    <w:rsid w:val="1222268E"/>
    <w:rsid w:val="123D63F3"/>
    <w:rsid w:val="124C3E81"/>
    <w:rsid w:val="129C7CEF"/>
    <w:rsid w:val="12C50970"/>
    <w:rsid w:val="12CB18A0"/>
    <w:rsid w:val="12FC7CAB"/>
    <w:rsid w:val="137372CB"/>
    <w:rsid w:val="137C620C"/>
    <w:rsid w:val="13C8306A"/>
    <w:rsid w:val="13E76BAD"/>
    <w:rsid w:val="142D4720"/>
    <w:rsid w:val="143C2A65"/>
    <w:rsid w:val="1493252F"/>
    <w:rsid w:val="14AB70E5"/>
    <w:rsid w:val="14CD56AD"/>
    <w:rsid w:val="14ED0BDC"/>
    <w:rsid w:val="14F65E12"/>
    <w:rsid w:val="15007F26"/>
    <w:rsid w:val="15011746"/>
    <w:rsid w:val="150317C5"/>
    <w:rsid w:val="15413A64"/>
    <w:rsid w:val="156006A2"/>
    <w:rsid w:val="156D5E21"/>
    <w:rsid w:val="15BA0E49"/>
    <w:rsid w:val="161C1F83"/>
    <w:rsid w:val="161D01E7"/>
    <w:rsid w:val="16C03368"/>
    <w:rsid w:val="16EA49EA"/>
    <w:rsid w:val="170668C4"/>
    <w:rsid w:val="173D634B"/>
    <w:rsid w:val="176C3078"/>
    <w:rsid w:val="178A237C"/>
    <w:rsid w:val="17AD3EEE"/>
    <w:rsid w:val="18664544"/>
    <w:rsid w:val="18F558C8"/>
    <w:rsid w:val="190A0ACA"/>
    <w:rsid w:val="1931543F"/>
    <w:rsid w:val="194C6DC7"/>
    <w:rsid w:val="19762565"/>
    <w:rsid w:val="19784182"/>
    <w:rsid w:val="19B82418"/>
    <w:rsid w:val="19C126E1"/>
    <w:rsid w:val="19F65454"/>
    <w:rsid w:val="1A143B2C"/>
    <w:rsid w:val="1A440EA4"/>
    <w:rsid w:val="1A863A57"/>
    <w:rsid w:val="1AD811E2"/>
    <w:rsid w:val="1ADD6614"/>
    <w:rsid w:val="1AF13CB5"/>
    <w:rsid w:val="1B4D7F6B"/>
    <w:rsid w:val="1B924E72"/>
    <w:rsid w:val="1BB3656D"/>
    <w:rsid w:val="1BD87507"/>
    <w:rsid w:val="1BE1655F"/>
    <w:rsid w:val="1BF72877"/>
    <w:rsid w:val="1C4C0F7A"/>
    <w:rsid w:val="1C4E71BE"/>
    <w:rsid w:val="1C7D217A"/>
    <w:rsid w:val="1CAA69D0"/>
    <w:rsid w:val="1CDF2E80"/>
    <w:rsid w:val="1D0E0C5B"/>
    <w:rsid w:val="1D6D43FE"/>
    <w:rsid w:val="1D9A434F"/>
    <w:rsid w:val="1DA32719"/>
    <w:rsid w:val="1DD844DC"/>
    <w:rsid w:val="1E5A768A"/>
    <w:rsid w:val="1E756378"/>
    <w:rsid w:val="1EA8656B"/>
    <w:rsid w:val="1F244811"/>
    <w:rsid w:val="1F300C4A"/>
    <w:rsid w:val="1F376557"/>
    <w:rsid w:val="1F892A00"/>
    <w:rsid w:val="1FF85AA6"/>
    <w:rsid w:val="20031638"/>
    <w:rsid w:val="201349DB"/>
    <w:rsid w:val="201B5C14"/>
    <w:rsid w:val="205459C1"/>
    <w:rsid w:val="20685C53"/>
    <w:rsid w:val="2071222D"/>
    <w:rsid w:val="20BE20C1"/>
    <w:rsid w:val="20DB7785"/>
    <w:rsid w:val="20E7163F"/>
    <w:rsid w:val="212C6AD3"/>
    <w:rsid w:val="21C64986"/>
    <w:rsid w:val="21D4624B"/>
    <w:rsid w:val="21D51CD6"/>
    <w:rsid w:val="21DC7625"/>
    <w:rsid w:val="21FA58BD"/>
    <w:rsid w:val="22034BB2"/>
    <w:rsid w:val="22283360"/>
    <w:rsid w:val="223628EE"/>
    <w:rsid w:val="23137923"/>
    <w:rsid w:val="2314171F"/>
    <w:rsid w:val="23557326"/>
    <w:rsid w:val="237369FB"/>
    <w:rsid w:val="23CD1181"/>
    <w:rsid w:val="23DE7E64"/>
    <w:rsid w:val="23ED1399"/>
    <w:rsid w:val="24003A12"/>
    <w:rsid w:val="245B1163"/>
    <w:rsid w:val="247C660B"/>
    <w:rsid w:val="24AC3202"/>
    <w:rsid w:val="24B4750C"/>
    <w:rsid w:val="24B72338"/>
    <w:rsid w:val="24ED38F7"/>
    <w:rsid w:val="251D42FD"/>
    <w:rsid w:val="254074DE"/>
    <w:rsid w:val="25886D59"/>
    <w:rsid w:val="25BB5BC8"/>
    <w:rsid w:val="25CB4399"/>
    <w:rsid w:val="25CD5C03"/>
    <w:rsid w:val="264A7253"/>
    <w:rsid w:val="264D0C35"/>
    <w:rsid w:val="26571970"/>
    <w:rsid w:val="26772A6A"/>
    <w:rsid w:val="26BB1EFF"/>
    <w:rsid w:val="26C651BD"/>
    <w:rsid w:val="26D97E60"/>
    <w:rsid w:val="27337CE7"/>
    <w:rsid w:val="275A2E9F"/>
    <w:rsid w:val="27AB16C8"/>
    <w:rsid w:val="27F06B32"/>
    <w:rsid w:val="289B1727"/>
    <w:rsid w:val="28DB1529"/>
    <w:rsid w:val="292F02F2"/>
    <w:rsid w:val="293D4E4D"/>
    <w:rsid w:val="29415F58"/>
    <w:rsid w:val="29741A99"/>
    <w:rsid w:val="29BC7911"/>
    <w:rsid w:val="2A1A5053"/>
    <w:rsid w:val="2A1C3B9F"/>
    <w:rsid w:val="2A233FCE"/>
    <w:rsid w:val="2A2F5120"/>
    <w:rsid w:val="2A834498"/>
    <w:rsid w:val="2AE82B97"/>
    <w:rsid w:val="2AFB6D6E"/>
    <w:rsid w:val="2BBD04C8"/>
    <w:rsid w:val="2BE92090"/>
    <w:rsid w:val="2BF00438"/>
    <w:rsid w:val="2C380A44"/>
    <w:rsid w:val="2C8D5D2D"/>
    <w:rsid w:val="2CD47877"/>
    <w:rsid w:val="2CEE02AF"/>
    <w:rsid w:val="2D2C1F30"/>
    <w:rsid w:val="2D4F33A1"/>
    <w:rsid w:val="2DC818C9"/>
    <w:rsid w:val="2DFD31AB"/>
    <w:rsid w:val="2E0E4F95"/>
    <w:rsid w:val="2E2972ED"/>
    <w:rsid w:val="2E2C4D13"/>
    <w:rsid w:val="2E69227F"/>
    <w:rsid w:val="2F305748"/>
    <w:rsid w:val="2F6E2F66"/>
    <w:rsid w:val="2F8376E0"/>
    <w:rsid w:val="2F861616"/>
    <w:rsid w:val="2FDC392C"/>
    <w:rsid w:val="2FED29FE"/>
    <w:rsid w:val="30913F9C"/>
    <w:rsid w:val="309E59AE"/>
    <w:rsid w:val="31487F49"/>
    <w:rsid w:val="319772E2"/>
    <w:rsid w:val="31A66621"/>
    <w:rsid w:val="31C2295F"/>
    <w:rsid w:val="320B777A"/>
    <w:rsid w:val="321F51CA"/>
    <w:rsid w:val="32957EF3"/>
    <w:rsid w:val="330E33B7"/>
    <w:rsid w:val="3324299D"/>
    <w:rsid w:val="337A0A4C"/>
    <w:rsid w:val="342235BE"/>
    <w:rsid w:val="3431454D"/>
    <w:rsid w:val="348F605A"/>
    <w:rsid w:val="34F34F5A"/>
    <w:rsid w:val="34F76440"/>
    <w:rsid w:val="35C505F0"/>
    <w:rsid w:val="35DB6CDC"/>
    <w:rsid w:val="35E17D63"/>
    <w:rsid w:val="35EB1FD3"/>
    <w:rsid w:val="360004DC"/>
    <w:rsid w:val="36025094"/>
    <w:rsid w:val="363273A2"/>
    <w:rsid w:val="372371D2"/>
    <w:rsid w:val="37370A2C"/>
    <w:rsid w:val="375907F6"/>
    <w:rsid w:val="377E40E1"/>
    <w:rsid w:val="37EC47DC"/>
    <w:rsid w:val="37EF1A09"/>
    <w:rsid w:val="38354F3E"/>
    <w:rsid w:val="383A66BA"/>
    <w:rsid w:val="38457AE6"/>
    <w:rsid w:val="384635F3"/>
    <w:rsid w:val="38743CBC"/>
    <w:rsid w:val="39C46019"/>
    <w:rsid w:val="39EC3CC0"/>
    <w:rsid w:val="3A034E2F"/>
    <w:rsid w:val="3A23232F"/>
    <w:rsid w:val="3A2A57A3"/>
    <w:rsid w:val="3A3C048C"/>
    <w:rsid w:val="3A445FE2"/>
    <w:rsid w:val="3A6A35C8"/>
    <w:rsid w:val="3A7601BF"/>
    <w:rsid w:val="3A897B7B"/>
    <w:rsid w:val="3AA84C04"/>
    <w:rsid w:val="3AA85F85"/>
    <w:rsid w:val="3B4E3D70"/>
    <w:rsid w:val="3B5D5389"/>
    <w:rsid w:val="3BF27D19"/>
    <w:rsid w:val="3C867288"/>
    <w:rsid w:val="3CEF272D"/>
    <w:rsid w:val="3D5B369C"/>
    <w:rsid w:val="3D804925"/>
    <w:rsid w:val="3D86616E"/>
    <w:rsid w:val="3DBA5A0B"/>
    <w:rsid w:val="3DFC0F76"/>
    <w:rsid w:val="3E040F7B"/>
    <w:rsid w:val="3E057FAE"/>
    <w:rsid w:val="3E7A3FF6"/>
    <w:rsid w:val="3E7C7AA0"/>
    <w:rsid w:val="3EA65688"/>
    <w:rsid w:val="3EA74906"/>
    <w:rsid w:val="3EC6723B"/>
    <w:rsid w:val="3F1E4B9D"/>
    <w:rsid w:val="3FBB4E1D"/>
    <w:rsid w:val="40016245"/>
    <w:rsid w:val="40273D0A"/>
    <w:rsid w:val="40B10077"/>
    <w:rsid w:val="40EE361F"/>
    <w:rsid w:val="40F41E3E"/>
    <w:rsid w:val="40F53889"/>
    <w:rsid w:val="41246690"/>
    <w:rsid w:val="41515EAB"/>
    <w:rsid w:val="41700648"/>
    <w:rsid w:val="41787039"/>
    <w:rsid w:val="422B5D33"/>
    <w:rsid w:val="42352798"/>
    <w:rsid w:val="42C10479"/>
    <w:rsid w:val="42D103B6"/>
    <w:rsid w:val="4309743B"/>
    <w:rsid w:val="43166E59"/>
    <w:rsid w:val="431C2480"/>
    <w:rsid w:val="43423143"/>
    <w:rsid w:val="436A2B4A"/>
    <w:rsid w:val="43D52449"/>
    <w:rsid w:val="43EC504E"/>
    <w:rsid w:val="441B5C4C"/>
    <w:rsid w:val="44560D52"/>
    <w:rsid w:val="44565FEF"/>
    <w:rsid w:val="448C74E9"/>
    <w:rsid w:val="44F61255"/>
    <w:rsid w:val="45124285"/>
    <w:rsid w:val="452B4224"/>
    <w:rsid w:val="4543745A"/>
    <w:rsid w:val="455E2F92"/>
    <w:rsid w:val="45A02594"/>
    <w:rsid w:val="45AC6FEE"/>
    <w:rsid w:val="46153FEC"/>
    <w:rsid w:val="463B4C13"/>
    <w:rsid w:val="466F4DA5"/>
    <w:rsid w:val="46795941"/>
    <w:rsid w:val="467F5914"/>
    <w:rsid w:val="46957C1F"/>
    <w:rsid w:val="469C7655"/>
    <w:rsid w:val="46C91677"/>
    <w:rsid w:val="471F1BDF"/>
    <w:rsid w:val="47583F97"/>
    <w:rsid w:val="475A5DAA"/>
    <w:rsid w:val="47613F36"/>
    <w:rsid w:val="477723DE"/>
    <w:rsid w:val="47AA1E80"/>
    <w:rsid w:val="47AB6B38"/>
    <w:rsid w:val="47C63E08"/>
    <w:rsid w:val="48691B1F"/>
    <w:rsid w:val="48846AEF"/>
    <w:rsid w:val="48B26C61"/>
    <w:rsid w:val="48C4659A"/>
    <w:rsid w:val="48DD28EF"/>
    <w:rsid w:val="48E2538E"/>
    <w:rsid w:val="491A3E71"/>
    <w:rsid w:val="495E6D91"/>
    <w:rsid w:val="49764919"/>
    <w:rsid w:val="49843F7B"/>
    <w:rsid w:val="49EC3FFA"/>
    <w:rsid w:val="49F272D5"/>
    <w:rsid w:val="49FC1D63"/>
    <w:rsid w:val="4A143551"/>
    <w:rsid w:val="4AF079D0"/>
    <w:rsid w:val="4B007A08"/>
    <w:rsid w:val="4B19799F"/>
    <w:rsid w:val="4B2E50E0"/>
    <w:rsid w:val="4B6E7767"/>
    <w:rsid w:val="4BAA3A61"/>
    <w:rsid w:val="4BFF3330"/>
    <w:rsid w:val="4C4B3E1A"/>
    <w:rsid w:val="4CAE46E6"/>
    <w:rsid w:val="4CC36B68"/>
    <w:rsid w:val="4CC7700D"/>
    <w:rsid w:val="4D4C3ECB"/>
    <w:rsid w:val="4D5D0D6B"/>
    <w:rsid w:val="4D5F2739"/>
    <w:rsid w:val="4D6245D3"/>
    <w:rsid w:val="4D9E2555"/>
    <w:rsid w:val="4DA21EF6"/>
    <w:rsid w:val="4E052D9D"/>
    <w:rsid w:val="4F7F4EB2"/>
    <w:rsid w:val="4FA33892"/>
    <w:rsid w:val="4FBC0961"/>
    <w:rsid w:val="4FC6006E"/>
    <w:rsid w:val="50340E2A"/>
    <w:rsid w:val="504B75A0"/>
    <w:rsid w:val="50781210"/>
    <w:rsid w:val="50F842E1"/>
    <w:rsid w:val="51087F55"/>
    <w:rsid w:val="514E6A25"/>
    <w:rsid w:val="51932FAD"/>
    <w:rsid w:val="51B80C66"/>
    <w:rsid w:val="51F5622A"/>
    <w:rsid w:val="52081B5A"/>
    <w:rsid w:val="523A63CC"/>
    <w:rsid w:val="5242431B"/>
    <w:rsid w:val="531C2675"/>
    <w:rsid w:val="532473FA"/>
    <w:rsid w:val="537E1A3B"/>
    <w:rsid w:val="538C6F87"/>
    <w:rsid w:val="5420368F"/>
    <w:rsid w:val="542F147E"/>
    <w:rsid w:val="545310A8"/>
    <w:rsid w:val="54C853DA"/>
    <w:rsid w:val="54FE1085"/>
    <w:rsid w:val="54FF7662"/>
    <w:rsid w:val="550B4E52"/>
    <w:rsid w:val="55BA66A9"/>
    <w:rsid w:val="55CA27E7"/>
    <w:rsid w:val="55FA318F"/>
    <w:rsid w:val="55FE4954"/>
    <w:rsid w:val="562F0935"/>
    <w:rsid w:val="564156CE"/>
    <w:rsid w:val="564C2999"/>
    <w:rsid w:val="56625CE4"/>
    <w:rsid w:val="566D0271"/>
    <w:rsid w:val="56916B96"/>
    <w:rsid w:val="56961E48"/>
    <w:rsid w:val="569A5EA1"/>
    <w:rsid w:val="56D51A34"/>
    <w:rsid w:val="56D87732"/>
    <w:rsid w:val="5751101D"/>
    <w:rsid w:val="578A6E9D"/>
    <w:rsid w:val="57A86BE1"/>
    <w:rsid w:val="57AB6007"/>
    <w:rsid w:val="57E44562"/>
    <w:rsid w:val="58647451"/>
    <w:rsid w:val="58740EBC"/>
    <w:rsid w:val="5882726D"/>
    <w:rsid w:val="59001A65"/>
    <w:rsid w:val="594F36A7"/>
    <w:rsid w:val="59626C1D"/>
    <w:rsid w:val="59E36A9C"/>
    <w:rsid w:val="59EC553F"/>
    <w:rsid w:val="5A1874CA"/>
    <w:rsid w:val="5A682013"/>
    <w:rsid w:val="5A7D2A4C"/>
    <w:rsid w:val="5A8B5169"/>
    <w:rsid w:val="5AC10B8B"/>
    <w:rsid w:val="5AE3669C"/>
    <w:rsid w:val="5B1539FF"/>
    <w:rsid w:val="5B2033DB"/>
    <w:rsid w:val="5B4E39C0"/>
    <w:rsid w:val="5B5F3211"/>
    <w:rsid w:val="5B9B5880"/>
    <w:rsid w:val="5C5F77DB"/>
    <w:rsid w:val="5CA26790"/>
    <w:rsid w:val="5CC76201"/>
    <w:rsid w:val="5CCC1A69"/>
    <w:rsid w:val="5D45545E"/>
    <w:rsid w:val="5D4E6B41"/>
    <w:rsid w:val="5D9A56C3"/>
    <w:rsid w:val="5E442E69"/>
    <w:rsid w:val="5E7B72C3"/>
    <w:rsid w:val="5E875C48"/>
    <w:rsid w:val="5F4C2C5C"/>
    <w:rsid w:val="5F7B05F6"/>
    <w:rsid w:val="5FCC5D83"/>
    <w:rsid w:val="5FD037A9"/>
    <w:rsid w:val="5FD41360"/>
    <w:rsid w:val="5FFC2665"/>
    <w:rsid w:val="60126868"/>
    <w:rsid w:val="6017113C"/>
    <w:rsid w:val="60267F3E"/>
    <w:rsid w:val="607902C7"/>
    <w:rsid w:val="60EA123E"/>
    <w:rsid w:val="60EC4488"/>
    <w:rsid w:val="61011347"/>
    <w:rsid w:val="612E40EE"/>
    <w:rsid w:val="6151078F"/>
    <w:rsid w:val="615E79DF"/>
    <w:rsid w:val="61684CFD"/>
    <w:rsid w:val="617923CB"/>
    <w:rsid w:val="617F1FA0"/>
    <w:rsid w:val="619C7D33"/>
    <w:rsid w:val="619D4372"/>
    <w:rsid w:val="61A66D2D"/>
    <w:rsid w:val="61EE21D6"/>
    <w:rsid w:val="62992488"/>
    <w:rsid w:val="62AD7C47"/>
    <w:rsid w:val="63CC0A85"/>
    <w:rsid w:val="64941B1B"/>
    <w:rsid w:val="650F6E86"/>
    <w:rsid w:val="65177F59"/>
    <w:rsid w:val="65240326"/>
    <w:rsid w:val="652C7EEE"/>
    <w:rsid w:val="653603C7"/>
    <w:rsid w:val="65580EF3"/>
    <w:rsid w:val="655F0FBE"/>
    <w:rsid w:val="65621BE4"/>
    <w:rsid w:val="65854B7B"/>
    <w:rsid w:val="65BE0A1E"/>
    <w:rsid w:val="65DF6C6E"/>
    <w:rsid w:val="660E6C4E"/>
    <w:rsid w:val="66107265"/>
    <w:rsid w:val="668C3D45"/>
    <w:rsid w:val="66C61016"/>
    <w:rsid w:val="66D54B18"/>
    <w:rsid w:val="670533E6"/>
    <w:rsid w:val="67291214"/>
    <w:rsid w:val="674718C7"/>
    <w:rsid w:val="678056D4"/>
    <w:rsid w:val="678D1E21"/>
    <w:rsid w:val="67B37B8E"/>
    <w:rsid w:val="67C21F0D"/>
    <w:rsid w:val="67FC2F18"/>
    <w:rsid w:val="6881195A"/>
    <w:rsid w:val="68F22CB4"/>
    <w:rsid w:val="694345DA"/>
    <w:rsid w:val="697B04AE"/>
    <w:rsid w:val="697F24AC"/>
    <w:rsid w:val="69EC72A7"/>
    <w:rsid w:val="69F11EB2"/>
    <w:rsid w:val="6A077BBE"/>
    <w:rsid w:val="6A5A4C82"/>
    <w:rsid w:val="6A971908"/>
    <w:rsid w:val="6AF13F41"/>
    <w:rsid w:val="6AF72451"/>
    <w:rsid w:val="6B536403"/>
    <w:rsid w:val="6C031AE0"/>
    <w:rsid w:val="6C1A700C"/>
    <w:rsid w:val="6C3118E9"/>
    <w:rsid w:val="6CBF51EF"/>
    <w:rsid w:val="6CDA3D2E"/>
    <w:rsid w:val="6CDD086B"/>
    <w:rsid w:val="6CF941C4"/>
    <w:rsid w:val="6D3B4D97"/>
    <w:rsid w:val="6D58192A"/>
    <w:rsid w:val="6DFD6387"/>
    <w:rsid w:val="6E2F3C06"/>
    <w:rsid w:val="6E6659E4"/>
    <w:rsid w:val="6E86555F"/>
    <w:rsid w:val="6EAC4873"/>
    <w:rsid w:val="6EC57260"/>
    <w:rsid w:val="6F0446A3"/>
    <w:rsid w:val="6F4A519B"/>
    <w:rsid w:val="6F540BE5"/>
    <w:rsid w:val="6F5C2F68"/>
    <w:rsid w:val="6F701951"/>
    <w:rsid w:val="6F80231F"/>
    <w:rsid w:val="70671D7D"/>
    <w:rsid w:val="709A7A5C"/>
    <w:rsid w:val="709D579F"/>
    <w:rsid w:val="70A451A9"/>
    <w:rsid w:val="70AA4341"/>
    <w:rsid w:val="70CB269D"/>
    <w:rsid w:val="719170B1"/>
    <w:rsid w:val="71A212BE"/>
    <w:rsid w:val="71D50389"/>
    <w:rsid w:val="72534A19"/>
    <w:rsid w:val="7287235F"/>
    <w:rsid w:val="72F15BF9"/>
    <w:rsid w:val="72FF2553"/>
    <w:rsid w:val="732743DA"/>
    <w:rsid w:val="735623C8"/>
    <w:rsid w:val="7368656D"/>
    <w:rsid w:val="73920EBF"/>
    <w:rsid w:val="73C51294"/>
    <w:rsid w:val="74123DAE"/>
    <w:rsid w:val="7445294D"/>
    <w:rsid w:val="74770B3D"/>
    <w:rsid w:val="747A41C1"/>
    <w:rsid w:val="74CC0400"/>
    <w:rsid w:val="74EE5F29"/>
    <w:rsid w:val="750C5B34"/>
    <w:rsid w:val="751B73BA"/>
    <w:rsid w:val="752747EC"/>
    <w:rsid w:val="754831B9"/>
    <w:rsid w:val="759E3AA9"/>
    <w:rsid w:val="75B9571C"/>
    <w:rsid w:val="76624C20"/>
    <w:rsid w:val="7677439C"/>
    <w:rsid w:val="76AF1D88"/>
    <w:rsid w:val="76BF021D"/>
    <w:rsid w:val="76C70E7F"/>
    <w:rsid w:val="76E35627"/>
    <w:rsid w:val="77E90EE2"/>
    <w:rsid w:val="780879A1"/>
    <w:rsid w:val="789C7836"/>
    <w:rsid w:val="78BF565E"/>
    <w:rsid w:val="78C23FF4"/>
    <w:rsid w:val="78DD2BDC"/>
    <w:rsid w:val="792D1EAB"/>
    <w:rsid w:val="793F5645"/>
    <w:rsid w:val="797A41F4"/>
    <w:rsid w:val="799A2705"/>
    <w:rsid w:val="7A6A0084"/>
    <w:rsid w:val="7A7A0605"/>
    <w:rsid w:val="7AC754CB"/>
    <w:rsid w:val="7AC96BBD"/>
    <w:rsid w:val="7AE051F2"/>
    <w:rsid w:val="7B2B3FEA"/>
    <w:rsid w:val="7B8B5094"/>
    <w:rsid w:val="7BB16DAF"/>
    <w:rsid w:val="7BD61B65"/>
    <w:rsid w:val="7C592500"/>
    <w:rsid w:val="7C662EE9"/>
    <w:rsid w:val="7C7F3FAA"/>
    <w:rsid w:val="7CB63E0B"/>
    <w:rsid w:val="7CD460A4"/>
    <w:rsid w:val="7D20578D"/>
    <w:rsid w:val="7D310376"/>
    <w:rsid w:val="7DB651BE"/>
    <w:rsid w:val="7E3C65F7"/>
    <w:rsid w:val="7E5D7A10"/>
    <w:rsid w:val="7E656C8C"/>
    <w:rsid w:val="7E904085"/>
    <w:rsid w:val="7EA9370F"/>
    <w:rsid w:val="7F1C57B2"/>
    <w:rsid w:val="7F3910C6"/>
    <w:rsid w:val="7FA04963"/>
    <w:rsid w:val="7FEA49BA"/>
    <w:rsid w:val="7FF045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qFormat="1"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</w:style>
  <w:style w:type="paragraph" w:styleId="4">
    <w:name w:val="Balloon Text"/>
    <w:basedOn w:val="1"/>
    <w:link w:val="16"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hAnsi="Calibri" w:eastAsia="宋体"/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hAnsi="Calibri" w:eastAsia="宋体"/>
      <w:sz w:val="18"/>
      <w:szCs w:val="18"/>
    </w:rPr>
  </w:style>
  <w:style w:type="paragraph" w:styleId="7">
    <w:name w:val="annotation subject"/>
    <w:basedOn w:val="3"/>
    <w:next w:val="3"/>
    <w:link w:val="19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character" w:styleId="12">
    <w:name w:val="line number"/>
    <w:qFormat/>
    <w:uiPriority w:val="0"/>
  </w:style>
  <w:style w:type="character" w:styleId="13">
    <w:name w:val="Hyperlink"/>
    <w:qFormat/>
    <w:uiPriority w:val="0"/>
    <w:rPr>
      <w:color w:val="0563C1"/>
      <w:u w:val="single"/>
    </w:rPr>
  </w:style>
  <w:style w:type="character" w:styleId="14">
    <w:name w:val="annotation reference"/>
    <w:unhideWhenUsed/>
    <w:qFormat/>
    <w:uiPriority w:val="99"/>
    <w:rPr>
      <w:sz w:val="21"/>
      <w:szCs w:val="21"/>
    </w:rPr>
  </w:style>
  <w:style w:type="character" w:customStyle="1" w:styleId="15">
    <w:name w:val="批注文字 字符"/>
    <w:link w:val="3"/>
    <w:qFormat/>
    <w:uiPriority w:val="0"/>
    <w:rPr>
      <w:rFonts w:ascii="等线" w:hAnsi="等线" w:eastAsia="等线" w:cs="Times New Roman"/>
      <w:sz w:val="22"/>
      <w:szCs w:val="24"/>
    </w:rPr>
  </w:style>
  <w:style w:type="character" w:customStyle="1" w:styleId="16">
    <w:name w:val="批注框文本 字符"/>
    <w:link w:val="4"/>
    <w:qFormat/>
    <w:uiPriority w:val="0"/>
    <w:rPr>
      <w:rFonts w:ascii="等线" w:hAnsi="等线" w:eastAsia="等线" w:cs="Times New Roman"/>
      <w:sz w:val="18"/>
      <w:szCs w:val="18"/>
    </w:rPr>
  </w:style>
  <w:style w:type="character" w:customStyle="1" w:styleId="17">
    <w:name w:val="页脚 字符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页眉 字符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9">
    <w:name w:val="批注主题 字符"/>
    <w:link w:val="7"/>
    <w:qFormat/>
    <w:uiPriority w:val="0"/>
    <w:rPr>
      <w:rFonts w:ascii="等线" w:hAnsi="等线" w:eastAsia="等线" w:cs="Times New Roman"/>
      <w:b/>
      <w:bCs/>
      <w:sz w:val="22"/>
      <w:szCs w:val="24"/>
    </w:rPr>
  </w:style>
  <w:style w:type="paragraph" w:customStyle="1" w:styleId="20">
    <w:name w:val="_Style 18"/>
    <w:unhideWhenUsed/>
    <w:qFormat/>
    <w:uiPriority w:val="99"/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21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hint="eastAsia" w:ascii="Times New Roman" w:hAnsi="Times New Roman" w:eastAsia="宋体" w:cs="等线"/>
      <w:kern w:val="2"/>
      <w:sz w:val="22"/>
      <w:szCs w:val="24"/>
      <w:lang w:val="en-US" w:eastAsia="zh-CN" w:bidi="ar-SA"/>
    </w:rPr>
  </w:style>
  <w:style w:type="paragraph" w:customStyle="1" w:styleId="22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Times New Roman" w:hAnsi="Times New Roman" w:eastAsia="宋体" w:cs="等线"/>
      <w:kern w:val="2"/>
      <w:sz w:val="22"/>
      <w:szCs w:val="24"/>
      <w:lang w:val="en-US" w:eastAsia="zh-CN" w:bidi="ar-SA"/>
    </w:rPr>
  </w:style>
  <w:style w:type="paragraph" w:styleId="23">
    <w:name w:val="List Paragraph"/>
    <w:basedOn w:val="1"/>
    <w:qFormat/>
    <w:uiPriority w:val="99"/>
    <w:pPr>
      <w:spacing w:after="0" w:line="240" w:lineRule="auto"/>
      <w:ind w:firstLine="420" w:firstLineChars="200"/>
      <w:jc w:val="both"/>
    </w:pPr>
    <w:rPr>
      <w:rFonts w:ascii="Calibri" w:hAnsi="Calibri" w:eastAsia="宋体"/>
      <w:sz w:val="21"/>
    </w:rPr>
  </w:style>
  <w:style w:type="table" w:customStyle="1" w:styleId="24">
    <w:name w:val="网格型1"/>
    <w:basedOn w:val="8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网格型11"/>
    <w:basedOn w:val="8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网格型2"/>
    <w:basedOn w:val="8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网格型3"/>
    <w:basedOn w:val="8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1422</Words>
  <Characters>7815</Characters>
  <Lines>144</Lines>
  <Paragraphs>40</Paragraphs>
  <TotalTime>28</TotalTime>
  <ScaleCrop>false</ScaleCrop>
  <LinksUpToDate>false</LinksUpToDate>
  <CharactersWithSpaces>9151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2025-03-02T08:14:00Z</dcterms:created>
  <dc:creator>Administrator</dc:creator>
  <cp:lastModifiedBy>Administrator</cp:lastModifiedBy>
  <dcterms:modified xsi:type="dcterms:W3CDTF">2026-04-29T09:10:43Z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eyJoZGlkIjoiNzhhM2ExYmFlZjdlZTJmY2Q5MTU1NTc0MWRkZGViZjgiLCJ1c2VySWQiOiI1OTU3NjUzODEifQ==</vt:lpwstr>
  </property>
  <property fmtid="{D5CDD505-2E9C-101B-9397-08002B2CF9AE}" pid="4" name="ICV">
    <vt:lpwstr>FDCBC1BF35C04DEC9E7F27B7E3108DF2_13</vt:lpwstr>
  </property>
</Properties>
</file>