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A7FEE" w14:textId="72EE7BBB" w:rsidR="00F05472" w:rsidRPr="001F49E7" w:rsidRDefault="00872E8A" w:rsidP="001F49E7">
      <w:pPr>
        <w:pStyle w:val="Caption"/>
        <w:keepNext/>
      </w:pPr>
      <w:r w:rsidRPr="001F49E7">
        <w:t>Table S1- Study design characteristics of included studies classified using the OCEBM framework</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2944"/>
        <w:gridCol w:w="1991"/>
        <w:gridCol w:w="2687"/>
        <w:gridCol w:w="3466"/>
        <w:gridCol w:w="1856"/>
      </w:tblGrid>
      <w:tr w:rsidR="00EB1F6B" w:rsidRPr="001F49E7" w14:paraId="3CFBF857" w14:textId="0B5B6996" w:rsidTr="001F49E7">
        <w:trPr>
          <w:trHeight w:val="1474"/>
        </w:trPr>
        <w:tc>
          <w:tcPr>
            <w:tcW w:w="1137" w:type="pct"/>
            <w:tcMar>
              <w:top w:w="30" w:type="dxa"/>
              <w:left w:w="45" w:type="dxa"/>
              <w:bottom w:w="30" w:type="dxa"/>
              <w:right w:w="45" w:type="dxa"/>
            </w:tcMar>
            <w:vAlign w:val="center"/>
            <w:hideMark/>
          </w:tcPr>
          <w:p w14:paraId="1C15886A" w14:textId="77777777" w:rsidR="00EB1F6B" w:rsidRPr="001F49E7" w:rsidRDefault="00EB1F6B"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Author &amp; Year</w:t>
            </w:r>
          </w:p>
        </w:tc>
        <w:tc>
          <w:tcPr>
            <w:tcW w:w="769" w:type="pct"/>
            <w:vAlign w:val="center"/>
          </w:tcPr>
          <w:p w14:paraId="1CF9DE9C" w14:textId="77777777" w:rsidR="00EB1F6B" w:rsidRPr="001F49E7" w:rsidRDefault="00EB1F6B"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Study design</w:t>
            </w:r>
          </w:p>
        </w:tc>
        <w:tc>
          <w:tcPr>
            <w:tcW w:w="1038" w:type="pct"/>
            <w:vAlign w:val="center"/>
          </w:tcPr>
          <w:p w14:paraId="2F042C6B" w14:textId="1B19FC0E" w:rsidR="00EB1F6B" w:rsidRPr="001F49E7" w:rsidRDefault="00EB1F6B"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OCEBM question</w:t>
            </w:r>
          </w:p>
        </w:tc>
        <w:tc>
          <w:tcPr>
            <w:tcW w:w="1339" w:type="pct"/>
            <w:vAlign w:val="center"/>
          </w:tcPr>
          <w:p w14:paraId="4E28C383" w14:textId="5D20C084" w:rsidR="00EB1F6B" w:rsidRPr="001F49E7" w:rsidRDefault="001F1271"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Explanation</w:t>
            </w:r>
          </w:p>
        </w:tc>
        <w:tc>
          <w:tcPr>
            <w:tcW w:w="717" w:type="pct"/>
            <w:vAlign w:val="center"/>
          </w:tcPr>
          <w:p w14:paraId="5C1CC53D" w14:textId="5682CA97" w:rsidR="00EB1F6B" w:rsidRPr="001F49E7" w:rsidRDefault="00EB1F6B" w:rsidP="001F49E7">
            <w:pPr>
              <w:spacing w:after="0" w:line="240" w:lineRule="auto"/>
              <w:jc w:val="center"/>
              <w:rPr>
                <w:rFonts w:eastAsia="Times New Roman"/>
                <w:b/>
                <w:bCs/>
                <w:kern w:val="0"/>
                <w:sz w:val="18"/>
                <w:szCs w:val="18"/>
                <w:vertAlign w:val="superscript"/>
                <w14:ligatures w14:val="none"/>
              </w:rPr>
            </w:pPr>
            <w:r w:rsidRPr="001F49E7">
              <w:rPr>
                <w:rFonts w:eastAsia="Times New Roman" w:cstheme="minorHAnsi"/>
                <w:b/>
                <w:bCs/>
                <w:kern w:val="0"/>
                <w:sz w:val="18"/>
                <w:szCs w:val="18"/>
                <w14:ligatures w14:val="none"/>
              </w:rPr>
              <w:t>OCEBM level</w:t>
            </w:r>
            <w:r w:rsidR="009212CB" w:rsidRPr="001F49E7">
              <w:rPr>
                <w:rFonts w:eastAsia="Times New Roman" w:cstheme="minorHAnsi"/>
                <w:b/>
                <w:bCs/>
                <w:kern w:val="0"/>
                <w:sz w:val="18"/>
                <w:szCs w:val="18"/>
                <w14:ligatures w14:val="none"/>
              </w:rPr>
              <w:t>*</w:t>
            </w:r>
          </w:p>
        </w:tc>
      </w:tr>
      <w:tr w:rsidR="00EB1F6B" w:rsidRPr="001F49E7" w14:paraId="1E3EF702" w14:textId="6BC6FEB9" w:rsidTr="001F49E7">
        <w:trPr>
          <w:trHeight w:val="900"/>
        </w:trPr>
        <w:tc>
          <w:tcPr>
            <w:tcW w:w="1137" w:type="pct"/>
            <w:tcMar>
              <w:top w:w="30" w:type="dxa"/>
              <w:left w:w="45" w:type="dxa"/>
              <w:bottom w:w="30" w:type="dxa"/>
              <w:right w:w="45" w:type="dxa"/>
            </w:tcMar>
            <w:vAlign w:val="center"/>
            <w:hideMark/>
          </w:tcPr>
          <w:p w14:paraId="71CA693F" w14:textId="27D17525"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A. Momenan 2011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{"citationID":"22kaiUY3","properties":{"unsorted":false,"formattedCitation":"(1)","plainCitation":"(1)","noteIndex":0},"citationItems":[{"id":74,"uris":["http://zotero.org/users/local/SBvLfXY8/items/RIHBE8Y3"],"itemData":{"id":74,"type":"article-journal","abstract":"The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63F632F8" w14:textId="77777777"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7660F75B" w14:textId="45FAA500" w:rsidR="00EB1F6B" w:rsidRPr="001F49E7" w:rsidRDefault="009C48B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00FE4D2E" w14:textId="708E3941" w:rsidR="00EB1F6B" w:rsidRPr="001F49E7" w:rsidRDefault="009C48B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485D97A" w14:textId="7253D54B"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EB1F6B" w:rsidRPr="001F49E7" w14:paraId="34B91F18" w14:textId="0D862350" w:rsidTr="001F49E7">
        <w:trPr>
          <w:trHeight w:val="900"/>
        </w:trPr>
        <w:tc>
          <w:tcPr>
            <w:tcW w:w="1137" w:type="pct"/>
            <w:tcMar>
              <w:top w:w="30" w:type="dxa"/>
              <w:left w:w="45" w:type="dxa"/>
              <w:bottom w:w="30" w:type="dxa"/>
              <w:right w:w="45" w:type="dxa"/>
            </w:tcMar>
            <w:vAlign w:val="center"/>
            <w:hideMark/>
          </w:tcPr>
          <w:p w14:paraId="7096BB80" w14:textId="05CD5DDE"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Jessri 2011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{"citationID":"dm6yEOIJ","properties":{"formattedCitation":"(2)","plainCitation":"(2)","noteIndex":0},"citationItems":[{"id":"ulROLKvl/6YRPMA5h","uris":["http://zotero.org/users/16072611/items/9DRMCNCQ"],"itemData":{"id":474,"type":"article-journal","abstract":"BACKGROUND: Although Iran is a high-risk region for esophageal squamous cell carcinoma (ESCC), dietary factors that may contribute to this high incidence have not been thoroughly studied. The aim of this study was to evaluate the effect of macronutrients, vitamins and minerals on the risk of ESCC.\nMETHODS: In this hospital-based case-control study, 47 cases with incident ESCC and 96 controls were interviewed and usual dietary intakes were collected using a validated food frequency questionnaire. Data were modeled through unconditional multiple logistic regression to estimate odds ratios (OR) and 95% confidence intervals (CI), controlling for age, sex, gastrointestinal reflux, body mass index, smoking history (status, intensity and duration), physical activity, and education.\nRESULTS: ESCC cases consumed significantly more hot foods and beverages and fried and barbecued meals, compared to the controls (p &lt; 0.05). After adjusting for potential confounders, the risk of ESCC increased significantly in the highest tertiles of saturated fat [OR:2.88,95%CI:1.15-3.08], cholesterol [OR:1.53, 95%CI: 1.41-4.13], discretionary calorie [OR:1.51, 95%CI: 1.06-3.84], sodium [OR:1.49,95%CI:1.12-2.89] and total fat intakes [OR:1.48, 95%CI:1.09-3.04]. In contrast, being in the highest tertile of carbohydrate, dietary fiber and (n-3) fatty acid intake reduced the ESCC risk by 78%, 71% and 68%, respectively. The most cancer-protective effect was observed for the combination of high folate and vitamin E intakes (OR: 0.02, 95%CI: 0.00-0.87; p &lt; 0.001). Controls consumed 623.5 times higher selenium, 5.48 times as much β-carotene and 1.98 times as much α-tocopherol as the amount ESCC cases consumed.\nCONCLUSION: This study suggests that high intake of nutrients primarily found in plant-based foods is associated with a reduced esophageal cancer risk. Some nutrients such as folate, vitamin E and selenium might play major roles in the etiology of ESCC and their status may eventually be used as an epidemiological marker for esophageal cancer in Iran, and perhaps other high-risk regions.","container-title":"Nutrition Journal","DOI":"10.1186/1475-2891-10-137","ISSN":"1475-2891","journalAbbreviation":"Nutr J","language":"eng","page":"137","PMID":"22185224","PMCID":"PMC3260093","source":"PubMed","title":"Macronutrients, vitamins and minerals intake and risk of esophageal squamous cell carcinoma: a case-control study in Iran","title-short":"Macronutrients, vitamins and minerals intake and risk of esophageal squamous cell carcinoma","volume":"10","author":[{"family":"Jessri","given":"Mahsa"},{"family":"Rashidkhani","given":"Bahram"},{"family":"Hajizadeh","given":"Bahareh"},{"family":"Jessri","given":"Maryam"},{"family":"Gotay","given":"Carolyn"}],"issued":{"date-parts":[["2011",12,20]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6D489469" w14:textId="77777777"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Case-control</w:t>
            </w:r>
          </w:p>
        </w:tc>
        <w:tc>
          <w:tcPr>
            <w:tcW w:w="1038" w:type="pct"/>
            <w:tcMar>
              <w:top w:w="30" w:type="dxa"/>
              <w:left w:w="45" w:type="dxa"/>
              <w:bottom w:w="30" w:type="dxa"/>
              <w:right w:w="45" w:type="dxa"/>
            </w:tcMar>
            <w:vAlign w:val="center"/>
          </w:tcPr>
          <w:p w14:paraId="08454190" w14:textId="5E6C2A1D" w:rsidR="00EB1F6B"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Does this exposure help or harm?</w:t>
            </w:r>
          </w:p>
        </w:tc>
        <w:tc>
          <w:tcPr>
            <w:tcW w:w="1339" w:type="pct"/>
            <w:tcMar>
              <w:top w:w="30" w:type="dxa"/>
              <w:left w:w="45" w:type="dxa"/>
              <w:bottom w:w="30" w:type="dxa"/>
              <w:right w:w="45" w:type="dxa"/>
            </w:tcMar>
            <w:vAlign w:val="center"/>
          </w:tcPr>
          <w:p w14:paraId="7BD50F7B"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Case-series, case-control </w:t>
            </w:r>
          </w:p>
          <w:p w14:paraId="37BFE449"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studies, or historically </w:t>
            </w:r>
          </w:p>
          <w:p w14:paraId="63F0DFEB" w14:textId="57A58F12" w:rsidR="00EB1F6B"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controlled studies</w:t>
            </w:r>
          </w:p>
        </w:tc>
        <w:tc>
          <w:tcPr>
            <w:tcW w:w="717" w:type="pct"/>
            <w:vAlign w:val="center"/>
          </w:tcPr>
          <w:p w14:paraId="1A5BAA54" w14:textId="152A93D0"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w:t>
            </w:r>
          </w:p>
        </w:tc>
      </w:tr>
      <w:tr w:rsidR="00EB1F6B" w:rsidRPr="001F49E7" w14:paraId="4B35ED6A" w14:textId="626473A7" w:rsidTr="001F49E7">
        <w:trPr>
          <w:trHeight w:val="900"/>
        </w:trPr>
        <w:tc>
          <w:tcPr>
            <w:tcW w:w="1137" w:type="pct"/>
            <w:tcMar>
              <w:top w:w="30" w:type="dxa"/>
              <w:left w:w="45" w:type="dxa"/>
              <w:bottom w:w="30" w:type="dxa"/>
              <w:right w:w="45" w:type="dxa"/>
            </w:tcMar>
            <w:vAlign w:val="center"/>
            <w:hideMark/>
          </w:tcPr>
          <w:p w14:paraId="3CEAB5EF" w14:textId="5E62D5EF"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Esmaeilzadeh 2013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{"citationID":"SJrNCqC7","properties":{"formattedCitation":"(3)","plainCitation":"(3)","noteIndex":0},"citationItems":[{"id":"ulROLKvl/POMc7oym","uris":["http://zotero.org/users/16072611/items/VAYI5YWZ"],"itemData":{"id":471,"type":"article-journal","abstract":"INTRODUCTION: The experience of infertility is a common medical condition in the developing countries. The aim of this retrospective epidemiologic study was to determine fertility status and parity in Babol, Iran and then identify physical activity and body mass index (BMI) among women who have experienced infertility.\nMATERIAL AND METHODS: A total of 1,081 women aged 20-45 years were selected using cluster sampling. The current physical activity was measured using the original International Physical Activity Questionnaire short form. Lifestyle factors were compared between those who had experienced infertility (n = 168) and the rest of the women. A face-to-face household interview was conducted using a specially designed interview questionnaire.\nRESULTS: After adjusting for suspected confounding factors, women with infertility experience had a 4.8-fold increased risk of obesity (OR = 2.02, CI = 0.70, 5.84) and almost a 3.8-fold increased risk of being overweight (OR = 2.11, CI = 0.72, 6.17) compared to women without infertility. No significant differences were found in Met-minutes of sedentary activity, intensity of walking, moderate, vigorous, and total physical activity, self-reported dietary intake, exercise, and level of physical activity between women with and without experience of infertility.\nCONCLUSIONS: Since both obesity and infertility are increasing public health issues in Iranian women, more attention should be paid to lifestyle behaviors, especially gaining weight in women who have experienced infertility.","container-title":"Archives of medical science: AMS","DOI":"10.5114/aoms.2013.35342","ISSN":"1734-1922","issue":"3","journalAbbreviation":"Arch Med Sci","language":"eng","page":"499-505","PMID":"23847673","PMCID":"PMC3701979","source":"PubMed","title":"Physical activity and body mass index among women who have experienced infertility","volume":"9","author":[{"family":"Esmaeilzadeh","given":"Seddigheh"},{"family":"Delavar","given":"Mouloud Agajani"},{"family":"Basirat","given":"Zahra"},{"family":"Shafi","given":"Hamid"}],"issued":{"date-parts":[["2013",6,20]]}}}],"schema":"https://github.com/citation-style-language/schema/raw/master/csl-citation.json"}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5A38BE9A" w14:textId="77777777"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4D83464A" w14:textId="49F794C2" w:rsidR="00EB1F6B" w:rsidRPr="001F49E7" w:rsidRDefault="00214C7A"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402C5CED" w14:textId="3E2618BB" w:rsidR="00EB1F6B" w:rsidRPr="001F49E7" w:rsidRDefault="00214C7A"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688AA2C1" w14:textId="1D7545E4" w:rsidR="00EB1F6B" w:rsidRPr="001F49E7" w:rsidRDefault="00EB1F6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D425C" w:rsidRPr="001F49E7" w14:paraId="54865607" w14:textId="52490576" w:rsidTr="001F49E7">
        <w:trPr>
          <w:trHeight w:val="900"/>
        </w:trPr>
        <w:tc>
          <w:tcPr>
            <w:tcW w:w="1137" w:type="pct"/>
            <w:tcMar>
              <w:top w:w="30" w:type="dxa"/>
              <w:left w:w="45" w:type="dxa"/>
              <w:bottom w:w="30" w:type="dxa"/>
              <w:right w:w="45" w:type="dxa"/>
            </w:tcMar>
            <w:vAlign w:val="center"/>
          </w:tcPr>
          <w:p w14:paraId="6EE1E89A"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Sadeghi 2015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7133tpCe","properties":{"unsorted":false,"formattedCitation":"(4)","plainCitation":"(4)","noteIndex":0},"citationItems":[{"id":233,"uris":["http://zotero.org/users/local/SBvLfXY8/items/W8ED7XA3"],"itemData":{"id":233,"type":"article-journal","abstract":"Introduction: Infertility is one of the major health problem in different communities. A considerable part of infertility is related to environmental factors and is preventable. According to the prevalence of infertility in iran, and the role of life-style related factors such as: dietary pattern, exercise and weight management in causing reproductive problems, this study was performed with aim to compare food intake, physical activity and weight of infertile women and healthy women aged 25-40 years. Methods: This descriptive and analytic study was performed on 144 infertile women and 144 healthy women referred to Vali-Asr Fertility Research Center, Tehran Gynecology Hospital, and Health Center of East Tehran during 2013 to 2014. General information, dietary intake and physical activity were collected through interviews. Anthropometric measurements were recorded. Data were analyzed by SPSS software (version 16) and using T- test, Chi-square test and logistic regression. PResults: Mean weight was 69.01±11.29 kg and 64.48±7.95 kg in infertile and healthy women, respectively. Mean weight (P= 0.007) and body mass index (P = 0.009) were significantly different between two groups. The duration of daily physical activity in infertile women was less than healthy women, and mainly had light activity, but, there was no significant difference between two groups (P&gt;0.05). Intake of calorie (P= 0.027), protein (P=0.008), carbohydrate (P&lt; 0.001), selenium (P = 0.004), zinc (P&lt;0.001), and vitamin C (P=0.019) were more in infertile women than healthy women. Total fat (P= 0.04), vitamin E (P=0.038) and iron (P&lt;0.001) intake was higher in healthy women than infertile women. After adjusting for confounding factor (consumed energy), only carbohydrate intake was significant between two groups (P&lt;0.05). Conclusion: lack of physical activity and extra calorie intake are of the causes of obesity. Since the frequency of overweight and obesity in infertile women was 2.2 times more than healthy women, it seems that proper nutrition and exercise can play a role in the prevention and treatment of infertility.","container-title":"The Iranian Journal of Obstetrics, Gynecology and Infertility","DOI":"10.22038/ijogi.2015.6367","ISSN":"1680-2993","issue":"173","note":"_eprint: https://ijogi.mums.ac.ir/article_6367_103b49ded984bee7ecf4430d3984a8c3.pdf","page":"32-40","publisher":"Mashhad University of Medical Sciences","title":"Comparison of Food intake, physical activity and weight in infertile and healthy women aged 25-40 years","volume":"18","author":[{"family":"Sadeghi","given":"Fargol"},{"family":"Miri","given":"Nastaran"},{"family":"Barikani","given":"Ameneh"},{"family":"Hossein Rashidi","given":"Batool"},{"family":"Ghasemi Nejad","given":"Azizeh"},{"family":"Hojaji","given":"Elham"},{"family":"Javadi","given":"Maryam"}],"issued":{"date-parts":[["2015"]]}}}],"schema":"https://github.com/citation-style-language/schema/raw/master/csl-citation.json"}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(4)</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3EBF12BA"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48EBCAF3" w14:textId="4B0BA075"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18D5B973" w14:textId="1817748F"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7BE384B8" w14:textId="3706FF90"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3D425C" w:rsidRPr="001F49E7" w14:paraId="1370DE3C" w14:textId="3CFF4038" w:rsidTr="001F49E7">
        <w:trPr>
          <w:trHeight w:val="900"/>
        </w:trPr>
        <w:tc>
          <w:tcPr>
            <w:tcW w:w="1137" w:type="pct"/>
            <w:tcMar>
              <w:top w:w="30" w:type="dxa"/>
              <w:left w:w="45" w:type="dxa"/>
              <w:bottom w:w="30" w:type="dxa"/>
              <w:right w:w="45" w:type="dxa"/>
            </w:tcMar>
            <w:vAlign w:val="center"/>
            <w:hideMark/>
          </w:tcPr>
          <w:p w14:paraId="409F2548"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 Pasdar 2016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eyko77JA","properties":{"unsorted":false,"formattedCitation":"(5)","plainCitation":"(5)","noteIndex":0},"citationItems":[{"id":244,"uris":["http://zotero.org/users/local/SBvLfXY8/items/MWPBQRYT"],"itemData":{"id":244,"type":"article-journal","page":"12837-12846","title":"The relationship between anthropometric indexes and blood biomarkers with fatty liver-a case-control study; Kermanshah, Iran","volume":"8","author":[{"family":"Pasdar","given":"Yahya"},{"family":"Rahimi","given":"Fateme"},{"family":"Salehi","given":"Mohammad"},{"family":"Darbandi","given":"Mitra"},{"family":"Nazar","given":"Mehdi"},{"family":"Niazi","given":"Parisa"},{"family":"Nachvak","given":"Seyed"}],"issued":{"date-parts":[["2016",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(5)</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B0F6E82"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Case-control</w:t>
            </w:r>
          </w:p>
        </w:tc>
        <w:tc>
          <w:tcPr>
            <w:tcW w:w="1038" w:type="pct"/>
            <w:tcMar>
              <w:top w:w="30" w:type="dxa"/>
              <w:left w:w="45" w:type="dxa"/>
              <w:bottom w:w="30" w:type="dxa"/>
              <w:right w:w="45" w:type="dxa"/>
            </w:tcMar>
            <w:vAlign w:val="center"/>
          </w:tcPr>
          <w:p w14:paraId="26AE8923" w14:textId="2FDC2942"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10CFBE9D" w14:textId="66A59492"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383BEE8A" w14:textId="228718F2"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D425C" w:rsidRPr="001F49E7" w14:paraId="5FE518CA" w14:textId="2EB16DDF" w:rsidTr="001F49E7">
        <w:trPr>
          <w:trHeight w:val="900"/>
        </w:trPr>
        <w:tc>
          <w:tcPr>
            <w:tcW w:w="1137" w:type="pct"/>
            <w:tcMar>
              <w:top w:w="30" w:type="dxa"/>
              <w:left w:w="45" w:type="dxa"/>
              <w:bottom w:w="30" w:type="dxa"/>
              <w:right w:w="45" w:type="dxa"/>
            </w:tcMar>
            <w:vAlign w:val="center"/>
            <w:hideMark/>
          </w:tcPr>
          <w:p w14:paraId="6C0A691B" w14:textId="75D4B550"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Khademi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{"citationID":"3XtoIxaf","properties":{"unsorted":false,"formattedCitation":"(6)","plainCitation":"(6)","noteIndex":0},"citationItems":[{"id":79,"uris":["http://zotero.org/users/local/SBvLfXY8/items/9FYTWKNS"],"itemData":{"id":79,"type":"article-journal","abstract":"The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(6)</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ECB6EFF"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4903EBD" w14:textId="41BB3D3E"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1CC3A7DD" w14:textId="702EBB31"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66598035" w14:textId="33D4C964"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3D425C" w:rsidRPr="001F49E7" w14:paraId="0EADDA36" w14:textId="4E697914" w:rsidTr="001F49E7">
        <w:trPr>
          <w:trHeight w:val="900"/>
        </w:trPr>
        <w:tc>
          <w:tcPr>
            <w:tcW w:w="1137" w:type="pct"/>
            <w:tcMar>
              <w:top w:w="30" w:type="dxa"/>
              <w:left w:w="45" w:type="dxa"/>
              <w:bottom w:w="30" w:type="dxa"/>
              <w:right w:w="45" w:type="dxa"/>
            </w:tcMar>
            <w:vAlign w:val="center"/>
            <w:hideMark/>
          </w:tcPr>
          <w:p w14:paraId="72F4E0CF" w14:textId="38092CB2"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P. Noormohammadpour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NH76GVhV","properties":{"formattedCitation":"(7)","plainCitation":"(7)","noteIndex":0},"citationItems":[{"id":"ulROLKvl/sr4fDVOx","uris":["http://zotero.org/users/16072611/items/TCS3IWD3","http://zotero.org/users/16072611/items/GTX3AFRT"],"itemData":{"id":509,"type":"article-journal","abstract":"BACKGROUND: Chronic musculoskeletal pain (CMP) is increasing in prevalence rapidly. Over the past 2 decades low back pain has been ranked globally as the primary cause of years lived with disability. The primary objective of this study was to investigate the prevalence of chronic neck pain (CNP), chronic low back pain (CLBP), and chronic knee pain (CKP) and their related risk factors in the national Iranian population.\nMETHODS: We analyzed data obtained through a cross-sectional, population-based survey of 7889 Iranians who were aged between 30 and 70 years.\nRESULTS: The prevalence of CNP, CLBP, and CKP was 15.34%, 27.18%, and 29.97%, respectively. Female sex, aging, body mass index≥25, Lur or Arab ethnicity, illiteracy, passive smoking, positive osteoporosis history, and low or high physical activity levels were risk factors for CLBP, CNP, and CKP after adjustment for potential confounders. For example, in participants with a body mass index≥30, odds ratios for CNP, CLBP, and CKP adjusted for age, sex, ethnicity, living area, education, employment status, smoking, and physical activity levels were 1.26 (95% confidence interval [CI], 1.04-1.52), 1.37 (95% CI, 1.17-1.59), and 1.64 (95% CI, 1.41-1.91), respectively.\nCONCLUSIONS: This is the first study investigating the prevalence of CNP, CLBP, and CKP in the national population of Iran. It shows some modifiable risk factors for CMP, and suggests that affordable planning for these risk factors can be valuable in preventing CMP globally. However, this is a cross-sectional study and future longitudinal studies in this field are necessary.","container-title":"The Clinical Journal of Pain","DOI":"10.1097/AJP.0000000000000396","ISSN":"1536-5409","issue":"2","journalAbbreviation":"Clin J Pain","language":"eng","page":"181-187","PMID":"27258995","source":"PubMed","title":"Prevalence of Chronic Neck Pain, Low Back Pain, and Knee Pain and Their Related Factors in Community-Dwelling Adults in Iran: A Population-based National Study","title-short":"Prevalence of Chronic Neck Pain, Low Back Pain, and Knee Pain and Their Related Factors in Community-Dwelling Adults in Iran","volume":"33","author":[{"family":"Noormohammadpour","given":"Pardis"},{"family":"Mansournia","given":"Mohammad Ali"},{"family":"Koohpayehzadeh","given":"Jalil"},{"family":"Asgari","given":"Fereshteh"},{"family":"Rostami","given":"Mohsen"},{"family":"Rafei","given":"Ali"},{"family":"Kordi","given":"Ramin"}],"issued":{"date-parts":[["2017",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(7)</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2EB28FC9"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05687640" w14:textId="59E38E10"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138D2535" w14:textId="3B91E1F5"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7A658848" w14:textId="053ED421"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D425C" w:rsidRPr="001F49E7" w14:paraId="379C3CF2" w14:textId="0335D091" w:rsidTr="001F49E7">
        <w:trPr>
          <w:trHeight w:val="900"/>
        </w:trPr>
        <w:tc>
          <w:tcPr>
            <w:tcW w:w="1137" w:type="pct"/>
            <w:tcMar>
              <w:top w:w="30" w:type="dxa"/>
              <w:left w:w="45" w:type="dxa"/>
              <w:bottom w:w="30" w:type="dxa"/>
              <w:right w:w="45" w:type="dxa"/>
            </w:tcMar>
            <w:vAlign w:val="center"/>
            <w:hideMark/>
          </w:tcPr>
          <w:p w14:paraId="3E98F899" w14:textId="4FD8A7BE"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E. Shakiba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{"citationID":"J88JFE5i","properties":{"formattedCitation":"(8)","plainCitation":"(8)","noteIndex":0},"citationItems":[{"id":"ulROLKvl/WXx5GQO9","uris":["http://zotero.org/users/16072611/items/G6D7W4QU"],"itemData":{"id":292,"type":"article-journal","abstract":"Background: There is some evidence suggesting that Body Mass Index (BMI) may increase plasma lipoprotein levels.Objectives: This study aimed to evaluate the possible association between BMI and dyslipidemia among the government staff of Kermanshah.Methods: This descriptive-analytical cross-sectional study was performed on the staff of 13 governmental organizations in Kerman shah (a city located in the west of Iran) in 2012. The staff was recruited using census method. We obtained information of 1496 staff aged 22 - 69 through the standardized stepwise questionnaire for NCDs risk factor surveillance. The staff was then physically examined by trained persons. Finally, their blood samples were obtained.Results: The prevalence of dyslipidemia was 16.6% in the study group, with the prevalence of 18.2% in men and 7.9% in women. There were also 53% (55.8% in men and 7.9% in women) and 17.8% (17.6% in men and 38.1% in women) prevalence rates for overweight and obesity, respectively. Dyslipidemia was significantly associated with factors such as BMI (P value = 0.004), gender (P value &lt; 0.001), marital status (P value = 0.01), cigarette smoking (P value = 0.008), and hookah smoking (P value = 0.002), but not with passive smoking, age, education level, physical activity, FBS (fast blood sugar), WHR (waist to hip ratio), hypertension, waist size, and hip size.In the adjusted model, there was a link merely between obesity and dyslipidemia while no statistically significant association was found between dyslipidemia and overweight. Moreover, a non-linear dose-response association was observed between dyslipidemia and BMI.Conclusions: Since dyslipidemia was significantly prevalent among men, fat people, and smokers, a particular attention is crucial to be paid to these groups.","container-title":"Iranian Red Crescent Medical Journal (IRCMJ)","DOI":"10.5812/ircmj.58335","ISSN":"2074-1804","issue":"8","language":"en","page":"1-6","publisher":"Red Crescent Organization","source":"www.ircmj.com","title":"Association of Body Mass Index with Dyslipidemia among the Government Staff of Kermanshah, Iran: A Cross-Sectional Study","title-short":"Association of Body Mass Index with Dyslipidemia among the Government Staff of Kermanshah, Iran","volume":"19","author":[{"family":"Shakiba","given":"Ebrahim"},{"family":"Khademi","given":"Nahid"},{"family":"Khoramdad","given":"Malihe"},{"family":"Alimohamadi","given":"Yousef"},{"family":"Izadi","given":"Neda"}],"issued":{"date-parts":[["2017",8,1]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(8)</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63352B47"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2A5D1D27" w14:textId="17DA7CDB"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513435D6" w14:textId="75B40519"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7EE9A70C" w14:textId="565C9E73"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507ABE" w:rsidRPr="001F49E7" w14:paraId="2B8803D7" w14:textId="02A1F0E1" w:rsidTr="001F49E7">
        <w:trPr>
          <w:trHeight w:val="900"/>
        </w:trPr>
        <w:tc>
          <w:tcPr>
            <w:tcW w:w="1137" w:type="pct"/>
            <w:tcMar>
              <w:top w:w="30" w:type="dxa"/>
              <w:left w:w="45" w:type="dxa"/>
              <w:bottom w:w="30" w:type="dxa"/>
              <w:right w:w="45" w:type="dxa"/>
            </w:tcMar>
            <w:vAlign w:val="center"/>
          </w:tcPr>
          <w:p w14:paraId="7FDAE52E" w14:textId="77777777" w:rsidR="00507ABE" w:rsidRPr="001F49E7" w:rsidRDefault="00507AB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SM. Mojtahedzadeh 2017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{"citationID":"t4JJQgn5","properties":{"unsorted":false,"formattedCitation":"(9)","plainCitation":"(9)","noteIndex":0},"citationItems":[{"id":241,"uris":["http://zotero.org/users/local/SBvLfXY8/items/QYGARS68"],"itemData":{"id":241,"type":"article-journal","abstract":"</w:instrText>
            </w:r>
            <w:r w:rsidRPr="001F49E7">
              <w:rPr>
                <w:rFonts w:eastAsia="Times New Roman" w:cs="Times New Roman"/>
                <w:kern w:val="0"/>
                <w:sz w:val="16"/>
                <w:szCs w:val="16"/>
                <w:rtl/>
                <w14:ligatures w14:val="none"/>
              </w:rPr>
              <w:instrText>زمینه و هدف: با توجه به صیانت از نیروی کار و مسولیت در حفظ سلامت کارکنان صنایع، این مطالعه با هدف بررسی شیوع چاقی و افزایش وزن در پالایشگاه آبادان بعنوان بزرگترین پالایشگاه ایران بعمل آمد. روش</w:instrText>
            </w:r>
            <w:r w:rsidRPr="001F49E7">
              <w:rPr>
                <w:rFonts w:eastAsia="Times New Roman" w:cstheme="minorHAnsi"/>
                <w:kern w:val="0"/>
                <w:sz w:val="16"/>
                <w:szCs w:val="16"/>
                <w14:ligatures w14:val="none"/>
              </w:rPr>
              <w:instrText xml:space="preserve">&amp;zwnj; </w:instrText>
            </w:r>
            <w:r w:rsidRPr="001F49E7">
              <w:rPr>
                <w:rFonts w:eastAsia="Times New Roman" w:cs="Times New Roman"/>
                <w:kern w:val="0"/>
                <w:sz w:val="16"/>
                <w:szCs w:val="16"/>
                <w:rtl/>
                <w14:ligatures w14:val="none"/>
              </w:rPr>
              <w:instrText>کار: در این مطالعه 721 نفر از پرسنل پالایشگاه آبادان از فهرست پرونده های معاینات سلامت شغلی سالیانه انتخاب، و پس از تن</w:instrText>
            </w:r>
            <w:r w:rsidRPr="001F49E7">
              <w:rPr>
                <w:rFonts w:eastAsia="Times New Roman" w:cstheme="minorHAnsi"/>
                <w:kern w:val="0"/>
                <w:sz w:val="16"/>
                <w:szCs w:val="16"/>
                <w14:ligatures w14:val="none"/>
              </w:rPr>
              <w:instrText>&amp;zwnj;</w:instrText>
            </w:r>
            <w:r w:rsidRPr="001F49E7">
              <w:rPr>
                <w:rFonts w:eastAsia="Times New Roman" w:cs="Times New Roman"/>
                <w:kern w:val="0"/>
                <w:sz w:val="16"/>
                <w:szCs w:val="16"/>
                <w:rtl/>
                <w14:ligatures w14:val="none"/>
              </w:rPr>
              <w:instrText>سنجی و تکمیل پرسشنامه و اخذ نمونه خون، اطلاعات آنها از طریق پرسشنامه سبک زندگی</w:instrText>
            </w:r>
            <w:r w:rsidRPr="001F49E7">
              <w:rPr>
                <w:rFonts w:eastAsia="Times New Roman" w:cstheme="minorHAnsi"/>
                <w:kern w:val="0"/>
                <w:sz w:val="16"/>
                <w:szCs w:val="16"/>
                <w14:ligatures w14:val="none"/>
              </w:rPr>
              <w:instrText xml:space="preserve"> Breslow </w:instrText>
            </w:r>
            <w:r w:rsidRPr="001F49E7">
              <w:rPr>
                <w:rFonts w:eastAsia="Times New Roman" w:cs="Times New Roman"/>
                <w:kern w:val="0"/>
                <w:sz w:val="16"/>
                <w:szCs w:val="16"/>
                <w:rtl/>
                <w14:ligatures w14:val="none"/>
              </w:rPr>
              <w:instrText>و پرسشنامه استاندارد فعالیت فیزیکی</w:instrText>
            </w:r>
            <w:r w:rsidRPr="001F49E7">
              <w:rPr>
                <w:rFonts w:eastAsia="Times New Roman" w:cstheme="minorHAnsi"/>
                <w:kern w:val="0"/>
                <w:sz w:val="16"/>
                <w:szCs w:val="16"/>
                <w14:ligatures w14:val="none"/>
              </w:rPr>
              <w:instrText xml:space="preserve"> Global Physical Activity Questionnaire (GPAQ) </w:instrText>
            </w:r>
            <w:r w:rsidRPr="001F49E7">
              <w:rPr>
                <w:rFonts w:eastAsia="Times New Roman" w:cs="Times New Roman"/>
                <w:kern w:val="0"/>
                <w:sz w:val="16"/>
                <w:szCs w:val="16"/>
                <w:rtl/>
                <w14:ligatures w14:val="none"/>
              </w:rPr>
              <w:instrText>ثبت و در نهایت تجزیه و تحلیل گردید. نتایج: متوسط نمایه توده بدنی در مردان و زنان به ترتیب2/28 و 5/27 بود. شاخص توده بدنی و شیوع چاقی در این مرکز صنعتی به ترتیب برابر با 8/29 % و 7/48% بود. شیوع افزایش</w:instrText>
            </w:r>
            <w:r w:rsidRPr="001F49E7">
              <w:rPr>
                <w:rFonts w:eastAsia="Times New Roman" w:cstheme="minorHAnsi"/>
                <w:kern w:val="0"/>
                <w:sz w:val="16"/>
                <w:szCs w:val="16"/>
                <w14:ligatures w14:val="none"/>
              </w:rPr>
              <w:instrText>&amp;zwnj;</w:instrText>
            </w:r>
            <w:r w:rsidRPr="001F49E7">
              <w:rPr>
                <w:rFonts w:eastAsia="Times New Roman" w:cs="Times New Roman"/>
                <w:kern w:val="0"/>
                <w:sz w:val="16"/>
                <w:szCs w:val="16"/>
                <w:rtl/>
                <w14:ligatures w14:val="none"/>
              </w:rPr>
              <w:instrText>وزن و چاقی در مردان به</w:instrText>
            </w:r>
            <w:r w:rsidRPr="001F49E7">
              <w:rPr>
                <w:rFonts w:eastAsia="Times New Roman" w:cstheme="minorHAnsi"/>
                <w:kern w:val="0"/>
                <w:sz w:val="16"/>
                <w:szCs w:val="16"/>
                <w14:ligatures w14:val="none"/>
              </w:rPr>
              <w:instrText xml:space="preserve"> </w:instrText>
            </w:r>
            <w:r w:rsidRPr="001F49E7">
              <w:rPr>
                <w:rFonts w:eastAsia="Times New Roman" w:cs="Times New Roman"/>
                <w:kern w:val="0"/>
                <w:sz w:val="16"/>
                <w:szCs w:val="16"/>
                <w:rtl/>
                <w14:ligatures w14:val="none"/>
              </w:rPr>
              <w:instrText>ترتیب 6/48% و 24/30% و در زنان به ترتیب50% و 15% بود که با سن، سطح قند خون، چربی خون، و فشارخون بالا دارای ارتباط معنی</w:instrText>
            </w:r>
            <w:r w:rsidRPr="001F49E7">
              <w:rPr>
                <w:rFonts w:eastAsia="Times New Roman" w:cstheme="minorHAnsi"/>
                <w:kern w:val="0"/>
                <w:sz w:val="16"/>
                <w:szCs w:val="16"/>
                <w14:ligatures w14:val="none"/>
              </w:rPr>
              <w:instrText>&amp;zwnj;</w:instrText>
            </w:r>
            <w:r w:rsidRPr="001F49E7">
              <w:rPr>
                <w:rFonts w:eastAsia="Times New Roman" w:cs="Times New Roman"/>
                <w:kern w:val="0"/>
                <w:sz w:val="16"/>
                <w:szCs w:val="16"/>
                <w:rtl/>
                <w14:ligatures w14:val="none"/>
              </w:rPr>
              <w:instrText>دار بود</w:instrText>
            </w:r>
            <w:r w:rsidRPr="001F49E7">
              <w:rPr>
                <w:rFonts w:eastAsia="Times New Roman" w:cstheme="minorHAnsi"/>
                <w:kern w:val="0"/>
                <w:sz w:val="16"/>
                <w:szCs w:val="16"/>
                <w14:ligatures w14:val="none"/>
              </w:rPr>
              <w:instrText xml:space="preserve"> ( </w:instrText>
            </w:r>
            <w:r w:rsidRPr="001F49E7">
              <w:rPr>
                <w:rFonts w:eastAsia="Times New Roman" w:cs="Times New Roman"/>
                <w:kern w:val="0"/>
                <w:sz w:val="16"/>
                <w:szCs w:val="16"/>
                <w:rtl/>
                <w14:ligatures w14:val="none"/>
              </w:rPr>
              <w:instrText>برای تمام موارد001/0</w:instrText>
            </w:r>
            <w:r w:rsidRPr="001F49E7">
              <w:rPr>
                <w:rFonts w:eastAsia="Times New Roman" w:cstheme="minorHAnsi"/>
                <w:kern w:val="0"/>
                <w:sz w:val="16"/>
                <w:szCs w:val="16"/>
                <w14:ligatures w14:val="none"/>
              </w:rPr>
              <w:instrText xml:space="preserve"> p &amp;lt; ) . </w:instrText>
            </w:r>
            <w:r w:rsidRPr="001F49E7">
              <w:rPr>
                <w:rFonts w:eastAsia="Times New Roman" w:cs="Times New Roman"/>
                <w:kern w:val="0"/>
                <w:sz w:val="16"/>
                <w:szCs w:val="16"/>
                <w:rtl/>
                <w14:ligatures w14:val="none"/>
              </w:rPr>
              <w:instrText>نتیجه گیری: در مجموع شیوع اضافه وزن و چاقی در کارکنان پالایشگاه آبادان بالاتر از میانگین</w:instrText>
            </w:r>
            <w:r w:rsidRPr="001F49E7">
              <w:rPr>
                <w:rFonts w:eastAsia="Times New Roman" w:cstheme="minorHAnsi"/>
                <w:kern w:val="0"/>
                <w:sz w:val="16"/>
                <w:szCs w:val="16"/>
                <w14:ligatures w14:val="none"/>
              </w:rPr>
              <w:instrText xml:space="preserve"> </w:instrText>
            </w:r>
            <w:r w:rsidRPr="001F49E7">
              <w:rPr>
                <w:rFonts w:eastAsia="Times New Roman" w:cs="Times New Roman"/>
                <w:kern w:val="0"/>
                <w:sz w:val="16"/>
                <w:szCs w:val="16"/>
                <w:rtl/>
                <w14:ligatures w14:val="none"/>
              </w:rPr>
              <w:instrText>کشوری و صنایع مشابه در نقاط دیگر جهان می باشد. توجه به برنامه های ترویج سبک زندگی سالم در مناطق صنعتی با تاکید بر گروه های پرخطر مانند افراد میانسال، با وضعیت اقتصادی-اجتماعی نامناسب، و شاغل در شیفت های غیر صبحکار می تواند بر بهبود وضعیت جسمانی و سلامتی</w:instrText>
            </w:r>
            <w:r w:rsidRPr="001F49E7">
              <w:rPr>
                <w:rFonts w:eastAsia="Times New Roman" w:cstheme="minorHAnsi"/>
                <w:kern w:val="0"/>
                <w:sz w:val="16"/>
                <w:szCs w:val="16"/>
                <w14:ligatures w14:val="none"/>
              </w:rPr>
              <w:instrText xml:space="preserve"> </w:instrText>
            </w:r>
            <w:r w:rsidRPr="001F49E7">
              <w:rPr>
                <w:rFonts w:eastAsia="Times New Roman" w:cs="Times New Roman"/>
                <w:kern w:val="0"/>
                <w:sz w:val="16"/>
                <w:szCs w:val="16"/>
                <w:rtl/>
                <w14:ligatures w14:val="none"/>
              </w:rPr>
              <w:instrText>کارکنان نقش موثری داشته باشد</w:instrText>
            </w:r>
            <w:r w:rsidRPr="001F49E7">
              <w:rPr>
                <w:rFonts w:eastAsia="Times New Roman" w:cstheme="minorHAnsi"/>
                <w:kern w:val="0"/>
                <w:sz w:val="16"/>
                <w:szCs w:val="16"/>
                <w14:ligatures w14:val="none"/>
              </w:rPr>
              <w:instrText xml:space="preserve">.","container-title":"Journal of School of Public Health and Institute of Public Health Research","issue":"1","note":"_eprint: http://sjsph.tums.ac.ir/article-1-5477-fa.pdf","title":"Prevalence of Overweight and Obesity in the Personnel of Abadan Oil Refinery and Factors Related to It","URL":"http://sjsph.tums.ac.ir/article-1-5477-fa.html","volume":"15","author":[{"family":"Mojtahedzadeh","given":"Seyed Mohammad"},{"family":"Holakouie-Naieni","given":"Kourosh"},{"family":"Nematollahi","given":"Shahrzad"},{"family":"Mazarei","given":"Amir Hossein"}],"issued":{"date-parts":[["2017"]]}}}],"schema":"https://github.com/citation-style-language/schema/raw/master/csl-citation.json"}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(9)</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3C815727" w14:textId="77777777" w:rsidR="00507ABE" w:rsidRPr="001F49E7" w:rsidRDefault="00507AB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20ACE4A6" w14:textId="71396886" w:rsidR="00507ABE" w:rsidRPr="001F49E7" w:rsidRDefault="00507AB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23CC7798" w14:textId="426BC727" w:rsidR="00507ABE" w:rsidRPr="001F49E7" w:rsidRDefault="00507AB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62586C29" w14:textId="6974BFE5" w:rsidR="00507ABE" w:rsidRPr="001F49E7" w:rsidRDefault="00507AB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D425C" w:rsidRPr="001F49E7" w14:paraId="7576E291" w14:textId="10BBA10B" w:rsidTr="001F49E7">
        <w:trPr>
          <w:trHeight w:val="900"/>
        </w:trPr>
        <w:tc>
          <w:tcPr>
            <w:tcW w:w="1137" w:type="pct"/>
            <w:tcMar>
              <w:top w:w="30" w:type="dxa"/>
              <w:left w:w="45" w:type="dxa"/>
              <w:bottom w:w="30" w:type="dxa"/>
              <w:right w:w="45" w:type="dxa"/>
            </w:tcMar>
            <w:vAlign w:val="center"/>
            <w:hideMark/>
          </w:tcPr>
          <w:p w14:paraId="1C080E6C" w14:textId="3D958B9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Gholizadeh 2018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{"citationID":"ZUbNHApW","properties":{"formattedCitation":"(10)","plainCitation":"(10)","noteIndex":0},"citationItems":[{"id":"ulROLKvl/ztXmzMcm","uris":["http://zotero.org/users/16072611/items/6URRLUPZ"],"itemData":{"id":321,"type":"article-journal","abstract":"INTRODUCTION: Prediabetes is considered as an increased risk factor for cardiovascular disease and overt diabetes and is the precursor stage of diabetes. Dietary Diversity Score (DDS) is recognized as an essential factor of a high-quality diet. However, diets with more varieties of food items might increase calorie intake and body weight. Therefore, this study was carried out to determine the association of DDS with metabolic syndrome features in adults with prediabetes.\nMETHODS: Three hundred subjects were randomly selected from participants who were undergone diabetes test screening program. Dietary intake was assessed by using a validated semi-quantitative food frequency questionnaire. DDS was calculated by scoring food intake as nine food groups. The 18-items USDA household food securities and International Physical Activity (IPAQ) were also measured. The metabolic syndrome was defined according to the Adult Treatment Panel III.\nRESULTS: DDS mean for cases and controls were 4.43 and 4.9, respectively (p&lt;0.005). The prevalence of food insecurity was 67/3% in cases and 55/4% in controls group. The decrease in metabolic syndrome probability was compatible with quartiles of DDS (the quartiles odds ratios: 0.6, 0.5, 0.4, 0.19, P=0.05). A higher DDS was associated with lower level of fasting blood glucose, HDL-cholesterol, TG and Waist circumference.\nCONCLUSION: Lower DDS was associated with high probability of metabolic syndrome and with some features of it, like high fasting blood glucose. Therefore, it seems that increase in dietary diversity scores could prevent the pre diabetes development to overt diabetes.","container-title":"Primary Care Diabetes","DOI":"10.1016/j.pcd.2018.03.003","ISSN":"1878-0210","issue":"4","journalAbbreviation":"Prim Care Diabetes","language":"eng","page":"338-344","PMID":"29650341","source":"PubMed","title":"The relation of Dietary diversity score and food insecurity to metabolic syndrome features and glucose level among pre-diabetes subjects","volume":"12","author":[{"family":"Gholizadeh","given":"Farhad"},{"family":"Moludi","given":"Jalal"},{"family":"Lotfi Yagin","given":"Ned"},{"family":"Alizadeh","given":"Mohammad"},{"family":"Mostafa Nachvak","given":"Seyed"},{"family":"Abdollahzad","given":"Hadi"},{"family":"Mirzaei","given":"Khadijeh"},{"family":"Mostafazadeh","given":"Mostafa"}],"issued":{"date-parts":[["2018",8]]}}}],"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(10)</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27A6EF97"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8502983" w14:textId="369B7FC4"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6557A0D" w14:textId="62E6B318"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59E8820F" w14:textId="7E0CA860"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D425C" w:rsidRPr="001F49E7" w14:paraId="690CE89D" w14:textId="58A87267" w:rsidTr="001F49E7">
        <w:trPr>
          <w:trHeight w:val="900"/>
        </w:trPr>
        <w:tc>
          <w:tcPr>
            <w:tcW w:w="1137" w:type="pct"/>
            <w:tcMar>
              <w:top w:w="30" w:type="dxa"/>
              <w:left w:w="45" w:type="dxa"/>
              <w:bottom w:w="30" w:type="dxa"/>
              <w:right w:w="45" w:type="dxa"/>
            </w:tcMar>
            <w:vAlign w:val="center"/>
            <w:hideMark/>
          </w:tcPr>
          <w:p w14:paraId="6CDECEBB" w14:textId="58D7893F"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K. Hajian-Tilaki 2018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{"citationID":"c6WhnP3c","properties":{"formattedCitation":"(11)","plainCitation":"(11)","noteIndex":0},"citationItems":[{"id":"ulROLKvl/VRd7RIXb","uris":["http://zotero.org/users/16072611/items/PLZSMS6W"],"itemData":{"id":298,"type":"article-journal","abstract":"AIMS: The objective of this study was to determine the prevalence and the associated factors of metabolically unhealthy in normal-weight and metabolically healthy in obese.\nMETHODS: We analyzed the data of a representative sample of 986 participants recruited among adult population of north of Iran. Data were collected regarding demographic characteristics, lifestyle, body mass index, abdominal obesity measures, blood pressure, and lipid profiles. The participants were classified as metabolically healthy obese (MHO) and metabolically unhealthy normal-weight (MUNW). Metabolically unhealthy was defined as the presence of</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 </w:instrText>
            </w:r>
            <w:r w:rsidR="00207711" w:rsidRPr="001F49E7">
              <w:rPr>
                <w:rFonts w:ascii="Aptos" w:eastAsia="Times New Roman" w:hAnsi="Aptos" w:cs="Aptos"/>
                <w:kern w:val="0"/>
                <w:sz w:val="16"/>
                <w:szCs w:val="16"/>
                <w14:ligatures w14:val="none"/>
              </w:rPr>
              <w:instrText>≥</w:instrText>
            </w:r>
            <w:r w:rsidR="00207711" w:rsidRPr="001F49E7">
              <w:rPr>
                <w:rFonts w:eastAsia="Times New Roman" w:cstheme="minorHAnsi"/>
                <w:kern w:val="0"/>
                <w:sz w:val="16"/>
                <w:szCs w:val="16"/>
                <w14:ligatures w14:val="none"/>
              </w:rPr>
              <w:instrText xml:space="preserve">2 non-obese components of metabolic syndrome based on ATP III criteria.\nRESULTS: The prevalence rate of MUNW and MHO accounted for 17.2% and 15.1% respectively. Mean age of participants with metabolically unhealthy was significantly greater than metabolically healthy in both normal weight and overweight/obese (P=0.001). The results of multiple logistic regression analysis showed in normal-weight individuals, a significant association of MUNW was found with age group of 50-59 years(OR=3.83, 95%CI: 1.71-8.57) and 60-70 years by OR=4.74(95%CI:1.79-12.54) as compared with age group of 20-29 years. It was also associated with current smoking. While metabolically healthy state in overweight/obese was inversely associated with age 50-59 years by OR=0.26 (95%CI:0.13-0.54) and age 60-70 years by OR=0.15 (95%CI:0.05- 0.39) and higher WC by OR=0.47 (95%CI:0.31-0.72) but positively associated with female-sex by OR=1.74 (95%CI:1.07-2.82).\nCONCLUSION: Aging and smoking are significantly associated with metabolic abnormalities in normal-weight while aging, abdominal obesity negatively and female positively associated with metabolically healthy in obese.","container-title":"Diabetes &amp; Metabolic Syndrome","DOI":"10.1016/j.dsx.2017.11.005","ISSN":"1878-0334","issue":"2","journalAbbreviation":"Diabetes Metab Syndr","language":"eng","page":"129-134","PMID":"29196231","source":"PubMed","title":"Metabolically healthy obese and unhealthy normal weight in Iranian adult population: Prevalence and the associated factors","title-short":"Metabolically healthy obese and unhealthy normal weight in Iranian adult population","volume":"12","author":[{"family":"Hajian-Tilaki","given":"Karimollah"},{"family":"Heidari","given":"Behzad"}],"issued":{"date-parts":[["2018"]]}}}],"schema":"https://github.com/citation-style-language/schema/raw/master/csl-citation.json"}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(11)</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3A47C372" w14:textId="77777777"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20945F3A" w14:textId="0DDB1FF4"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715FE9F" w14:textId="6ECDEA48"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69FD591F" w14:textId="46A4751E" w:rsidR="003D425C" w:rsidRPr="001F49E7" w:rsidRDefault="003D425C"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627D3A45" w14:textId="314212BF" w:rsidTr="001F49E7">
        <w:trPr>
          <w:trHeight w:val="900"/>
        </w:trPr>
        <w:tc>
          <w:tcPr>
            <w:tcW w:w="1137" w:type="pct"/>
            <w:tcMar>
              <w:top w:w="30" w:type="dxa"/>
              <w:left w:w="45" w:type="dxa"/>
              <w:bottom w:w="30" w:type="dxa"/>
              <w:right w:w="45" w:type="dxa"/>
            </w:tcMar>
            <w:vAlign w:val="center"/>
          </w:tcPr>
          <w:p w14:paraId="2F44C726"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Sahebkar 2019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jX7af4UZ","properties":{"unsorted":false,"formattedCitation":"(12)","plainCitation":"(12)","noteIndex":0},"citationItems":[{"id":234,"uris":["http://zotero.org/users/local/SBvLfXY8/items/IGNVSUBP"],"itemData":{"id":234,"type":"article-journal","abstract":"BACKGROUND: To investigate the geographical distribution of physical activity (PA) prevalence among adults aged 15-64 years old across Iran provinces using  geographic maps. METHODS: Data from 4 consecutive national surveys conducted  between 2007 and 2010 were pooled to determine the geographical distribution.  Prevalence of low PA with 95% confidence interval was estimated by  sociodemographic subpopulations over provinces using complex survey design.  RESULTS: In total, 119,560 participants (49.9% females) were included in the  analyses. The mean (SD) age of participants was 39.5 (14.3) years. The prevalence  of the low PA in the pooled 2007-2010 was 35.8% (95% confidence interval,  34.1-37.6). The 3 provinces with the highest prevalence of low PA were Sistan and  Baluchestan, Yazd, and Hormozgan. The results of hot spot analysis showed that  the Kerman province was a hot spot, and Ilam, Kermanshah, Hamedan, and Markazi  were cold spots for low PA. Ilam, Kohgiluyeh and Boyer-Ahmad, and Mazandaran had  the highest total PA volume (metabolic equivalent minutes per week). Hot spot  analysis showed that Ilam and Khuzestan provinces were hot spots for the total PA  volume. CONCLUSIONS: The regions with low and high PA are predominately situated  in the near center/southeast and west, respectively.","container-title":"Journal of physical activity &amp; health","DOI":"10.1123/jpah.2019-0053","ISSN":"1543-5474 1543-3080","issue":"12","journalAbbreviation":"J Phys Act Health","language":"eng","page":"1071-1077","PMID":"31541069","publisher-place":"United States","title":"Geographical Patterning of Physical Activity Prevalence in Iran: Spatial Analysis of 4 Pooled National Health Surveys Among 119,560 Adults.","volume":"16","author":[{"family":"Sahebkar","given":"Mohammad"},{"family":"Heidarian Miri","given":"Hamid"},{"family":"Noormohammadpour","given":"Pardis"},{"family":"Tiyuri","given":"Amir"},{"family":"Pakzad","given":"Reza"},{"family":"Mansournia","given":"Nasrin"},{"family":"Heidari","given":"Zahra"},{"family":"Mansournia","given":"Mohammad Ali"},{"family":"Stamatakis","given":"Emmanuel"}],"issued":{"date-parts":[["2019",12,1]]}}}],"schema":"https://github.com/citation-style-language/schema/raw/master/csl-citation.json"}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(12)</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09A9A095"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592B0E84" w14:textId="7C3CA696"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3D8CC78" w14:textId="3DCFD06A"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38497D0B" w14:textId="2E2DDEAF"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62DA2579" w14:textId="0454CD97" w:rsidTr="001F49E7">
        <w:trPr>
          <w:trHeight w:val="900"/>
        </w:trPr>
        <w:tc>
          <w:tcPr>
            <w:tcW w:w="1137" w:type="pct"/>
            <w:tcMar>
              <w:top w:w="30" w:type="dxa"/>
              <w:left w:w="45" w:type="dxa"/>
              <w:bottom w:w="30" w:type="dxa"/>
              <w:right w:w="45" w:type="dxa"/>
            </w:tcMar>
            <w:vAlign w:val="center"/>
            <w:hideMark/>
          </w:tcPr>
          <w:p w14:paraId="7931521D" w14:textId="1198B04F"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Cheraghian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{"citationID":"KQKhfSrq","properties":{"formattedCitation":"(13)","plainCitation":"(13)","noteIndex":0},"citationItems":[{"id":"ulROLKvl/G8PK6kjs","uris":["http://zotero.org/users/16072611/items/MV2D7RFS"],"itemData":{"id":463,"type":"article-journal","abstract":"BACKGROUND: Non-communicable diseases (NCDs) are the leading cause of death worldwide, with a disproportionally rising burden among low- and middle-income populations. While preventable risk factors highly contribute to this burden, population-based studies assessing these factors and the health status of these populations, are scarce.\nMETHODS: The Khuzestan Comprehensive Health Study (KCHS)-a cross sectional study-was conducted between 2016-2019, including 30,506 Iranians aged 20 to 65 years, from 27 counties of Khuzestan province, southwest of Iran. KCHS aimed to provide a comprehensive health overview by investigating the prevalence and risk factors of NCDs and psychological disorders, along with viral hepatitis as a common communicable disease. Upon registration, 15 mL of blood and anthropometric measurements were obtained from participants. Afterwards, several interviewer-administered questionnaires were completed to gather data on demographics, socioeconomic status, sleep quality, physical activity, lifestyle habits, nutrition, and medical history.\nRESULTS: The mean ± SD age of participants was 41.7 ± 11.9 years. The majority were female (64.3%), of the Arab ethnicity (49%), married (83%), and urban residents (73.1%). About 70% had an educational level below high school diploma. Overall, 10.8%, 5.2%, and 2.8% of participants had used cigarettes, hookah, and drugs at least once in their lifetime, respectively. While body mass index and serum cholesterol levels were higher in females, blood pressure was higher in males (P&lt;0.001).\nCONCLUSION: KCHS assessed many aspects of health in the Khuzestan province. In addition to develop a biobank along with a comprehensive dataset, KCHS will serve as a valuable infrastructure for future research.","container-title":"Archives of Iranian Medicine","DOI":"10.34172/aim.2020.82","ISSN":"1735-3947","issue":"10","journalAbbreviation":"Arch Iran Med","language":"eng","page":"653-657","PMID":"33107305","source":"PubMed","title":"The Khuzestan Comprehensive Health Study (KCHS): Methodology and Profile of Participants","title-short":"The Khuzestan Comprehensive Health Study (KCHS)","volume":"23","author":[{"family":"Cheraghian","given":"Bahman"},{"family":"Sharafkhah","given":"Maryam"},{"family":"Mohammadi","given":"Zahra"},{"family":"Hariri","given":"Sanam"},{"family":"Rahimi","given":"Zahra"},{"family":"Danehchin","given":"Leila"},{"family":"Paridar","given":"Yousef"},{"family":"Abolnejadian","given":"Farhad"},{"family":"Noori","given":"Mohammad"},{"family":"Mard","given":"Seyed Ali"},{"family":"Eghtesad","given":"Sareh"},{"family":"Shayanrad","given":"Amaneh"},{"family":"Etemadi","given":"Arash"},{"family":"Ghanbari","given":"Reza"},{"family":"Hashemi","given":"Farnaz"},{"family":"Masoudi","given":"Sahar"},{"family":"Shayesteh","given":"Ali Akbar"},{"family":"Poustchi","given":"Hossein"}],"issued":{"date-parts":[["2020",10,1]]}}}],"schema":"https://github.com/citation-style-language/schema/raw/master/csl-citation.json"}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(13)</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0D554E9"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244B57C6" w14:textId="3E0ED1E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9730DE2" w14:textId="04B4A9A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8FA1170" w14:textId="30C4B0CC"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6806600" w14:textId="29B40ECB" w:rsidTr="001F49E7">
        <w:trPr>
          <w:trHeight w:val="900"/>
        </w:trPr>
        <w:tc>
          <w:tcPr>
            <w:tcW w:w="1137" w:type="pct"/>
            <w:tcMar>
              <w:top w:w="30" w:type="dxa"/>
              <w:left w:w="45" w:type="dxa"/>
              <w:bottom w:w="30" w:type="dxa"/>
              <w:right w:w="45" w:type="dxa"/>
            </w:tcMar>
            <w:vAlign w:val="center"/>
            <w:hideMark/>
          </w:tcPr>
          <w:p w14:paraId="65DC7B1B" w14:textId="13BAFD63"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H. Najafipour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DO4KETdg","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(14)</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7AF59629"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Cohort</w:t>
            </w:r>
          </w:p>
        </w:tc>
        <w:tc>
          <w:tcPr>
            <w:tcW w:w="1038" w:type="pct"/>
            <w:tcMar>
              <w:top w:w="30" w:type="dxa"/>
              <w:left w:w="45" w:type="dxa"/>
              <w:bottom w:w="30" w:type="dxa"/>
              <w:right w:w="45" w:type="dxa"/>
            </w:tcMar>
            <w:vAlign w:val="center"/>
          </w:tcPr>
          <w:p w14:paraId="0A8FE4CD" w14:textId="560FC2FA"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4D4948DD" w14:textId="7D6A625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725CDC2A" w14:textId="04BF580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F7A1B81" w14:textId="04D41AE9" w:rsidTr="001F49E7">
        <w:trPr>
          <w:trHeight w:val="900"/>
        </w:trPr>
        <w:tc>
          <w:tcPr>
            <w:tcW w:w="1137" w:type="pct"/>
            <w:tcMar>
              <w:top w:w="30" w:type="dxa"/>
              <w:left w:w="45" w:type="dxa"/>
              <w:bottom w:w="30" w:type="dxa"/>
              <w:right w:w="45" w:type="dxa"/>
            </w:tcMar>
            <w:vAlign w:val="center"/>
            <w:hideMark/>
          </w:tcPr>
          <w:p w14:paraId="06D5B6D7" w14:textId="099CEBBC"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Z. Abbaspoor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2EZm6wGx","properties":{"formattedCitation":"(15)","plainCitation":"(15)","noteIndex":0},"citationItems":[{"id":"ulROLKvl/hwLzGBhV","uris":["http://zotero.org/users/16072611/items/DH7ZU5AQ","http://zotero.org/users/16072611/items/6RHSA6TM","http://zotero.org/users/16072611/items/IW7MAZHV","http://zotero.org/users/16072611/items/QT4LT4IW"],"itemData":{"id":529,"type":"article-journal","container-title":"Family Medicine &amp; Primary Care Review","DOI":"10.5114/fmpcr.2020.92499","ISSN":"1734-3402","issue":"1","journalAbbreviation":"Family Medicine &amp; Primary Care Review","page":"7-12","title":"The prevalence of determinants of obesity, metabolic syndrome and overweight in middle-aged urban women living in a megacity","volume":"22","author":[{"family":"Abbaspoor","given":"Zahra"},{"family":"Miryan","given":"Mahsa"},{"family":"Haghighi</w:instrText>
            </w:r>
            <w:r w:rsidR="00207711" w:rsidRPr="001F49E7">
              <w:rPr>
                <w:rFonts w:ascii="Cambria Math" w:eastAsia="Times New Roman" w:hAnsi="Cambria Math" w:cs="Cambria Math"/>
                <w:kern w:val="0"/>
                <w:sz w:val="16"/>
                <w:szCs w:val="16"/>
                <w14:ligatures w14:val="none"/>
              </w:rPr>
              <w:instrText>‐</w:instrText>
            </w:r>
            <w:r w:rsidR="00207711" w:rsidRPr="001F49E7">
              <w:rPr>
                <w:rFonts w:eastAsia="Times New Roman" w:cstheme="minorHAnsi"/>
                <w:kern w:val="0"/>
                <w:sz w:val="16"/>
                <w:szCs w:val="16"/>
                <w14:ligatures w14:val="none"/>
              </w:rPr>
              <w:instrText xml:space="preserve">Zadeh","given":"Mohamad"},{"family":"Rashidi","given":"Homeira"},{"family":"Sharifipoor","given":"Frozan"},{"family":"Amani","given":"Reza"}],"issued":{"date-parts":[["2020"]]}}}],"schema":"https://github.com/citation-style-language/schema/raw/master/csl-citation.json"}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(15)</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1477CB31"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4B7E2E6" w14:textId="2895D122"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D888E3B" w14:textId="5057C9B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969D4B4" w14:textId="3BA1D1A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4DF745EF" w14:textId="533ED5EF" w:rsidTr="001F49E7">
        <w:trPr>
          <w:trHeight w:val="900"/>
        </w:trPr>
        <w:tc>
          <w:tcPr>
            <w:tcW w:w="1137" w:type="pct"/>
            <w:tcMar>
              <w:top w:w="30" w:type="dxa"/>
              <w:left w:w="45" w:type="dxa"/>
              <w:bottom w:w="30" w:type="dxa"/>
              <w:right w:w="45" w:type="dxa"/>
            </w:tcMar>
            <w:vAlign w:val="center"/>
            <w:hideMark/>
          </w:tcPr>
          <w:p w14:paraId="5A7DCF18" w14:textId="19EB36B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Bashirian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tt9qShO","properties":{"formattedCitation":"(16)","plainCitation":"(16)","noteIndex":0},"citationItems":[{"id":"ulROLKvl/g5NbywSw","uris":["http://zotero.org/users/16072611/items/SL8IC8EM","http://zotero.org/users/16072611/items/N4XHMV7K"],"itemData":{"id":511,"type":"article-journal","container-title":"International Quarterly of Community Health Education","DOI":"10.1177/0272684X19858897","ISSN":"1541-3519","issue":"2","journalAbbreviation":"Int Q Community Health Educ","language":"eng","page":"151-158","PMID":"31242087","source":"PubMed","title":"Effect of an Educational Intervention Based on the BASNEF Model on Promoting Physical Activity Among Postpartum Women","volume":"40","author":[{"family":"Bashirian","given":"Saeed"},{"family":"Ouji","given":"Zohreh"},{"family":"Afshari","given":"Maryam"},{"family":"Barati","given":"Majid"},{"family":"Heydarimoghadam","given":"Rashid"},{"family":"Soltanian","given":"Alireza"}],"issued":{"date-parts":[["2020",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(16)</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5455B36"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Quasi-experimental study</w:t>
            </w:r>
          </w:p>
        </w:tc>
        <w:tc>
          <w:tcPr>
            <w:tcW w:w="1038" w:type="pct"/>
            <w:tcMar>
              <w:top w:w="30" w:type="dxa"/>
              <w:left w:w="45" w:type="dxa"/>
              <w:bottom w:w="30" w:type="dxa"/>
              <w:right w:w="45" w:type="dxa"/>
            </w:tcMar>
            <w:vAlign w:val="center"/>
          </w:tcPr>
          <w:p w14:paraId="07F89324" w14:textId="0130844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Does this intervention help?</w:t>
            </w:r>
          </w:p>
        </w:tc>
        <w:tc>
          <w:tcPr>
            <w:tcW w:w="1339" w:type="pct"/>
            <w:tcMar>
              <w:top w:w="30" w:type="dxa"/>
              <w:left w:w="45" w:type="dxa"/>
              <w:bottom w:w="30" w:type="dxa"/>
              <w:right w:w="45" w:type="dxa"/>
            </w:tcMar>
            <w:vAlign w:val="center"/>
          </w:tcPr>
          <w:p w14:paraId="663174D6" w14:textId="0A0D1383"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Non-randomized controlled cohort/follow up study (quasi experimental educational intervention)</w:t>
            </w:r>
          </w:p>
        </w:tc>
        <w:tc>
          <w:tcPr>
            <w:tcW w:w="717" w:type="pct"/>
            <w:vAlign w:val="center"/>
          </w:tcPr>
          <w:p w14:paraId="538C0354" w14:textId="49F5A35A"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5C7E41" w:rsidRPr="001F49E7" w14:paraId="27276F66" w14:textId="623B6CAF" w:rsidTr="001F49E7">
        <w:trPr>
          <w:trHeight w:val="900"/>
        </w:trPr>
        <w:tc>
          <w:tcPr>
            <w:tcW w:w="1137" w:type="pct"/>
            <w:tcMar>
              <w:top w:w="30" w:type="dxa"/>
              <w:left w:w="45" w:type="dxa"/>
              <w:bottom w:w="30" w:type="dxa"/>
              <w:right w:w="45" w:type="dxa"/>
            </w:tcMar>
            <w:vAlign w:val="center"/>
            <w:hideMark/>
          </w:tcPr>
          <w:p w14:paraId="2242D3CB" w14:textId="33021014"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A. Kamalian 2021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{"citationID":"7pMI3kJn","properties":{"formattedCitation":"(17)","plainCitation":"(17)","noteIndex":0},"citationItems":[{"id":"ulROLKvl/KwsPezOY","uris":["http://zotero.org/users/16072611/items/NCCURUBB"],"itemData":{"id":197,"type":"article-journal","abstract":"Insufficient physical activity (IPA) caused approximately 5% of mortalities in 2017 in Iran, almost double its global average. Despite the relatively considerable burden, a knowledge gap exists regarding the trend of IPA in recent years. We described the trend of IPA prevalence utilizing the data from six rounds of STEPwise approach to risk factor Surveillance (STEPS) in Iran. We estimated the physical activity status of Iranian adults from 2006 to 2016 after adjusting for years of schooling, urbanization percentage, and wealth index. We used the spatiotemporal model to interpolate and extrapolate the IPA prevalence for the years in-between the series and from 2001 to 2006, respectively. We used the data of 177,910 participants from six STEPS surveys and found that the national prevalence of IPA had steadily increased over the course of 16 years and had almost doubled in this time period (23.1% in 2001 to 55.4% in 2016). The increase was persistent across all age and gender strata and in every province. Moreover, IPA was more prevalent among women than their male peers regardless of their age category or province of residence. The prevalence of IPA in Khuzestan (highest prevalence) was almost double compared to that in Lorestan (lowest prevalence) in 2016. The IPA prevalence increased considerably and almost doubled in 16 years among Iranian adults, particularly women. Policies need to target IPA as a high priority contributing to the burden of Non-communicable diseases.","container-title":"Scientific Reports","DOI":"10.1038/s41598-021-00252-3","ISSN":"2045-2322","issue":"1","journalAbbreviation":"Sci Rep","language":"eng","page":"21441","PMID":"34728645","PMCID":"PMC8564525","source":"PubMed","title":"A national and sub-national metaregression of the trend of insufficient physical activity among Iranian adults between 2001 and 2016","volume":"11","author":[{"family":"Kamalian","given":"Aida"},{"family":"Khosravi Shadmani","given":"Fatemeh"},{"family":"Yoosefi","given":"Moein"},{"family":"Mohajer","given":"Bahram"},{"family":"Mohebi","given":"Farnam"},{"family":"Naderimagham","given":"Shohreh"},{"family":"Rezaei","given":"Negar"},{"family":"Ghasemi","given":"Erfan"},{"family":"Rouhifard Khalilabad","given":"Mahtab"},{"family":"Hassanmirzaei","given":"Bahar"},{"family":"Selk Ghaffari","given":"Maryam"},{"family":"Khosravi","given":"Afifeh"},{"family":"Kordi","given":"Ramin"},{"family":"Farzadfar","given":"Farshad"}],"issued":{"date-parts":[["2021",11,2]]}}}],"schema":"https://github.com/citation-style-language/schema/raw/master/csl-citation.json"}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(17)</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0B2D9826"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02E2AF2E" w14:textId="7D728E36"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4D671B4D" w14:textId="60B91BA9"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701768F7" w14:textId="6F8894C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9AC1CAA" w14:textId="5A22548E" w:rsidTr="001F49E7">
        <w:trPr>
          <w:trHeight w:val="900"/>
        </w:trPr>
        <w:tc>
          <w:tcPr>
            <w:tcW w:w="1137" w:type="pct"/>
            <w:tcMar>
              <w:top w:w="30" w:type="dxa"/>
              <w:left w:w="45" w:type="dxa"/>
              <w:bottom w:w="30" w:type="dxa"/>
              <w:right w:w="45" w:type="dxa"/>
            </w:tcMar>
            <w:vAlign w:val="center"/>
            <w:hideMark/>
          </w:tcPr>
          <w:p w14:paraId="2EE95C45" w14:textId="39EB345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Mirzaei 2021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{"citationID":"jt6lKoZz","properties":{"formattedCitation":"(18)","plainCitation":"(18)","noteIndex":0},"citationItems":[{"id":"ulROLKvl/EVOUpfgD","uris":["http://zotero.org/users/16072611/items/P8LS7TAX"],"itemData":{"id":479,"type":"article-journal","abstract":"BACKGROUND\nThe prevalence of hypertension (HTN) varies across countries due to differences in its related risk factors. This study aimed to investigate the prevalence of HTN and related risk factors among adults.\n\nMETHODS\nThis study was conducted on the data from the recruitment phase of Yazd Health Study. Using multi-stage random cluster sampling, 10000 adults of 20-69 years were selected. Self-reported HTN (diagnosed by a physician) was recorded in a home visit. Blood pressure (BP) was measured using a standard protocol and categorized based on the Seventh Report of the Joint National Committee on Prevention, Detection, Evaluation, and ýTreatment of High Blood Pressure (JNC-7) classification. T-test was used to examine the gender differences. Qualitative variables were presented as number (frequency). Chi-square test and bivariate logistic regression were carried out to determine the association between risk factors.\n\nRESULTS\nThe response rate was 95% (n = 9975). The prevalence of positive history of HTN was 18.5%. The mean systolic and diastolic BP was 126.5 ± 18.4 and 80.2 ± 12.5 mmHg, respectively. The prevalence of HTN was 36.0% (95%CI: 35.1-36.9). Its prevalence reduced by high-education, physical activity, lower BMI, and lack of history of diabetes mellitus (DM) (P &lt; 0.0001). HTN is less common in smokers (P &lt; 0.0001). Logistic regression analysis showed that HTN was higher among men (OR: 1.83; 95%CI: 1.64-2.03), the elderly (OR: 5.15; 95%CI: 4.20-6.31), low-educated (OR: 1.40; 95%CI: 1.17-1.67), and diabetics (OR: 1.20; 95%CI: 1.05-1.38). The prevalence of HTN was 2 times higher in obeses. HTN did not have a significant relationship with inactivity, smoking, and hypercholesterolemia.\n\nCONCLUSION\nThe prevalence of HTN was high. By identifying modifiable risk factors, health policymakers can prioritize intervention programs. It is necessary to inform younger adult groups how these factors can be managed through a healthy lifestyle and nutritional habits.","container-title":"ARYA Atherosclerosis","DOI":"10.22122/arya.v17i0.2045","ISSN":"1735-3955","issue":"1","journalAbbreviation":"ARYA Atheroscler","page":"1-9","PMID":"34703488","PMCID":"PMC8519624","source":"PubMed Central","title":"Prevalence of hypertension and related risk factors in central Iran: Results from Yazd Health Study","title-short":"Prevalence of hypertension and related risk factors in central Iran","volume":"17","author":[{"family":"Mirzaei","given":"Masoud"},{"family":"Mirzaei","given":"Mohsen"},{"family":"Gholami","given":"Somaye"},{"family":"Abolhosseini","given":"Hossein"}],"issued":{"date-parts":[["2021",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(18)</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23F5B812"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279CF976" w14:textId="372CA74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4C1AE401" w14:textId="731AABDF"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B6F1C24" w14:textId="65C165E5"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7D4A4FE" w14:textId="535DB5DE" w:rsidTr="001F49E7">
        <w:trPr>
          <w:trHeight w:val="900"/>
        </w:trPr>
        <w:tc>
          <w:tcPr>
            <w:tcW w:w="1137" w:type="pct"/>
            <w:tcMar>
              <w:top w:w="30" w:type="dxa"/>
              <w:left w:w="45" w:type="dxa"/>
              <w:bottom w:w="30" w:type="dxa"/>
              <w:right w:w="45" w:type="dxa"/>
            </w:tcMar>
            <w:vAlign w:val="center"/>
            <w:hideMark/>
          </w:tcPr>
          <w:p w14:paraId="2AD469F2" w14:textId="73A0A2B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Ghafouri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wwrBlkAF","properties":{"formattedCitation":"(19)","plainCitation":"(19)","noteIndex":0},"citationItems":[{"id":"ulROLKvl/bBRN2Lxi","uris":["http://zotero.org/users/16072611/items/CJN6HDMQ","http://zotero.org/users/16072611/items/82HKIPHZ"],"itemData":{"id":504,"type":"article-journal","abstract":"BACKGROUND AND OBJECTIVES: Low back pain (LBP) is a common health condition in populations. Limited large-scale population-based studies evaluated the prevalence and predictors of LBP in developing countries. This study aimed to evaluate the prevalence and factors associated with LBP among the Iranian population.\nMETHODS: We used baseline information from the Prospective Epidemiological Research Studies in Iran (PERSIAN), including individuals from 16 provinces of Iran. LBP was defined as the history of back pain interfering with daily activities for more than one week during an individual's lifetime. Various factors hypothesized to affect LBP, such as age, sex, marital status, educational status, ethnicity, living area, employment status, history of smoking, body mass index (BMI), physical activity, sleep duration, wealth score, history of joint pain, and history of morning stiffness in the joints were evaluated.\nRESULTS: In total, 163770 Iranians with a mean age of 49.37 (SD = 9.15) were included in this study, 44.8% of whom were male. The prevalence of LBP was 25.2% among participants. After adjusting for confounders, the female gender [OR:1.244(1.02-1.50)], middle and older ages [OR:1.23(1.10-1.33) and OR:1.13(1.07-1.42), respectively], being overweight or obese [OR:1.13(1.07-1.19) and OR:1.21(1.16-1.27), respectively], former and current smokers (OR:1.25(1.16-1.36) and OR:1.28(1.17-1.39), respectively], low physical activity [OR:1.07(1.01-1.14)], and short sleep duration [OR: 1.09(1.02-1.17)] were significantly associated with LBP.\nCONCLUSION: In this large-scale study, we found the lifetime prevalence of LBP to be lower among the Iranian population in comparison to the global prevalence of LBP; further studies are warranted to evaluate the causality of risk factors on LBP.","container-title":"Annals of Medicine and Surgery (2012)","DOI":"10.1016/j.amsu.2022.103243","ISSN":"2049-0801","journalAbbreviation":"Ann Med Surg (Lond)","language":"eng","page":"103243","PMID":"35145656","PMCID":"PMC8801351","source":"PubMed","title":"Prevalence and predictors of low back pain among the Iranian population: Results from the Persian cohort study","title-short":"Prevalence and predictors of low back pain among the Iranian population","volume":"74","author":[{"family":"Ghafouri","given":"Mohammad"},{"family":"Teymourzadeh","given":"Azin"},{"family":"Nakhostin-Ansari","given":"Amin"},{"family":"Sepanlou","given":"Sadaf G."},{"family":"Dalvand","given":"Sahar"},{"family":"Moradpour","given":"Farhad"},{"family":"Bavarsad","given":"Amir Hooshang"},{"family":"Boogar","given":"Shahrokh Sadeghi"},{"family":"Dehghan","given":"Morteza"},{"family":"Ostadrahimi","given":"Alireza"},{"family":"Aghazadeh-Attari","given":"Javad"},{"family":"Kahnooji","given":"Mahmood"},{"family":"Hosseinipour","given":"Ali"},{"family":"Gohari","given":"Ali"},{"family":"Hosseini","given":"Seyed Vahid"},{"family":"Mirzaei","given":"Masoud"},{"family":"Khorram","given":"Alireza"},{"family":"Shahmoradi","given":"Mehdi"},{"family":"Pourfarzi","given":"Farhad"},{"family":"Moosazadeh","given":"Mahmood"},{"family":"Mansour-Ghanaei","given":"Fariborz"},{"family":"Marioryad","given":"Hossein"},{"family":"Najafi","given":"Farid"},{"family":"Genevay","given":"Stephane"},{"family":"Moghadam","given":"Navid"},{"family":"Kordi","given":"Ramin"}],"issued":{"date-parts":[["2022",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(19)</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0B8A269B"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333E7F8" w14:textId="304478A3"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956E9B0" w14:textId="2A66A1F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9F681AD" w14:textId="476EF1E9"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6B9739F2" w14:textId="03E9F4AB" w:rsidTr="001F49E7">
        <w:trPr>
          <w:trHeight w:val="900"/>
        </w:trPr>
        <w:tc>
          <w:tcPr>
            <w:tcW w:w="1137" w:type="pct"/>
            <w:tcMar>
              <w:top w:w="30" w:type="dxa"/>
              <w:left w:w="45" w:type="dxa"/>
              <w:bottom w:w="30" w:type="dxa"/>
              <w:right w:w="45" w:type="dxa"/>
            </w:tcMar>
            <w:vAlign w:val="center"/>
            <w:hideMark/>
          </w:tcPr>
          <w:p w14:paraId="03CA6C52" w14:textId="0A79D293"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Nakhostin-Ansari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{"citationID":"4LJxQOz3","properties":{"formattedCitation":"(20)","plainCitation":"(20)","noteIndex":0},"citationItems":[{"id":"ulROLKvl/7rSaiFs4","uris":["http://zotero.org/users/16072611/items/9RYGGJ5L"],"itemData":{"id":284,"type":"article-journal","abstract":"BACKGROUND: There are limited studies on food security, physical activity, and social capital in the Iranian population. This study aimed to evaluate the social capital's associations with physical inactivity and food insecurity in a large-scale study in Iran, Urban HEART-2.\nMETHODS: This cross-sectional study was conducted in 22 districts of Tehran, the capital of Iran. Residents of Tehran who were 15 years or older were selected by a multi-stage, stratified, and random sampling method. Food insecurity and physical activity were evaluated using Household Food Security Scale and Global Physical Activity Questionnaire, respectively, and their associations with social capital were evaluated.\nRESULTS: A total of 5030 individuals were included in this study, with 3139 (62.4%) males. The mean age of participants was 44.08 years (SD</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16.33, range</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15-90). Participation in social events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0.893,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0.819-0.974,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0.011), social network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0.849,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0.786,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voluntary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0.865,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0.812-0.921,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were all negatively associated with food insecurity. Also, voluntary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0.823,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0.776-0.872,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participation in the associations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0.665,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0.582-0.759,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0.001) were negatively associated with physical inactivity.\nCONCLUSION: The prevalence of food insecurity and physical inactivity is relatively high among Tehran residents. As a factor affecting the physical activity and food security, social capital can be targeted in interventions to improve physical activity and food security among Iranians.","container-title":"TheScientificWorldJournal","DOI":"10.1155/2022/5410611","ISSN":"1537-744X","journalAbbreviation":"ScientificWorldJournal","language":"eng","page":"5410611","PMID":"36398032","PMCID":"PMC9666025","source":"PubMed","title":"Physical Inactivity and Food Insecurity Are Associated with Social Capital: A Large-Scale Population-Based Study in Tehran","title-short":"Physical Inactivity and Food Insecurity Are Associated with Social Capital","volume":"2022","author":[{"family":"Nakhostin-Ansari","given":"Amin"},{"family":"Akbari","given":"Paria"},{"family":"Selk-Ghaffari","given":"Maryam"},{"family":"Memari","given":"Amir Hossein"},{"family":"Vaez-Mahdavi","given":"Mohamad-Reza"},{"family":"Asadi-Lari","given":"Mohsen"}],"issued":{"date-parts":[["2022"]]}}}],"schema":"https://github.com/citation-style-language/schema/raw/master/csl-citation.json"}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(20)</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293CBD9D"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154B213D" w14:textId="0DAF11EA"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E46EF92" w14:textId="2E63FB8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0730222C" w14:textId="06434AD2"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0D1D6CE" w14:textId="0172AC08" w:rsidTr="001F49E7">
        <w:trPr>
          <w:trHeight w:val="900"/>
        </w:trPr>
        <w:tc>
          <w:tcPr>
            <w:tcW w:w="1137" w:type="pct"/>
            <w:tcMar>
              <w:top w:w="30" w:type="dxa"/>
              <w:left w:w="45" w:type="dxa"/>
              <w:bottom w:w="30" w:type="dxa"/>
              <w:right w:w="45" w:type="dxa"/>
            </w:tcMar>
            <w:vAlign w:val="center"/>
            <w:hideMark/>
          </w:tcPr>
          <w:p w14:paraId="2396F91E" w14:textId="39AC3419"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L. Odland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{"citationID":"p6Fz0OG4","properties":{"formattedCitation":"(21)","plainCitation":"(21)","noteIndex":0},"citationItems":[{"id":"ulROLKvl/sOhEewFS","uris":["http://zotero.org/users/16072611/items/XVHXGI5C"],"itemData":{"id":300,"type":"article-journal","abstract":"BACKGROUND: As the populations of lower-income and middle-income countries age, multimorbidity is increasing, but there is little information on its long-term consequences. We aimed to show associations between multimorbidity and outcomes of mortality and hospitalisation in Iran, a middle-income country undergoing rapid economic transition.\nMETHODS: We conducted a secondary analysis of longitudinal data collected in the Golestan Cohort Study. Data on demographics, morbidities and lifestyle factors were collected at baseline, and information on hospitalisations or deaths was captured annually. Logistic regression was used to analyse the association between baseline multimorbidity and 10-year mortality, Cox-proportional hazard models to measure lifetime risk of mortality and zero-inflation models to investigate the association between hospitalisation and multimorbidity. Multimorbidity was classified as ≥2 conditions or number of conditions. Demographic, lifestyle and socioeconomic variables were included as covariables.\nRESULTS: The study recruited 50 045 participants aged 40-75 years between 2004 and 2008, 47 883 were available for analysis, 416 (57.3%) were female and 12 736 (27.94%) were multimorbid. The odds of dying at 10 years for multimorbidity defined as ≥2 conditions was 1.99 (95% CI 1.86 to 2.12, p&lt;0.001), and it increased with increasing number of conditions (OR of 3.57; 95% CI 3.12 to 4.08, p&lt;0.001 for ≥4 conditions). The survival analysis showed the hazard of death for those with ≥4 conditions was 3.06 (95% CI 2.74 to 3.43, p&lt;0.001). The number of hospital admissions increased with number of conditions (OR of not being hospitalised of 0.36; 95% CI 0.31 to 0.52, p&lt;0.001, for ≥4 conditions).\nCONCLUSION: The long-terms effects of multimorbidity on mortality and hospitalisation are similar in this population to those seen in high-income countries.","container-title":"BMJ global health","DOI":"10.1136/bmjgh-2021-007278","ISSN":"2059-7908","issue":"5","journalAbbreviation":"BMJ Glob Health","language":"eng","page":"e007278","PMID":"35550337","PMCID":"PMC9109019","source":"PubMed","title":"Multimorbidity and associations with clinical outcomes in a middle-aged population in Iran: a longitudinal cohort study","title-short":"Multimorbidity and associations with clinical outcomes in a middle-aged population in Iran","volume":"7","author":[{"family":"Odland","given":"Maria Lisa"},{"family":"Ismail","given":"Samiha"},{"family":"Sepanlou","given":"Sadaf G."},{"family":"Poustchi","given":"Hossein"},{"family":"Sadjadi","given":"Alireza"},{"family":"Pourshams","given":"Akram"},{"family":"Marshall","given":"Tom"},{"family":"Witham","given":"Miles D."},{"family":"Malekzadeh","given":"Reza"},{"family":"Davies","given":"Justine I."}],"issued":{"date-parts":[["2022",5]]}}}],"schema":"https://github.com/citation-style-language/schema/raw/master/csl-citation.json"}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(21)</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30AE2B4D"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Cohort</w:t>
            </w:r>
          </w:p>
        </w:tc>
        <w:tc>
          <w:tcPr>
            <w:tcW w:w="1038" w:type="pct"/>
            <w:tcMar>
              <w:top w:w="30" w:type="dxa"/>
              <w:left w:w="45" w:type="dxa"/>
              <w:bottom w:w="30" w:type="dxa"/>
              <w:right w:w="45" w:type="dxa"/>
            </w:tcMar>
            <w:vAlign w:val="center"/>
          </w:tcPr>
          <w:p w14:paraId="72E2D222" w14:textId="50BA4724"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02A448EF" w14:textId="73429A35"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5CF61135" w14:textId="5E99FF3A"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DF8B596" w14:textId="204E0FE5" w:rsidTr="001F49E7">
        <w:trPr>
          <w:trHeight w:val="1512"/>
        </w:trPr>
        <w:tc>
          <w:tcPr>
            <w:tcW w:w="1137" w:type="pct"/>
            <w:tcMar>
              <w:top w:w="30" w:type="dxa"/>
              <w:left w:w="45" w:type="dxa"/>
              <w:bottom w:w="30" w:type="dxa"/>
              <w:right w:w="45" w:type="dxa"/>
            </w:tcMar>
            <w:vAlign w:val="center"/>
            <w:hideMark/>
          </w:tcPr>
          <w:p w14:paraId="0D2A5629" w14:textId="092154E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Atefatfar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{"citationID":"1ruI6lnD","properties":{"formattedCitation":"(22)","plainCitation":"(22)","noteIndex":0},"citationItems":[{"id":"ulROLKvl/7GnVkgGX","uris":["http://zotero.org/users/16072611/items/ZI8I5SAC"],"itemData":{"id":273,"type":"article-journal","abstract":"OBJECTIVES: The aim of our study was to compare four lifestyles-healthy diet and low activity, unhealthy diet and high activity, unhealthy diet and low activity, and healthy diet and high activity-in relation to the risk of cardiovascular disease (CVD) and all-cause mortality.\nMETHODS: A total of 6504 adults ages ≥35 y were recruited to participate in the Isfahan Cohort Study and followed for 13 y. Diet was assessed using a validated 48-item food frequency questionnaire, and the quality of diet was assessed using the Dietary Quality Index. Physical activity (PA) was evaluated using the International Physical Activity Questionnaire. The primary outcomes were CVD and all-cause mortality. Cox proportional hazards regression was used to calculate the hazard ratio (HR) and the 95% CIs.\nRESULTS: During 771 440 person-years of follow-up, 390 and 147 deaths occurred due to all causes and CVD, respectively. High PA, either with a healthy or unhealthy diet, was associated with a lower risk of death from CVD (HR = 0.43; 95% CI, 0.26-0.69, and HR = 0.32; 95% CI, 0.18-0.56, respectively) and also all-cause mortality(HR = 0.53, 95% CI, 0.39-0.71, and HR = 0.5, 95% CI, 0.36-0.68). Moreover, type of PA was important, such that when leisure time PA was considered, none of the lifestyles was associated with a lower risk of CVD and all-cause mortality. However, for occupational PA, the result was the same as the total PA.\nCONCLUSIONS: Having high PA (total or occupational), with or without adhering to a healthy diet, is associated with a lower risk of death from any cause and CVD; although leisure time PA, irrespective of adhering to a healthy diet, was not associated with a lower risk of all-cause and CVD mortality.","container-title":"Nutrition (Burbank, Los Angeles County, Calif.)","DOI":"10.1016/j.nut.2023.112186","ISSN":"1873-1244","journalAbbreviation":"Nutrition","language":"eng","page":"112186","PMID":"37678016","source":"PubMed","title":"A healthy diet, physical activity, or either in relation to cardiovascular and all-cause mortality: A prospective cohort study","title-short":"A healthy diet, physical activity, or either in relation to cardiovascular and all-cause mortality","volume":"116","author":[{"family":"Atefatfar","given":"Ayda"},{"family":"Babajafari","given":"Siavash"},{"family":"Mohammadifard","given":"Noushin"},{"family":"Nouri","given":"Fatemeh"},{"family":"Boshtam","given":"Maryam"},{"family":"Sadeghi","given":"Masoumeh"},{"family":"Sharifi","given":"Mohammad Hossein"},{"family":"Kazemi","given":"Asma"},{"family":"Sarrafzadegan","given":"Nizal"}],"issued":{"date-parts":[["2023",12]]}}}],"schema":"https://github.com/citation-style-language/schema/raw/master/csl-citation.json"}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(22)</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7E7CFAA8"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Cohort</w:t>
            </w:r>
          </w:p>
        </w:tc>
        <w:tc>
          <w:tcPr>
            <w:tcW w:w="1038" w:type="pct"/>
            <w:tcMar>
              <w:top w:w="30" w:type="dxa"/>
              <w:left w:w="45" w:type="dxa"/>
              <w:bottom w:w="30" w:type="dxa"/>
              <w:right w:w="45" w:type="dxa"/>
            </w:tcMar>
            <w:vAlign w:val="center"/>
          </w:tcPr>
          <w:p w14:paraId="3C6A2D0C" w14:textId="5018172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Does this intervention help?</w:t>
            </w:r>
          </w:p>
        </w:tc>
        <w:tc>
          <w:tcPr>
            <w:tcW w:w="1339" w:type="pct"/>
            <w:tcMar>
              <w:top w:w="30" w:type="dxa"/>
              <w:left w:w="45" w:type="dxa"/>
              <w:bottom w:w="30" w:type="dxa"/>
              <w:right w:w="45" w:type="dxa"/>
            </w:tcMar>
            <w:vAlign w:val="center"/>
          </w:tcPr>
          <w:p w14:paraId="504EF8D4" w14:textId="73CCFB49"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Randomized trial or observational study with dramatic effect</w:t>
            </w:r>
          </w:p>
        </w:tc>
        <w:tc>
          <w:tcPr>
            <w:tcW w:w="717" w:type="pct"/>
            <w:vAlign w:val="center"/>
          </w:tcPr>
          <w:p w14:paraId="5F43F998" w14:textId="54E142F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w:t>
            </w:r>
          </w:p>
        </w:tc>
      </w:tr>
      <w:tr w:rsidR="005C7E41" w:rsidRPr="001F49E7" w14:paraId="5AFA7CD7" w14:textId="29FC8582" w:rsidTr="001F49E7">
        <w:trPr>
          <w:trHeight w:val="900"/>
        </w:trPr>
        <w:tc>
          <w:tcPr>
            <w:tcW w:w="1137" w:type="pct"/>
            <w:tcMar>
              <w:top w:w="30" w:type="dxa"/>
              <w:left w:w="45" w:type="dxa"/>
              <w:bottom w:w="30" w:type="dxa"/>
              <w:right w:w="45" w:type="dxa"/>
            </w:tcMar>
            <w:vAlign w:val="center"/>
            <w:hideMark/>
          </w:tcPr>
          <w:p w14:paraId="195B0021" w14:textId="442A5D5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Babaei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{"citationID":"7y38n1Xh","properties":{"formattedCitation":"(23)","plainCitation":"(23)","noteIndex":0},"citationItems":[{"id":"ulROLKvl/h7S9G41U","uris":["http://zotero.org/users/16072611/items/GPJB2ILH"],"itemData":{"id":275,"type":"article-journal","abstract":"OBJECTIVES: Chronic venous disease (CVD) of the lower extremities is one of the common venous diseases in different populations, with a wide range of clinical manifestations and undetermined exact prevalence owing to different population characteristics and measurement methods. This study aimed to estimate the prevalence of CVD among the modern Iranian urban population and determine its associated risk factors.\nMETHODS: The Heart Assessment and Monitoring in Rajaie Hospital study, a longitudinal population-based cohort, aims to investigate the baseline prevalence and the 10-year incidence of cardiovascular diseases and associated risk factors in the adult population aged 30 to 75 years with no overt cardiovascular diseases in Tehran. Two instructed interventional cardiologists performed CVD evaluation using the Clinical-Etiology-Anatomy-Pathophysiology classification. CVD was graded as C1 to C6, and chronic venous insufficiency (CVI) as C3 to C6. A multivariable regression model was used to analyze the association between CVD and prespecified covariates of age, sex, body mass index (≥30 kg/m2), smoking, hypertension, diabetes mellitus, physical activity, dyslipidemia, and delivery method.\nRESULTS: CVD prevalence among 1176 participants was 36.5% (95% confidence interval [CI], 33.8-39.3) and was higher in women than men (44.2% vs 23.5%). CVI prevalence was only 0.7% (95% CI, 0.3-1.3). Multivariable analysis showed that advanced age (odds ratio [OR], 1.06; 95% CI, 1.04-1.08), female sex (OR, 2.98; 95% CI, 2.14-4.14), and body mass index of ≥30 (OR, 1.36; 95% CI, 1.03-1.81) were independently associated with CVD. Physical activity (OR, 0.77; 95% CI, 0.58-1.02) was nearly protective, whereas other factors, including traditional cardiovascular risk factors, had no meaningful association with CVD.\nCONCLUSIONS: Our findings showed that CVD was prevalent in the modern Iranian urban population. However, considering the very low prevalence of the higher stages of the disease, the benefit of mass screening is debatable, and better risk discriminators should be investigated.","container-title":"Journal of Vascular Surgery. Venous and Lymphatic Disorders","DOI":"10.1016/j.jvsv.2023.06.005","ISSN":"2213-3348","issue":"6","journalAbbreviation":"J Vasc Surg Venous Lymphat Disord","language":"eng","page":"1098-1106.e10","PMID":"37690625","source":"PubMed","title":"Prevalence and associated factors of chronic venous disease among the modern Iranian urban population","volume":"11","author":[{"family":"Babaei","given":"Mohammadreza"},{"family":"Afrooghe","given":"Arya"},{"family":"Rafati","given":"Ali"},{"family":"Mohebbi","given":"Bahram"},{"family":"Moosavi","given":"Jamal"},{"family":"Ghadri","given":"Narges"},{"family":"Koohestani","given":"Bahareh Mohajer"},{"family":"Rahimi","given":"Shahin"},{"family":"Baay","given":"Mohammadreza"},{"family":"Alemzadeh-Ansari","given":"Mohammad Javad"},{"family":"Hosseini","given":"Zahra"},{"family":"Boudagh","given":"Shabnam"},{"family":"Khalilipur","given":"Ehsan"},{"family":"Ghaemmaghami","given":"Zahra"},{"family":"Pasebani","given":"Yeganeh"},{"family":"Firoozbakhsh","given":"Parisa"},{"family":"Pouraliakbar","given":"Hamidreza"},{"family":"Bakhshandeh","given":"Hooman"},{"family":"Sadeghipour","given":"Parham"}],"issued":{"date-parts":[["2023",11]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(23)</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28ABFE8E"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7297D6AA" w14:textId="0191302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46132A2C" w14:textId="402E1BC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070821DC" w14:textId="60D2D0F9"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6BF7FF1E" w14:textId="6063888E" w:rsidTr="001F49E7">
        <w:trPr>
          <w:trHeight w:val="900"/>
        </w:trPr>
        <w:tc>
          <w:tcPr>
            <w:tcW w:w="1137" w:type="pct"/>
            <w:tcMar>
              <w:top w:w="30" w:type="dxa"/>
              <w:left w:w="45" w:type="dxa"/>
              <w:bottom w:w="30" w:type="dxa"/>
              <w:right w:w="45" w:type="dxa"/>
            </w:tcMar>
            <w:vAlign w:val="center"/>
            <w:hideMark/>
          </w:tcPr>
          <w:p w14:paraId="56942C54" w14:textId="40226F1D"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Razzaghi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{"citationID":"54nTENpt","properties":{"formattedCitation":"(24)","plainCitation":"(24)","noteIndex":0},"citationItems":[{"id":"ulROLKvl/Ucdw5jsg","uris":["http://zotero.org/users/16072611/items/Z7GVX9S6"],"itemData":{"id":303,"type":"article-journal","abstract":"BACKGROUND: Asthma is one of the most common chronic respiratory diseases. It is estimated that more than 400 million people will suffer from it by 2025. This study aims to determine the prevalence of asthma in East Azerbaijan and investigate the association between asthma and some environmental and demographic factors.\nMATERIALS AND METHODS: This is a cross-sectional study based on a major Lifestyle Promotion Project (LPP) conducted in the districts of East Azerbaijan, including 2641 participants aged 15 to 65 years of the general population selected through probability proportional to size (PPS) multistage stratified cluster sampling. We used the World Health Survey questionnaire about doctor-diagnosed asthma to determine the prevalence of asthma. Age, smoking status, physical activity level, socioeconomic variables such as job and education level, and body mass index (BMI) were used as covariates in regression models. A questionnaire was used to obtain socio-demographic information and smoking status. The short form of the International Physical Activity Questionnaire was used to estimate the level of physical activity (IPAQ).\nRESULTS: The mean age of participants was 40.9 ± 12.05 years including 1242 (47 %) males and 1399 (53 %) females. The prevalence of asthma was 3.3 %. The frequency of smokers was significantly higher in the asthmatic group compared with the non-asthmatic group (OR=2.33 [1.76-3.31]; p=0.03). There was no significant association between asthma and other demographic and lifestyle characteristics. Obesity has also played a significant role in the development of asthma.\nCONCLUSION: According to the results of this study, obesity and smoking have played a significant role in the development of asthma but there is no statistically significant relationship between socioeconomic and demographic factors.","container-title":"Tanaffos","ISSN":"1735-0344","issue":"3","journalAbbreviation":"Tanaffos","language":"eng","page":"325-331","PMID":"38638384","PMCID":"PMC11022198","source":"PubMed","title":"Prevalence of Asthma in East Azerbaijan Adult Population and Its Determinants Factors: A Cross-Sectional Study from the Northwest of Iran","title-short":"Prevalence of Asthma in East Azerbaijan Adult Population and Its Determinants Factors","volume":"22","author":[{"family":"Razzaghi","given":"Shahryar"},{"family":"Farshbaf Khalili","given":"Ali"},{"family":"Nikniaz","given":"Leila"},{"family":"Nikniaz","given":"Zeinab"},{"family":"Zeinalzadeh","given":"Ali Hossein"}],"issued":{"date-parts":[["2023",3]]}}}],"schema":"https://github.com/citation-style-language/schema/raw/master/csl-citation.json"}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(24)</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709924E3"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472EA61D" w14:textId="57EC3B2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3A79414" w14:textId="39926D7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691308DC" w14:textId="12A7D918"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1D851FE" w14:textId="2DC534EB" w:rsidTr="001F49E7">
        <w:trPr>
          <w:trHeight w:val="900"/>
        </w:trPr>
        <w:tc>
          <w:tcPr>
            <w:tcW w:w="1137" w:type="pct"/>
            <w:tcMar>
              <w:top w:w="30" w:type="dxa"/>
              <w:left w:w="45" w:type="dxa"/>
              <w:bottom w:w="30" w:type="dxa"/>
              <w:right w:w="45" w:type="dxa"/>
            </w:tcMar>
            <w:vAlign w:val="center"/>
            <w:hideMark/>
          </w:tcPr>
          <w:p w14:paraId="24030A47" w14:textId="09398AD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S. A. Nejadghaderi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VytEByHV","properties":{"formattedCitation":"(25)","plainCitation":"(25)","noteIndex":0},"citationItems":[{"id":"ulROLKvl/Z26brNuC","uris":["http://zotero.org/users/16072611/items/5ZG2TW6B","http://zotero.org/users/16072611/items/ZAXZZ6L9"],"itemData":{"id":513,"type":"article-journal","collection-title":"10:1036219","container-title":"Front Public Health","DOI":"10.3389/fpubh.2022.1036219","ISSN":"PMID: 36684955; PMCID: PMC9846211","language":"EN","title":"Physical activity pattern in Iran: Findings from STEPS 2021 - PubMed","author":[{"literal":"Nejadghaderi SA, Ahmadi N, Rashidi MM, Ghanbari A, Noori M, Abbasi-Kangevari M, Nasserinejad M, Rezaei N, Yoosefi M, Fattahi N, Ghasemi E, Farzi Y, Abdolhamidi E, Darman M, Djalalinia S, Farzadfar F."}],"issued":{"date-parts":[["2023",1,4]]}}}],"schema":"https://github.com/citation-style-language/schema/raw/master/csl-citation.json"}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(25)</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6468DBED"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515C64C9" w14:textId="1876B300"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0935A32" w14:textId="6E4C2A43"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4F93DE25" w14:textId="4C403221"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1F4C06C7" w14:textId="715C2983" w:rsidTr="001F49E7">
        <w:trPr>
          <w:trHeight w:val="900"/>
        </w:trPr>
        <w:tc>
          <w:tcPr>
            <w:tcW w:w="1137" w:type="pct"/>
            <w:tcMar>
              <w:top w:w="30" w:type="dxa"/>
              <w:left w:w="45" w:type="dxa"/>
              <w:bottom w:w="30" w:type="dxa"/>
              <w:right w:w="45" w:type="dxa"/>
            </w:tcMar>
            <w:vAlign w:val="center"/>
            <w:hideMark/>
          </w:tcPr>
          <w:p w14:paraId="62CE3205" w14:textId="051C6B0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Mohammadi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{"citationID":"CVenNiy7","properties":{"unsorted":false,"formattedCitation":"(26)","plainCitation":"(26)","noteIndex":0},"citationItems":[{"id":61,"uris":["http://zotero.org/users/local/SBvLfXY8/items/582LZXER"],"itemData":{"id":61,"type":"article-journal","abstract":"We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(26)</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15A3B2C5"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766A527" w14:textId="634E9CC8"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7DAB669" w14:textId="0302838F"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755608B8" w14:textId="55CFEF9B"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12B27724" w14:textId="6CC7227C" w:rsidTr="001F49E7">
        <w:trPr>
          <w:trHeight w:val="900"/>
        </w:trPr>
        <w:tc>
          <w:tcPr>
            <w:tcW w:w="1137" w:type="pct"/>
            <w:tcMar>
              <w:top w:w="30" w:type="dxa"/>
              <w:left w:w="45" w:type="dxa"/>
              <w:bottom w:w="30" w:type="dxa"/>
              <w:right w:w="45" w:type="dxa"/>
            </w:tcMar>
            <w:vAlign w:val="center"/>
            <w:hideMark/>
          </w:tcPr>
          <w:p w14:paraId="42ACBB30" w14:textId="382B160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 Taherifard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{"citationID":"hiA04Kzn","properties":{"formattedCitation":"(27)","plainCitation":"(27)","noteIndex":0},"citationItems":[{"id":"ulROLKvl/1TBQ7Xlo","uris":["http://zotero.org/users/16072611/items/BZMCCFAI"],"itemData":{"id":305,"type":"article-journal","abstract":"BACKGROUND AND AIMS: Obesity is considered a major growing threat to public health which could negatively affect the quality of life. The current cross-sectional study was conducted to investigate the population-based prevalence of metabolically healthy obesity (MHO) and healthy overweight (MHOW) and associated factors in southern Iran.\nMETHODS: Baseline data from the Pars Cohort Study was analyzed. Metabolically healthy participants were identified based on the definition of the American Heart Association for the metabolic syndrome. The prevalence of MHOW and MHO and their 95% confidence intervals were estimated. Poisson regression was applied for the calculation of prevalence ratios (PRs).\nRESULTS: Gender- and age-standardized prevalences of MHOW and MHO were 6.3% (6.0%-6.6%) and 2.3% (2.1%-2.5%), respectively. The following factors were associated with being MHOW compared with those with normal weight: Being younger, female gender (1.31, 1.20-1.43), higher socioeconomic status, being noncurrent cigarette smoker (1.27, 1.11-1.45), low level of physical activity (1.14, 1.03-1.25), having normal overweight during adolescence, and overweight (1.35, 1.24-1.48) or obesity (1.68, 1.53-1.86) during young adulthood. We also found strong associations between MHO and younger age groups, female gender (2.87, 2.40-3.42), being married (1.57, 1.08-2.27), Fars ethnicity (1.25, 1.10-1.43), higher socioeconomic status, ever use of tobacco (1.14, 1.00-1.30), never use of opium (1.85, 1.19-2.86), lower physical activity (1.45, 1.20-1.72), being normal weight in 15-year body pictogram and being overweight (1.87, 1.59-2.20) or obese (3.20, 2.74-3.72) in 30-year body pictogram when considering those with normal weight or MHO.\nCONCLUSION: Potentially modifiable factors including physical activity should be more emphasized. Furthermore, our study issued that it would be more reasonable that the prevention of unhealthy obesity be initiated before the development of MHO, where there are more protective factors and they could be more effective.","container-title":"Health Science Reports","DOI":"10.1002/hsr2.1909","ISSN":"2398-8835","issue":"2","journalAbbreviation":"Health Sci Rep","language":"eng","page":"e1909","PMID":"38361808","PMCID":"PMC10867705","source":"PubMed","title":"Prevalence of metabolically healthy obesity and healthy overweight and the associated factors in southern Iran: A population-based cross-sectional study","title-short":"Prevalence of metabolically healthy obesity and healthy overweight and the associated factors in southern Iran","volume":"7","author":[{"family":"Taherifard","given":"Erfan"},{"family":"Taherifard","given":"Ehsan"},{"family":"Jeddi","given":"Marjan"},{"family":"Ahmadkhani","given":"Alireza"},{"family":"Kelishadi","given":"Roya"},{"family":"Poustchi","given":"Hossein"},{"family":"Gandomkar","given":"Abdullah"},{"family":"Malekzadeh","given":"Fatemeh"},{"family":"Mohammadi","given":"Zahra"},{"family":"Molavi Vardanjani","given":"Hossein"}],"issued":{"date-parts":[["2024",2]]}}}],"schema":"https://github.com/citation-style-language/schema/raw/master/csl-citation.json"}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(27)</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E5C16BA"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w:t>
            </w:r>
            <w:r w:rsidRPr="001F49E7">
              <w:rPr>
                <w:rFonts w:ascii="Cambria Math" w:eastAsia="Times New Roman" w:hAnsi="Cambria Math" w:cs="Cambria Math"/>
                <w:kern w:val="0"/>
                <w:sz w:val="16"/>
                <w:szCs w:val="16"/>
                <w14:ligatures w14:val="none"/>
              </w:rPr>
              <w:t>‐</w:t>
            </w:r>
            <w:r w:rsidRPr="001F49E7">
              <w:rPr>
                <w:rFonts w:eastAsia="Times New Roman" w:cstheme="minorHAnsi"/>
                <w:kern w:val="0"/>
                <w:sz w:val="16"/>
                <w:szCs w:val="16"/>
                <w14:ligatures w14:val="none"/>
              </w:rPr>
              <w:t>sectional</w:t>
            </w:r>
          </w:p>
        </w:tc>
        <w:tc>
          <w:tcPr>
            <w:tcW w:w="1038" w:type="pct"/>
            <w:tcMar>
              <w:top w:w="30" w:type="dxa"/>
              <w:left w:w="45" w:type="dxa"/>
              <w:bottom w:w="30" w:type="dxa"/>
              <w:right w:w="45" w:type="dxa"/>
            </w:tcMar>
            <w:vAlign w:val="center"/>
          </w:tcPr>
          <w:p w14:paraId="6EFA9F0F" w14:textId="272EA55E"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1FB4EE20" w14:textId="13665904"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1ACD5036" w14:textId="2528026C"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C7E41" w:rsidRPr="001F49E7" w14:paraId="0890AAFA" w14:textId="6BC02E6E" w:rsidTr="001F49E7">
        <w:trPr>
          <w:trHeight w:val="900"/>
        </w:trPr>
        <w:tc>
          <w:tcPr>
            <w:tcW w:w="1137" w:type="pct"/>
            <w:tcMar>
              <w:top w:w="30" w:type="dxa"/>
              <w:left w:w="45" w:type="dxa"/>
              <w:bottom w:w="30" w:type="dxa"/>
              <w:right w:w="45" w:type="dxa"/>
            </w:tcMar>
            <w:vAlign w:val="center"/>
            <w:hideMark/>
          </w:tcPr>
          <w:p w14:paraId="6391489D" w14:textId="643E7881"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Sarebanhassanabadi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{"citationID":"7Gw8mMbC","properties":{"formattedCitation":"(28)","plainCitation":"(28)","noteIndex":0},"citationItems":[{"id":"ulROLKvl/aYaf5Wbw","uris":["http://zotero.org/users/16072611/items/TE6FCGHB"],"itemData":{"id":315,"type":"article-journal","abstract":"BACKGROUND: There is a substantial disparity in coronary artery disease (CAD) burden between Iran and other nations that place a strong emphasis on the assessment of CAD risk factors and individuals' awareness and ability to control them.\nMETHODS: Two thousand participants of a community-based Iranian population aged 20-74 years were investigated with a mean follow-up of 9.9 years (range: 7.6 to 12.2). An analysis of Cox regression was conducted to determine the association between CAD development and classic risk factors such as age, sex, smoking, physical activity, education, obesity, dyslipidemia, hypertension, and diabetes mellitus. Furthermore, we computed the population attributable fraction for these risk factors.\nRESULTS: After a follow-up period of nearly 10 years, 225 CAD events were reported, constituting 14.5% of the overall incidence. Nighty three percent of participants had more than one risk factor. Age was the most predictive risk factor, with a hazard ratio (HR) and confidence interval (CI) of 5.56 (3.87-7.97,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in men older than 45 and females older than 55 compared to lower ages. In comparison to females, males had an HR of 1.45 (CI: 1.11-1.90, p value</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0.006) for developing CAD. Nearly 80% of the patients had dyslipidemia, with a hazard ratio of 2.19 (CI: 1.40-3.44,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0.01). Among the participants, 28.9% had hypertension, and 52% had prehypertension, which had HRs of 4.1 (2.4-7.2,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2.4 (1.4-4.2,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respectively. Diabetes, with a prevalence of 17%, had an HR of 2.63 (CI: 2 -3.47,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0.001), but prediabetes was not significantly associated with CAD. Awareness of diabetes, dyslipidemia, and hypertension was 81%, 27.9%, and 48.1%, respectively. Regarding medication usage, the corresponding percentages were 51% for diabetes, 13.2% for dyslipidemia, and 41% for hypertension.\nCONCLUSIONS: Compared to previous studies in Iran and neighboring countries, the current study found a higher incidence of CAD, more prevalent risk factors, and a lower awareness and ability to control these risk factors. Thus, an effective preventive strategy is needed to reduce the CAD burden in Iran.","container-title":"BMC cardiovascular disorders","DOI":"10.1186/s12872-024-03769-3","ISSN":"1471-2261","issue":"1","journalAbbreviation":"BMC Cardiovasc Disord","language":"eng","page":"101","PMID":"38347457","PMCID":"PMC10863377","source":"PubMed","title":"Coronary artery disease incidence, risk factors, awareness, and medication utilization in a 10-year cohort study","volume":"24","author":[{"family":"Sarebanhassanabadi","given":"Mohammadtaghi"},{"family":"Mirjalili","given":"Seyed Reza"},{"family":"Marques-Vidal","given":"Pedro"},{"family":"Kraemer","given":"Alexander"},{"family":"Namayandeh","given":"Seyedeh Mahdieh"}],"issued":{"date-parts":[["2024",2,12]]}}}],"schema":"https://github.com/citation-style-language/schema/raw/master/csl-citation.json"}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(28)</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06689955" w14:textId="77777777"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Cohort</w:t>
            </w:r>
          </w:p>
        </w:tc>
        <w:tc>
          <w:tcPr>
            <w:tcW w:w="1038" w:type="pct"/>
            <w:tcMar>
              <w:top w:w="30" w:type="dxa"/>
              <w:left w:w="45" w:type="dxa"/>
              <w:bottom w:w="30" w:type="dxa"/>
              <w:right w:w="45" w:type="dxa"/>
            </w:tcMar>
            <w:vAlign w:val="center"/>
          </w:tcPr>
          <w:p w14:paraId="239CD3C2" w14:textId="2322919F"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52746F33" w14:textId="03E58ADC"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5B50F35C" w14:textId="0AF1BF68" w:rsidR="005C7E41" w:rsidRPr="001F49E7" w:rsidRDefault="005C7E4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F4219" w:rsidRPr="001F49E7" w14:paraId="02CD1F02" w14:textId="236A22AA" w:rsidTr="001F49E7">
        <w:trPr>
          <w:trHeight w:val="900"/>
        </w:trPr>
        <w:tc>
          <w:tcPr>
            <w:tcW w:w="1137" w:type="pct"/>
            <w:tcMar>
              <w:top w:w="30" w:type="dxa"/>
              <w:left w:w="45" w:type="dxa"/>
              <w:bottom w:w="30" w:type="dxa"/>
              <w:right w:w="45" w:type="dxa"/>
            </w:tcMar>
            <w:vAlign w:val="center"/>
          </w:tcPr>
          <w:p w14:paraId="30FBF115" w14:textId="77777777" w:rsidR="003F4219" w:rsidRPr="001F49E7" w:rsidRDefault="003F421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Ranjbar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mIxfFCDU","properties":{"unsorted":false,"formattedCitation":"(29)","plainCitation":"(29)","noteIndex":0},"citationItems":[{"id":237,"uris":["http://zotero.org/users/local/SBvLfXY8/items/GPPH7NUA"],"itemData":{"id":237,"type":"article-journal","abstract":"BACKGROUND: Ultra-process foods (UPF) were suspected to induce many diseases and threaten consumers' health. The aim of this study was to examine the association  between the consumption of highly processed foods and adiposity indexes in  Tehranian adults. METHOD: In a cross-sectional design, 850 Tehranian adults were  included. NOVA classification was used to assess the intake of UPF in  participants. The amount of calorie intake through processed foods was assessed.  Adiposity indexes outcomes include body mass index (BMI), waist circumference  (WC), waist-to-hip ratio (WHR), waist-to-height ratio (WHtR), visceral adiposity  index (VAI), body roundness index (BRI), and body adiposity index (BAI). Lipid  accumulation product (LAP) and triglyceride-glucose index (TyG) were also  assessed. Binary logistic regression was used to evaluate the association between  the intake of UPF and adiposity indexes measurements. RESULT: there was a higher  intake of UPF in men than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The results of logistic regression  revealed that there is a significant association between intake of UPF with WHR  (odds ratio (OR): 1.09, 95% confidence interval (CI): 0.73-1.61) and BRI (OR:  2.10, 95% CI: 1.38-3.19) in the crude model. Nevertheless, after adjusting for  confounders, the results were insignificant (WHR: OR, 0.77, 95% CI, 0.46-1.27,  and BRI: OR, 1.70, 95% CI, 1.05-2.73). No significant association was seen for  other outcomes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0.001 for all). The results of dose-response analyses  revealed a substantial association between UPF intake and BMI, WHrT, WC, VAI,  BRI, BAI, LAP, and TyG. CONCLUSION: UPF consumption was significantly related to  increased risk of high-risk adiposity indexes in the dose-response analysis. More  studies are needed to strengthen the results of this study.","container-title":"BMC public health","DOI":"10.1186/s12889-025-22812-2","ISSN":"1471-2458","issue":"1","journalAbbreviation":"BMC Public Health","language":"eng","license":"© 2025. The Author(s).","page":"1548","PMID":"40281568","PMCID":"PMC12023585","publisher-place":"England","title":"The association between ultra-processed food consumption and adiposity indexes in adults living in Tehran: a dose-response analysis within a cross-sectional study.","volume":"25","author":[{"family":"Ranjbar","given":"Mahsa"},{"family":"Avini","given":"Neda Asgari"},{"family":"Shab-Bidar","given":"Sakineh"}],"issued":{"date-parts":[["2025",4,25]]}}}],"schema":"https://github.com/citation-style-language/schema/raw/master/csl-citation.json"}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(29)</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159ADC53" w14:textId="77777777" w:rsidR="003F4219" w:rsidRPr="001F49E7" w:rsidRDefault="003F421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1EBD56AE" w14:textId="1E1C03E1" w:rsidR="003F4219" w:rsidRPr="001F49E7" w:rsidRDefault="003F421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0B30330" w14:textId="33CD8B6E" w:rsidR="003F4219" w:rsidRPr="001F49E7" w:rsidRDefault="003F421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2C3C2EE2" w14:textId="7130459B" w:rsidR="003F4219" w:rsidRPr="001F49E7" w:rsidRDefault="003F421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5E3EA4" w:rsidRPr="001F49E7" w14:paraId="1375F1A5" w14:textId="2C9D5D1D" w:rsidTr="001F49E7">
        <w:trPr>
          <w:trHeight w:val="900"/>
        </w:trPr>
        <w:tc>
          <w:tcPr>
            <w:tcW w:w="1137" w:type="pct"/>
            <w:tcMar>
              <w:top w:w="30" w:type="dxa"/>
              <w:left w:w="45" w:type="dxa"/>
              <w:bottom w:w="30" w:type="dxa"/>
              <w:right w:w="45" w:type="dxa"/>
            </w:tcMar>
            <w:vAlign w:val="center"/>
          </w:tcPr>
          <w:p w14:paraId="122B51E4" w14:textId="77777777" w:rsidR="005E3EA4" w:rsidRPr="001F49E7" w:rsidRDefault="005E3EA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Lesani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bDEAp75C","properties":{"unsorted":false,"formattedCitation":"(30)","plainCitation":"(30)","noteIndex":0},"citationItems":[{"id":236,"uris":["http://zotero.org/users/local/SBvLfXY8/items/P7HF2TI5"],"itemData":{"id":236,"type":"article-journal","abstract":"Chrono-nutrition is an emerging field that examines how the frequency and timing of meals impact health. Previous research shows inconsistency in the relationship  between chrono-nutritional components and cardiometabolic health. We investigated  cross-sectional associations between these components and cardiometabolic health  in 825 Iranian adults aged 20-59 years. Dietary data, including the number of  eating occasions, meal timing and meal irregularity of energy intake, were  collected using three 24-h dietary recalls. Anthropometric measurements, blood  pressure and laboratory tests (fasting plasma glucose, lipid profile, insulin,  uric acid and C-reactive protein) were conducted. Insulin resistance and  sensitivity (homeostatic model assessment for insulin resistance, homeostatic  model assessment for insulin sensitivity), the TAG-glucose, the lipid  accommodation product and BMI were calculated. The demographic and  morning-evening questionnaire was completed. General linear regression was used  to assess associations between chrono-nutritional components and outcomes.  Interactions with age and BMI were examined in all associations. Chrono-nutrition  components were not significantly related to cardiometabolic risk factors in the  total population. However, a lower number of eating occasions was associated with  an increased LDL-cholesterol:HDL-cholesterol ratio (β (95 % CI): 0·26 (0·06,  0·48)) among overweight and obese participants. Additionally, less irregularity  in breakfast energy intake was associated with a lower total  cholesterol:HDL-cholesterol ratio (-0·37 (-0·95, -0·18)) and a lower  LDL-cholesterol:HDL-cholesterol ratio (-0·32 (-0·79, -0·13)) among participants  with a normal BMI (all P&lt; 0·05). The study concluded that more frequent meals and  regular energy intake might enhance cardiometabolic health cross-sectionally,  highlighting the need for prospective studies to further investigate these  associations and the mediating role of BMI.","container-title":"The British journal of nutrition","DOI":"10.1017/S0007114524002745","ISSN":"1475-2662 0007-1145","issue":"1","journalAbbreviation":"Br J Nutr","language":"eng","license":"© The Author(s), 2024. Published by Cambridge University Press on behalf of The Nutrition Society","page":"94-106","PMID":"39562331","publisher-place":"England","title":"Association of chrono-nutrition components with cardiometabolic health in a sample of Iranian adults: a cross-sectional study.","volume":"133","author":[{"family":"Lesani","given":"Azadeh"},{"family":"Zeraattalab-Motlagh","given":"Sheida"},{"family":"Djafarian","given":"Kurosh"},{"family":"Majdi","given":"Maryam"},{"family":"Akbarzade","given":"Zahra"},{"family":"Shab-Bidar","given":"Sakineh"}],"issued":{"date-parts":[["2025",1,14]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(30)</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201EDE47" w14:textId="77777777" w:rsidR="005E3EA4" w:rsidRPr="001F49E7" w:rsidRDefault="005E3EA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0FC5F8E9" w14:textId="59981EB4" w:rsidR="005E3EA4" w:rsidRPr="001F49E7" w:rsidRDefault="005E3EA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38EAC40F" w14:textId="3BDEC093" w:rsidR="005E3EA4" w:rsidRPr="001F49E7" w:rsidRDefault="005E3EA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6233CEA1" w14:textId="576E147B" w:rsidR="005E3EA4" w:rsidRPr="001F49E7" w:rsidRDefault="005E3EA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766E72" w:rsidRPr="001F49E7" w14:paraId="377CDC69" w14:textId="13B5DDCE" w:rsidTr="001F49E7">
        <w:trPr>
          <w:trHeight w:val="900"/>
        </w:trPr>
        <w:tc>
          <w:tcPr>
            <w:tcW w:w="1137" w:type="pct"/>
            <w:tcMar>
              <w:top w:w="30" w:type="dxa"/>
              <w:left w:w="45" w:type="dxa"/>
              <w:bottom w:w="30" w:type="dxa"/>
              <w:right w:w="45" w:type="dxa"/>
            </w:tcMar>
            <w:vAlign w:val="center"/>
          </w:tcPr>
          <w:p w14:paraId="2EC3F04E"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 Kazemi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Nwr7ZLxD","properties":{"unsorted":false,"formattedCitation":"(31)","plainCitation":"(31)","noteIndex":0},"citationItems":[{"id":231,"uris":["http://zotero.org/users/local/SBvLfXY8/items/HVNEBG9H"],"itemData":{"id":231,"type":"article-journal","abstract":"BACKGROUND: Cardiovascular health (CVH) is a critical public health concern, with notable biological sex disparities impacting health outcomes. This study  evaluates CVH status using the Life’s Essential 8 (LE8) metric among an employee  of a government office of men and women in Birjand, Iran. METHODS: A  cross-sectional study design was employed to assess CVH among employee of a  government office in Birjand, Iran, from July 23 to September 27, 2023.  Demographic information and the eight health factors were collected using  standardized methods. The LE8 metric encompasses four health behaviors (smoking  status, physical activity, diet, and sleep) and four health factors (body mass  index, blood glucose levels, blood lipid levels, and blood pressure). Data were  entered into SPSS, and analyses were conducted at a significance level of  P</w:instrText>
            </w:r>
            <w:r w:rsidRPr="001F49E7">
              <w:rPr>
                <w:rFonts w:ascii="Arial" w:eastAsia="Times New Roman" w:hAnsi="Arial" w:cs="Arial"/>
                <w:kern w:val="0"/>
                <w:sz w:val="16"/>
                <w:szCs w:val="16"/>
                <w14:ligatures w14:val="none"/>
              </w:rPr>
              <w:instrText> </w:instrText>
            </w:r>
            <w:r w:rsidRPr="001F49E7">
              <w:rPr>
                <w:rFonts w:ascii="Aptos" w:eastAsia="Times New Roman" w:hAnsi="Aptos" w:cs="Aptos"/>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0.05 to compare LE8 scores and associated cardiovascular risk factors between  biological sex. Data analysis was conducted using SPSS version 20. RESULTS: Of  the total 319 individuals enrolled in the study, 251 (78.7%) were male and 68  (21.3%) were female. About 98.1% of the participants scored below the ideal CVH  status, with significant biological sex differences observed. Women exhibited  higher mean scores than men across most components of LE8, except for body mass  index and physical activity. Women had more favorable levels of non-HDL  cholesterol, blood pressure, blood glucose, and smoking prevalence, resulting in  mean LE8 scores of 64.27 for women and 59 for men. CONCLUSION: The study’s  results indicated that less than 2% of the participants had an ideal  cardiovascular health status. Most components of the 8 CVH factors were found to  be in worse condition in men than in women. These findings highlight the critical  necessity for focused, gender-sensitive interventions and strategic health  planning aimed at enhancing cardiovascular health among both Iranian women and  men. Therefore, further research in larger, more diverse populations is essential  to address this pressing issue effectively. SUPPLEMENTARY INFORMATION: The online  version contains supplementary material available at 10.1186/s12872-025-05201-w.","container-title":"BMC cardiovascular disorders","DOI":"10.1186/s12872-025-05201-w","ISSN":"1471-2261","issue":"1","journalAbbreviation":"BMC Cardiovasc Disord","language":"eng","page":"170","PMID":"41593512","PMCID":"PMC12918101","publisher-place":"England","title":"Cardiovascular health metrics among an Iranian population: insights from life's essential 8.","volume":"26","author":[{"family":"Kazemi","given":"Toba"},{"family":"Jafarizadeh","given":"Razie"},{"family":"Bizhaem","given":"Saeede Khosravi"},{"family":"Bijari","given":"Bita"},{"family":"Karbasi","given":"Samira"}],"issued":{"date-parts":[["2026",1,27]]}}}],"schema":"https://github.com/citation-style-language/schema/raw/master/csl-citation.json"}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(31)</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034852A6"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4233A3E" w14:textId="3B7ABAA3"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185342A" w14:textId="6E56C1AC"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05889D17" w14:textId="785A8908"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2A68AF" w:rsidRPr="001F49E7" w14:paraId="0F414C8D" w14:textId="115E8B51" w:rsidTr="001F49E7">
        <w:trPr>
          <w:trHeight w:val="900"/>
        </w:trPr>
        <w:tc>
          <w:tcPr>
            <w:tcW w:w="1137" w:type="pct"/>
            <w:tcMar>
              <w:top w:w="30" w:type="dxa"/>
              <w:left w:w="45" w:type="dxa"/>
              <w:bottom w:w="30" w:type="dxa"/>
              <w:right w:w="45" w:type="dxa"/>
            </w:tcMar>
            <w:vAlign w:val="center"/>
          </w:tcPr>
          <w:p w14:paraId="4C207878" w14:textId="77777777" w:rsidR="002A68AF" w:rsidRPr="001F49E7" w:rsidRDefault="002A68A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Jabbari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{"citationID":"xeB8IBPC","properties":{"unsorted":false,"formattedCitation":"(32)","plainCitation":"(32)","noteIndex":0},"citationItems":[{"id":240,"uris":["http://zotero.org/users/local/SBvLfXY8/items/5JT32MG3"],"itemData":{"id":240,"type":"article-journal","abstract":"Optimal sleep, as a vital part of life, has significant impacts on various aspects of social health. Dietary intake, particularly through its influence on oxidative stress and inflammation, is a crucial modifiable factor for sleep health. Given the high prevalence of sleep disorders in the Iranian population, we investigated the association of the intake of legumes and nuts with their sleep quality and quantity and inflammation and oxidative stress levels. Our cross-sectional study comprised 535 participants (46% female, aged 20–65 years), selected via a multistage cluster random sampling approach. Their dietary intake was evaluated using a validated food frequency questionnaire. Sleep metrics were assessed through the Pittsburgh Sleep Quality Index. Fasting blood samples were gathered to assess the levels of oxidative stress and inflammation biomarkers. Our analyses revealed significant negative relations between the consumption of legumes and nuts and the odds of short sleep (fully adjusted OR = 0.56, 95% CI: 0.33–0.94) and poor sleep quality (fully adjusted OR = 0.51, 95% CI: 0.31–0.85); these associations were in a dose–response manner and more pronounced in females. Moreover, a U-shaped association was observed between glutathione peroxidase levels and the odds of poor sleep quality. These findings highlighted the significant association of enhancing the consumption of legumes and nuts with sleep quality and quantity improvement among Iranian adults.","container-title":"Food Funct.","DOI":"10.1039/D5FO04053A","issue":"4","page":"2081-2093","publisher":"The Royal Society of Chemistry","title":"Legumes and nuts intake in relation to sleep duration and quality, oxidative stress and inflammation in Iranian adults","volume":"17","author":[{"family":"Jabbari","given":"Maedeh"},{"family":"Poursalehi","given":"Donya"},{"family":"Moradmand","given":"Zahra"},{"family":"Rashki","given":"Alireza"},{"family":"Shahdadian","given":"Farnaz"},{"family":"Rouhani","given":"Parisa"},{"family":"Saneei","given":"Parvane"}],"issued":{"date-parts":[["2026"]]}}}],"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(32)</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4D671F9E" w14:textId="77777777" w:rsidR="002A68AF" w:rsidRPr="001F49E7" w:rsidRDefault="002A68A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EDFF991" w14:textId="5054A582" w:rsidR="002A68AF" w:rsidRPr="001F49E7" w:rsidRDefault="002A68A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21762A30" w14:textId="5A5E41DE" w:rsidR="002A68AF" w:rsidRPr="001F49E7" w:rsidRDefault="002A68A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2C1EF9C7" w14:textId="5FDBF358" w:rsidR="002A68AF" w:rsidRPr="001F49E7" w:rsidRDefault="002A68AF"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371AC4" w:rsidRPr="001F49E7" w14:paraId="3B34CD75" w14:textId="495D1EDF" w:rsidTr="001F49E7">
        <w:trPr>
          <w:trHeight w:val="900"/>
        </w:trPr>
        <w:tc>
          <w:tcPr>
            <w:tcW w:w="1137" w:type="pct"/>
            <w:tcMar>
              <w:top w:w="30" w:type="dxa"/>
              <w:left w:w="45" w:type="dxa"/>
              <w:bottom w:w="30" w:type="dxa"/>
              <w:right w:w="45" w:type="dxa"/>
            </w:tcMar>
            <w:vAlign w:val="center"/>
          </w:tcPr>
          <w:p w14:paraId="57227EC9" w14:textId="77777777" w:rsidR="00371AC4" w:rsidRPr="001F49E7" w:rsidRDefault="00371AC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Jabbarzadeh-Ganjeh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{"citationID":"MxnGhCz7","properties":{"unsorted":false,"formattedCitation":"(33)","plainCitation":"(33)","noteIndex":0},"citationItems":[{"id":238,"uris":["http://zotero.org/users/local/SBvLfXY8/items/3EQKQU27"],"itemData":{"id":238,"type":"article-journal","abstract":"We aimed to investigate the association of chrono-nutrition components with anthropometric measures and body composition in adults living in Tehran. This  cross-sectional study was conducted on 450 healthy adults. The exposures of the  study were meal frequency, meal timing, meal irregularity, breakfast skipping,  night fasting duration, time of the first and last eating occasion and the time  interval from the last meal to bed. The outcomes were BMI, waist circumference,  neck circumference (NC), waist:hip ratio, waist:height ratio (WHtR), body  adiposity index (BAI), body roundness index (BRI), a body shape index, percentage  of body fat (PBF), fat mass (FM), fat-free mass and muscle mass. Bonferroni  correction was applied, and the significance level was less than 0·004. Using  ANCOVA, after adjusting for confounders, late lunch eating was associated with a  lower PBF. There was a positive trend across the tertiles of dinner time with  greater WHtR (mean difference = 0·019; P(trend) = 0·025) and BRI (mean difference  = 0·24; P(trend) = 0·022). Moreover, increased irregularity at dinner time was  associated with higher levels of PBF (P(trend) = 0·026) and FM (P(trend) =  0·025). Also, longer overnight fasting was associated with lower NC (P(trend) =  0·049) and a greater BRI (P(trend) = 0·050). We found differences across the time  interval from the last meal to bed with greater means of BAI (P(trend) = 0·026),  PBF (P(trend) = 0·014) and FM (P(trend) = 0·020). However, after applying the  Bonferroni correction, we found no significant association between  chrono-nutrition components and anthropometric measures and body composition in  adults living in Tehran. Further studies are necessary to confirm the results.","container-title":"The British journal of nutrition","DOI":"10.1017/S0007114525105047","ISSN":"1475-2662 0007-1145","issue":"3","journalAbbreviation":"Br J Nutr","language":"eng","page":"335-348","PMID":"41347499","publisher-place":"England","title":"Association of chrono-nutrition components with anthropometric measures and body composition in adults living in Tehran.","volume":"135","author":[{"family":"Jabbarzadeh-Ganjeh","given":"Bahareh"},{"family":"Mirrafiei","given":"Amin"},{"family":"Norouziasl","given":"Reyhane"},{"family":"Ghaemi","given":"Shadi"},{"family":"Bafkar","given":"Negar"},{"family":"Firouzi","given":"Mahsa"},{"family":"Tijani Jibril","given":"Aliyu"},{"family":"Djafarian","given":"Kurosh"},{"family":"Bahrami","given":"Alireza"},{"family":"Shab-Bidar","given":"Sakineh"}],"issued":{"date-parts":[["2026",2,14]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(33)</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3D55F3DD" w14:textId="77777777" w:rsidR="00371AC4" w:rsidRPr="001F49E7" w:rsidRDefault="00371AC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4C87F35" w14:textId="4EF5DB47" w:rsidR="00371AC4" w:rsidRPr="001F49E7" w:rsidRDefault="00371AC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0AC4E122" w14:textId="48EA1DCA" w:rsidR="00371AC4" w:rsidRPr="001F49E7" w:rsidRDefault="00371AC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15CE4338" w14:textId="18C6B355" w:rsidR="00371AC4" w:rsidRPr="001F49E7" w:rsidRDefault="00371AC4"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766E72" w:rsidRPr="001F49E7" w14:paraId="0516BDAB" w14:textId="15E92CC4" w:rsidTr="001F49E7">
        <w:trPr>
          <w:trHeight w:val="900"/>
        </w:trPr>
        <w:tc>
          <w:tcPr>
            <w:tcW w:w="1137" w:type="pct"/>
            <w:tcMar>
              <w:top w:w="30" w:type="dxa"/>
              <w:left w:w="45" w:type="dxa"/>
              <w:bottom w:w="30" w:type="dxa"/>
              <w:right w:w="45" w:type="dxa"/>
            </w:tcMar>
            <w:vAlign w:val="center"/>
            <w:hideMark/>
          </w:tcPr>
          <w:p w14:paraId="2BF941AE" w14:textId="39FE8248"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F. Mostafavi 2019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8tO9rq9F","properties":{"unsorted":false,"formattedCitation":"(34)","plainCitation":"(34)","noteIndex":0},"citationItems":[{"id":203,"uris":["http://zotero.org/users/local/SBvLfXY8/items/VJZ4DFM2"],"itemData":{"id":203,"type":"article-journal","abstract":"BACKGROUND: Low physical activity (PA) is increasing public health problem. The present study aimed to determine socioeconomic inequality in PA among children aged 10-12 years old in Kurdistan, west of Iran in 2015.\nMETHODS: The present cross-sectional study was conducted on 2506 children aged 10-12 in Sanandaj, Iran, in 2015. Data on the children's level of PA were collected using the Modifiable Activity Questionnaire. The concentration index was used to measure inequality and the Oaxaca decomposition to examine the different determinants of the inequality. The data were analyzed in Stata 13 and SPSS 20.\nRESULTS: Of the 2506 participants, 40.90% (38.97-42.82) had insufficient PA. Girls had a lower level of PA than boys (odds ratio [OR] = 0.34; 95% confidence intervals [CI]: 0.28-0.41) and it is directly related to maternal education (OR = 1.71; 95% CI: 1.18-2.47), the family's Socioeconomic status (SES) (OR = 2.18; 95% CI: 1.56-3.05), and the place of residence (OR = 1.68; 95% CI: 1.16-2.44). The concentration index for insufficient PA was -0.25 (95 CI: -0.30 to -0.21), revealing an insufficient PA in the group with a low SES. The prevalence of insufficient PA is 51.38% (95% CI: 48.45-54.31) in poor group and 28.40% (95% CI: 22.80-33.99) in the wealthier group. The Oaxaca decomposition showed maternal education and the place of residence was the most important determinants of inequality.\nCONCLUSIONS: According to the findings, most of the children especially in the poor groups didn't have sufficient PA and socioeconomic factors could have the important role.","container-title":"International Journal of Preventive Medicine","DOI":"10.4103/ijpvm.IJPVM_222_17","ISSN":"2008-7802","journalAbbreviation":"Int J Prev Med","language":"eng","page":"83","PMID":"31198518","PMCID":"PMC6547781","source":"PubMed","title":"Using Oaxaca Decomposition to Study Socioeconomic Inequity of Physical Activity among Children Aged 10-12 Years: A Study in West of Iran","title-short":"Using Oaxaca Decomposition to Study Socioeconomic Inequity of Physical Activity among Children Aged 10-12 Years","volume":"10","author":[{"family":"Mostafavi","given":"Farideh"},{"family":"Moradi","given":"Ghobad"},{"family":"Azadi","given":"Namamali"},{"family":"Esmaeilnasab","given":"Nader"},{"family":"Roshani","given":"Daem"}],"issued":{"date-parts":[["2019"]]}}}],"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(34)</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4723A826"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7B050EF" w14:textId="3163EE86"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021DAB02" w14:textId="464A3968"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78FF250F" w14:textId="19DA7D4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r w:rsidR="00766E72" w:rsidRPr="001F49E7" w14:paraId="540C1FD5" w14:textId="65603E3E" w:rsidTr="001F49E7">
        <w:trPr>
          <w:trHeight w:val="900"/>
        </w:trPr>
        <w:tc>
          <w:tcPr>
            <w:tcW w:w="1137" w:type="pct"/>
            <w:tcMar>
              <w:top w:w="30" w:type="dxa"/>
              <w:left w:w="45" w:type="dxa"/>
              <w:bottom w:w="30" w:type="dxa"/>
              <w:right w:w="45" w:type="dxa"/>
            </w:tcMar>
            <w:vAlign w:val="center"/>
            <w:hideMark/>
          </w:tcPr>
          <w:p w14:paraId="547704D7" w14:textId="694E208D"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G. Moradi 2020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siqnNDw1","properties":{"unsorted":false,"formattedCitation":"(35)","plainCitation":"(35)","noteIndex":0},"citationItems":[{"id":206,"uris":["http://zotero.org/users/local/SBvLfXY8/items/IWP5UYP6"],"itemData":{"id":206,"type":"article-journal","abstract":"BACKGROUND: This study aims to determine the prevalence of physical inactivity in Iranian adolescents aged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and the impact of socioeconomic inequality on it.\nMETHODS: In this descriptive study, the study population consisted of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old adolescents from an Iranian population from Kurdistan, Fars and Markazi provinces in 2018. The sample size was 1590 individuals. The sampling method was cluster sampling. Data was collected using demographic questionnaire, modifiable activity questionnaire (MAQ) and socioeconomic questionnaire. Cut points on the MAQ for light activity, moderate activity and heavy activity were MET&lt;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 MET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3-6 and MET&gt;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6, respectively. Linear and logistic regression were used to estimate the final model and the Oaxaca analysis method was applied. All analyses were performed in Stata/SE 14.0.\nRESULTS: Of the 1590 participants, 52.82% were male. The results showed that 25.79% of the subjects were physically inactive and 7.30% engaged in moderate physical activity during the week. The average physical activity during 1 week was more in boys than in girls (P-value&lt;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 xml:space="preserve">0.05). Adolescents of mothers with secondary and high school education were more likely to have physical inactivity than mothers with a high school diploma or higher (AOR: 1.35, 95% CI: 1.02-1.77). The concentration index was -.11, indicating a greater concentration of physical inactivity in adolescents with low socioeconomic levels.\nCONCLUSION: One-fourth of the study population had physical inactivity in this age group. Socioeconomic levels, parental literacy, and sex of adolescents were associated with the level of physical activity.","container-title":"BMC public health","DOI":"10.1186/s12889-020-09618-0","ISSN":"1471-2458","issue":"1","journalAbbreviation":"BMC Public Health","language":"eng","page":"1499","PMID":"33008338","PMCID":"PMC7532599","source":"PubMed","title":"The prevalence of physical inactivity in Iranian adolescents and the impact of economic and social inequalities on it: results of a National Study in 2018","title-short":"The prevalence of physical inactivity in Iranian adolescents and the impact of economic and social inequalities on it","volume":"20","author":[{"family":"Moradi","given":"Ghobad"},{"family":"Mostafavi","given":"Farideh"},{"family":"Piroozi","given":"Bakhtiar"},{"family":"Zareie","given":"Bushra"},{"family":"Mahboobi","given":"Marzieh"},{"family":"Rasouli","given":"Mohammad Aziz"}],"issued":{"date-parts":[["2020",10,2]]}}}],"schema":"https://github.com/citation-style-language/schema/raw/master/csl-citation.json"}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(35)</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552655FA"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05D98112" w14:textId="1C927AAD"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04395441" w14:textId="15249F62"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2AA39FF4" w14:textId="6E04C583"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766E72" w:rsidRPr="001F49E7" w14:paraId="60C9468C" w14:textId="28524FBA" w:rsidTr="001F49E7">
        <w:trPr>
          <w:trHeight w:val="900"/>
        </w:trPr>
        <w:tc>
          <w:tcPr>
            <w:tcW w:w="1137" w:type="pct"/>
            <w:tcMar>
              <w:top w:w="30" w:type="dxa"/>
              <w:left w:w="45" w:type="dxa"/>
              <w:bottom w:w="30" w:type="dxa"/>
              <w:right w:w="45" w:type="dxa"/>
            </w:tcMar>
            <w:vAlign w:val="center"/>
          </w:tcPr>
          <w:p w14:paraId="702E0C30"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P. Amiri 2020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{"citationID":"RiACsJci","properties":{"unsorted":false,"formattedCitation":"(36)","plainCitation":"(36)","noteIndex":0},"citationItems":[{"id":235,"uris":["http://zotero.org/users/local/SBvLfXY8/items/MQUG2HJ9"],"itemData":{"id":235,"type":"article-journal","abstract":"It is well documented that physical inactivity is related to weight gain and a whole host of chronic diseases. This study investigated trends of low physical  activity among Iranian adolescents in urban and rural areas between 2006-2011. A  total of 12,178 adolescents, aged between 15 and 19 years, participated in  National Surveys of Risk Factors for Non-Communicable Diseases. Data on physical  activity was obtained using the global physical activity questionnaire. A complex  sample survey and multinomial logistic regression were used to model physical  activity levels. The percentage of adolescents who had low levels of physical  activity increased from 2006 to 2011 in both urban and rural areas. Low and  moderate levels of physical activity were lower in rural girls as compared with  urban girls, with a prevalence ratio of 0.59 (95% CI 0.47-0.74) and 0.59 (95% CI  0.47-0.74), respectively. The corresponding values for boys residing in rural  areas compared with boys in urban areas were 0.56 (95% CI 0.43-0.75) and 0.60  (95% CI 0.48-0.74), respectively. The adolescents' lifestyles showed an  increasing trend for physical inactivity in both genders; however, in rural  areas, only girls had a rising affinity for a sedentary lifestyle throughout the  2006-2011 years.","container-title":"Scientific reports","DOI":"10.1038/s41598-020-78048-0","ISSN":"2045-2322","issue":"1","journalAbbreviation":"Sci Rep","language":"eng","page":"21318","PMID":"33288806","PMCID":"PMC7721745","publisher-place":"England","title":"Trends of low physical activity among Iranian adolescents across urban and rural areas during 2006-2011.","volume":"10","author":[{"family":"Amiri","given":"Parisa"},{"family":"Naseri","given":"Parisa"},{"family":"Vahedi-Notash","given":"Golnaz"},{"family":"Jalali-Farahani","given":"Sara"},{"family":"Mehrabi","given":"Yadollah"},{"family":"Hamzavi-Zarghani","given":"Najmeh"},{"family":"Azizi","given":"Fereidoun"},{"family":"Hadaegh","given":"Farzad"},{"family":"Khalili","given":"Davood"}],"issued":{"date-parts":[["2020",12,7]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(36)</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7466451F"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BCA8D03" w14:textId="3DD3F0EF"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54909AD5" w14:textId="06CEE801"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38116BB8" w14:textId="481A1FAF"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766E72" w:rsidRPr="001F49E7" w14:paraId="3278B2CE" w14:textId="06534FF1" w:rsidTr="001F49E7">
        <w:trPr>
          <w:trHeight w:val="900"/>
        </w:trPr>
        <w:tc>
          <w:tcPr>
            <w:tcW w:w="1137" w:type="pct"/>
            <w:tcMar>
              <w:top w:w="30" w:type="dxa"/>
              <w:left w:w="45" w:type="dxa"/>
              <w:bottom w:w="30" w:type="dxa"/>
              <w:right w:w="45" w:type="dxa"/>
            </w:tcMar>
            <w:vAlign w:val="center"/>
            <w:hideMark/>
          </w:tcPr>
          <w:p w14:paraId="75E4D577" w14:textId="2F0FBC12"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Marzban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iu11cchN","properties":{"unsorted":false,"formattedCitation":"(37)","plainCitation":"(37)","noteIndex":0},"citationItems":[{"id":103,"uris":["http://zotero.org/users/local/SBvLfXY8/items/VFXK5J4A"],"itemData":{"id":103,"type":"article-journal","abstract":"Multimorbidity, defined as the presence of two or more long-term health conditions in an individual, is one of the most significant challenges facing health systems worldwide. This study aimed to identify determinants of classes of multimorbidity among older adults in Iran.","container-title":"BMC Geriatrics","DOI":"10.1186/s12877-024-04848-y","ISSN":"1471-2318","issue":"1","journalAbbreviation":"BMC Geriatrics","page":"247","source":"BioMed Central","title":"Determinants of multimorbidity in older adults in Iran: a cross-sectional study using latent class analysis on the Bushehr Elderly Health (BEH) program","title-short":"Determinants of multimorbidity in older adults in Iran","volume":"24","author":[{"family":"Marzban","given":"Maryam"},{"family":"Jamshidi","given":"Ali"},{"family":"Khorrami","given":"Zahra"},{"family":"Hall","given":"Marlous"},{"family":"Batty","given":"Jonathan A."},{"family":"Farhadi","given":"Akram"},{"family":"Mahmudpour","given":"Mehdi"},{"family":"Gholizade","given":"Mohamad"},{"family":"Nabipour","given":"Iraj"},{"family":"Larijani","given":"Bagher"},{"family":"Afrashteh","given":"Sima"}],"issued":{"date-parts":[["2024",3,11]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(37)</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hideMark/>
          </w:tcPr>
          <w:p w14:paraId="73B04B1A"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648C6090" w14:textId="553BF468"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78616A3F" w14:textId="781C0CCC"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and current random sample surveys (or censuses)</w:t>
            </w:r>
          </w:p>
        </w:tc>
        <w:tc>
          <w:tcPr>
            <w:tcW w:w="717" w:type="pct"/>
            <w:vAlign w:val="center"/>
          </w:tcPr>
          <w:p w14:paraId="0BF61373" w14:textId="4E0769CC"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w:t>
            </w:r>
          </w:p>
        </w:tc>
      </w:tr>
      <w:tr w:rsidR="00766E72" w:rsidRPr="001F49E7" w14:paraId="46575450" w14:textId="26E7770F" w:rsidTr="001F49E7">
        <w:trPr>
          <w:trHeight w:val="900"/>
        </w:trPr>
        <w:tc>
          <w:tcPr>
            <w:tcW w:w="1137" w:type="pct"/>
            <w:tcMar>
              <w:top w:w="30" w:type="dxa"/>
              <w:left w:w="45" w:type="dxa"/>
              <w:bottom w:w="30" w:type="dxa"/>
              <w:right w:w="45" w:type="dxa"/>
            </w:tcMar>
            <w:vAlign w:val="center"/>
          </w:tcPr>
          <w:p w14:paraId="5B70453A"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J. Hallajzadeh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{"citationID":"GOkXZmtq","properties":{"unsorted":false,"formattedCitation":"(38)","plainCitation":"(38)","noteIndex":0},"citationItems":[{"id":232,"uris":["http://zotero.org/users/local/SBvLfXY8/items/CUMWN2AA"],"itemData":{"id":232,"type":"article-journal","abstract":"AIM: A community-based cross-sectional study was conducted to explore the association between Ultra-Processed Foods (UPFs) intake and the risk of frailty  among community-dwelling older adults. METHODS: The current study was conducted  on 368 community-dwelling older adults (with a mean age of 67.11</w:instrText>
            </w:r>
            <w:r w:rsidRPr="001F49E7">
              <w:rPr>
                <w:rFonts w:ascii="Arial" w:eastAsia="Times New Roman" w:hAnsi="Arial" w:cs="Arial"/>
                <w:kern w:val="0"/>
                <w:sz w:val="16"/>
                <w:szCs w:val="16"/>
                <w14:ligatures w14:val="none"/>
              </w:rPr>
              <w:instrText> </w:instrText>
            </w:r>
            <w:r w:rsidRPr="001F49E7">
              <w:rPr>
                <w:rFonts w:ascii="Aptos" w:eastAsia="Times New Roman" w:hAnsi="Aptos" w:cs="Aptos"/>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6.21 years, of  whom 55.2% were women) at health centers of Maragheh city in Iran. Body  composition was measured by a body composition analyzer and physical activity by  the short-form physical activity questionnaire. The UPFs intake were determined  using NOVA classification, based on a self-administered 147-item  semi-quantitative FFQ. Blood samples were derived for the evaluation of blood  parameters. Raw and adjusted logistic regression models were used to examine the  relationship between UPFs intake tertiles and the risk of frailty. RESULTS:  Outcomes showed that the overall prevalence of frailty was 96 (26.1%). Results  from the multivariable adjusted logistic regression model indicated that higher  UPFs intake was significantly associated with higher odds of frailty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2.15,  95% CI: 1.13-4.09,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0.019). Subgroup analysis also indicated that among men,  higher UPF intake was significantly related to higher odds of frailty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3.55,  95% CI: 1.20-10.51,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0.022), but not for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0.05). Additionally, the  results revealed that higher UPF intake was significantly associated with the  risk of exhaustion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3.97, 95% CI: 1.89-8.34,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especially among  men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9.89, 95% CI: 3.10-31.60,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unlike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0.05). However,  there were no significant associations between UPFs intake and other components  of frailty, including the risk of weight loss, slowness, dominant hand grip  strength and low physical activity. CONCLUSIONS: The results highlighted that  higher UPFs intake was significantly associated with the risk of frailty and  exhaustion among community-dwelling older adults, especially for men. Future  large-scale prospective and interventional studies are warranted to validate  these associations and elucidate underlying biological mechanisms.","container-title":"Journal of health, population, and nutrition","DOI":"10.1186/s41043-025-01209-2","ISSN":"2072-1315 1606-0997","issue":"1","journalAbbreviation":"J Health Popul Nutr","language":"eng","license":"© 2025. The Author(s).","page":"30","PMID":"41449480","PMCID":"PMC12849376","publisher-place":"Bangladesh","title":"Association between ultra-processed foods intake and frailty risk in community-dwelling older adults.","volume":"45","author":[{"family":"Hallajzadeh","given":"Jamal"},{"family":"Yousefi Tanha","given":"Parasto"},{"family":"Azadnia","given":"Arian"},{"family":"Wong","given":"Alexei"},{"family":"Moradi","given":"Sajjad"}],"issued":{"date-parts":[["2025",12,25]]}}}],"schema":"https://github.com/citation-style-language/schema/raw/master/csl-citation.json"}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(38)</w:t>
            </w:r>
            <w:r w:rsidRPr="001F49E7">
              <w:rPr>
                <w:rFonts w:eastAsia="Times New Roman" w:cstheme="minorHAnsi"/>
                <w:kern w:val="0"/>
                <w:sz w:val="16"/>
                <w:szCs w:val="16"/>
                <w14:ligatures w14:val="none"/>
              </w:rPr>
              <w:fldChar w:fldCharType="end"/>
            </w:r>
          </w:p>
        </w:tc>
        <w:tc>
          <w:tcPr>
            <w:tcW w:w="769" w:type="pct"/>
            <w:tcMar>
              <w:top w:w="30" w:type="dxa"/>
              <w:left w:w="45" w:type="dxa"/>
              <w:bottom w:w="30" w:type="dxa"/>
              <w:right w:w="45" w:type="dxa"/>
            </w:tcMar>
            <w:vAlign w:val="center"/>
          </w:tcPr>
          <w:p w14:paraId="4FE630AD" w14:textId="77777777"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Cross-sectional</w:t>
            </w:r>
          </w:p>
        </w:tc>
        <w:tc>
          <w:tcPr>
            <w:tcW w:w="1038" w:type="pct"/>
            <w:tcMar>
              <w:top w:w="30" w:type="dxa"/>
              <w:left w:w="45" w:type="dxa"/>
              <w:bottom w:w="30" w:type="dxa"/>
              <w:right w:w="45" w:type="dxa"/>
            </w:tcMar>
            <w:vAlign w:val="center"/>
          </w:tcPr>
          <w:p w14:paraId="35FDD8EC" w14:textId="7825310C"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How common is the problem?</w:t>
            </w:r>
          </w:p>
        </w:tc>
        <w:tc>
          <w:tcPr>
            <w:tcW w:w="1339" w:type="pct"/>
            <w:tcMar>
              <w:top w:w="30" w:type="dxa"/>
              <w:left w:w="45" w:type="dxa"/>
              <w:bottom w:w="30" w:type="dxa"/>
              <w:right w:w="45" w:type="dxa"/>
            </w:tcMar>
            <w:vAlign w:val="center"/>
          </w:tcPr>
          <w:p w14:paraId="6677A4EE" w14:textId="45D7A0AE"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Local non-random sample</w:t>
            </w:r>
          </w:p>
        </w:tc>
        <w:tc>
          <w:tcPr>
            <w:tcW w:w="717" w:type="pct"/>
            <w:vAlign w:val="center"/>
          </w:tcPr>
          <w:p w14:paraId="2316D403" w14:textId="0D7286B0" w:rsidR="00766E72" w:rsidRPr="001F49E7" w:rsidRDefault="00766E72"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w:t>
            </w:r>
          </w:p>
        </w:tc>
      </w:tr>
    </w:tbl>
    <w:p w14:paraId="0C369E78" w14:textId="713E37D8" w:rsidR="00EB1F6B" w:rsidRPr="001F49E7" w:rsidRDefault="009212CB" w:rsidP="001F49E7">
      <w:pPr>
        <w:jc w:val="both"/>
      </w:pPr>
      <w:r w:rsidRPr="001F49E7">
        <w:rPr>
          <w:rFonts w:eastAsia="Times New Roman" w:cstheme="minorHAnsi"/>
          <w:color w:val="0E2841" w:themeColor="text2"/>
          <w:kern w:val="0"/>
          <w:sz w:val="16"/>
          <w:szCs w:val="16"/>
          <w14:ligatures w14:val="none"/>
        </w:rPr>
        <w:t>* Level may be graded down based on study quality, imprecision, indirectness, inconsistency between studies, or because the absolute effect size is very small; Level may be graded up if there is a large or very large effect size.</w:t>
      </w:r>
    </w:p>
    <w:p w14:paraId="11294F8E" w14:textId="77777777" w:rsidR="00EB1F6B" w:rsidRPr="001F49E7" w:rsidRDefault="00EB1F6B" w:rsidP="001F49E7"/>
    <w:p w14:paraId="2B419380" w14:textId="77777777" w:rsidR="00EB1F6B" w:rsidRPr="001F49E7" w:rsidRDefault="00EB1F6B" w:rsidP="001F49E7"/>
    <w:p w14:paraId="4249A14A" w14:textId="77777777" w:rsidR="00EB1F6B" w:rsidRPr="001F49E7" w:rsidRDefault="00EB1F6B" w:rsidP="001F49E7"/>
    <w:p w14:paraId="129D50B3" w14:textId="77777777" w:rsidR="00EB1F6B" w:rsidRPr="001F49E7" w:rsidRDefault="00EB1F6B" w:rsidP="001F49E7"/>
    <w:p w14:paraId="67B9E7AF" w14:textId="21CCE6CF" w:rsidR="002B0ADD" w:rsidRPr="001F49E7" w:rsidRDefault="002B0ADD" w:rsidP="001F49E7">
      <w:pPr>
        <w:pStyle w:val="Caption"/>
        <w:keepNext/>
      </w:pPr>
      <w:r w:rsidRPr="001F49E7">
        <w:lastRenderedPageBreak/>
        <w:t xml:space="preserve">Table </w:t>
      </w:r>
      <w:r w:rsidR="00F40F16" w:rsidRPr="001F49E7">
        <w:t>S</w:t>
      </w:r>
      <w:r w:rsidR="008E1AD3" w:rsidRPr="001F49E7">
        <w:t>2</w:t>
      </w:r>
      <w:r w:rsidRPr="001F49E7">
        <w:t>- Demographic characteristics of participants in the included studies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2174"/>
        <w:gridCol w:w="1776"/>
        <w:gridCol w:w="1991"/>
        <w:gridCol w:w="2568"/>
        <w:gridCol w:w="1380"/>
        <w:gridCol w:w="1476"/>
        <w:gridCol w:w="1579"/>
      </w:tblGrid>
      <w:tr w:rsidR="007911AE" w:rsidRPr="001F49E7" w14:paraId="6200303A" w14:textId="77777777" w:rsidTr="001F49E7">
        <w:trPr>
          <w:trHeight w:val="1474"/>
        </w:trPr>
        <w:tc>
          <w:tcPr>
            <w:tcW w:w="840" w:type="pct"/>
            <w:tcMar>
              <w:top w:w="30" w:type="dxa"/>
              <w:left w:w="45" w:type="dxa"/>
              <w:bottom w:w="30" w:type="dxa"/>
              <w:right w:w="45" w:type="dxa"/>
            </w:tcMar>
            <w:vAlign w:val="center"/>
            <w:hideMark/>
          </w:tcPr>
          <w:p w14:paraId="574DD625" w14:textId="77777777"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Author &amp; Year</w:t>
            </w:r>
          </w:p>
        </w:tc>
        <w:tc>
          <w:tcPr>
            <w:tcW w:w="686" w:type="pct"/>
            <w:vAlign w:val="center"/>
          </w:tcPr>
          <w:p w14:paraId="601D33C3" w14:textId="77777777"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Region</w:t>
            </w:r>
          </w:p>
        </w:tc>
        <w:tc>
          <w:tcPr>
            <w:tcW w:w="769" w:type="pct"/>
            <w:vAlign w:val="center"/>
          </w:tcPr>
          <w:p w14:paraId="443C189D" w14:textId="28366996"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Age range (years)</w:t>
            </w:r>
          </w:p>
        </w:tc>
        <w:tc>
          <w:tcPr>
            <w:tcW w:w="992" w:type="pct"/>
            <w:vAlign w:val="center"/>
          </w:tcPr>
          <w:p w14:paraId="508929A8" w14:textId="0A0B36C9"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Inclusion and exclusion criteria</w:t>
            </w:r>
          </w:p>
        </w:tc>
        <w:tc>
          <w:tcPr>
            <w:tcW w:w="533" w:type="pct"/>
            <w:vAlign w:val="center"/>
          </w:tcPr>
          <w:p w14:paraId="390FFE14" w14:textId="77777777" w:rsidR="007911AE" w:rsidRPr="001F49E7" w:rsidRDefault="007911AE" w:rsidP="001F49E7">
            <w:pPr>
              <w:spacing w:after="0" w:line="240" w:lineRule="auto"/>
              <w:jc w:val="center"/>
              <w:rPr>
                <w:rFonts w:eastAsia="Times New Roman"/>
                <w:b/>
                <w:bCs/>
                <w:kern w:val="0"/>
                <w:sz w:val="18"/>
                <w:szCs w:val="18"/>
                <w14:ligatures w14:val="none"/>
              </w:rPr>
            </w:pPr>
            <w:r w:rsidRPr="001F49E7">
              <w:rPr>
                <w:rFonts w:eastAsia="Times New Roman"/>
                <w:b/>
                <w:bCs/>
                <w:kern w:val="0"/>
                <w:sz w:val="18"/>
                <w:szCs w:val="18"/>
                <w14:ligatures w14:val="none"/>
              </w:rPr>
              <w:t>Study population</w:t>
            </w:r>
          </w:p>
        </w:tc>
        <w:tc>
          <w:tcPr>
            <w:tcW w:w="570" w:type="pct"/>
            <w:vAlign w:val="center"/>
          </w:tcPr>
          <w:p w14:paraId="35931C42" w14:textId="77777777"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Age (year)</w:t>
            </w:r>
          </w:p>
        </w:tc>
        <w:tc>
          <w:tcPr>
            <w:tcW w:w="610" w:type="pct"/>
            <w:vAlign w:val="center"/>
          </w:tcPr>
          <w:p w14:paraId="67AFE565" w14:textId="77777777"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Female%</w:t>
            </w:r>
          </w:p>
        </w:tc>
      </w:tr>
      <w:tr w:rsidR="007911AE" w:rsidRPr="001F49E7" w14:paraId="48ED043B" w14:textId="77777777" w:rsidTr="001F49E7">
        <w:trPr>
          <w:trHeight w:val="297"/>
        </w:trPr>
        <w:tc>
          <w:tcPr>
            <w:tcW w:w="5000" w:type="pct"/>
            <w:gridSpan w:val="7"/>
            <w:tcMar>
              <w:top w:w="30" w:type="dxa"/>
              <w:left w:w="45" w:type="dxa"/>
              <w:bottom w:w="30" w:type="dxa"/>
              <w:right w:w="45" w:type="dxa"/>
            </w:tcMar>
            <w:vAlign w:val="center"/>
          </w:tcPr>
          <w:p w14:paraId="1CE99B06" w14:textId="51CBEE8A" w:rsidR="007911AE" w:rsidRPr="001F49E7" w:rsidRDefault="007911AE"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Adults</w:t>
            </w:r>
          </w:p>
        </w:tc>
      </w:tr>
      <w:tr w:rsidR="007911AE" w:rsidRPr="001F49E7" w14:paraId="07F0392E" w14:textId="77777777" w:rsidTr="001F49E7">
        <w:trPr>
          <w:trHeight w:val="900"/>
        </w:trPr>
        <w:tc>
          <w:tcPr>
            <w:tcW w:w="840" w:type="pct"/>
            <w:tcMar>
              <w:top w:w="30" w:type="dxa"/>
              <w:left w:w="45" w:type="dxa"/>
              <w:bottom w:w="30" w:type="dxa"/>
              <w:right w:w="45" w:type="dxa"/>
            </w:tcMar>
            <w:vAlign w:val="center"/>
            <w:hideMark/>
          </w:tcPr>
          <w:p w14:paraId="7BD61F50" w14:textId="0E1F78E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A. Momenan 2011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{"citationID":"jN127GjU","properties":{"unsorted":false,"formattedCitation":"(1)","plainCitation":"(1)","noteIndex":0},"citationItems":[{"id":74,"uris":["http://zotero.org/users/local/SBvLfXY8/items/RIHBE8Y3"],"itemData":{"id":74,"type":"article-journal","abstract":"The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07C43E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hideMark/>
          </w:tcPr>
          <w:p w14:paraId="1476F6DE" w14:textId="7B0BD74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20-59</w:t>
            </w:r>
          </w:p>
        </w:tc>
        <w:tc>
          <w:tcPr>
            <w:tcW w:w="992" w:type="pct"/>
            <w:tcMar>
              <w:top w:w="30" w:type="dxa"/>
              <w:left w:w="45" w:type="dxa"/>
              <w:bottom w:w="30" w:type="dxa"/>
              <w:right w:w="45" w:type="dxa"/>
            </w:tcMar>
            <w:vAlign w:val="center"/>
            <w:hideMark/>
          </w:tcPr>
          <w:p w14:paraId="32E95B4C" w14:textId="06F5694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&gt;20</w:t>
            </w:r>
          </w:p>
        </w:tc>
        <w:tc>
          <w:tcPr>
            <w:tcW w:w="533" w:type="pct"/>
            <w:tcMar>
              <w:top w:w="30" w:type="dxa"/>
              <w:left w:w="45" w:type="dxa"/>
              <w:bottom w:w="30" w:type="dxa"/>
              <w:right w:w="45" w:type="dxa"/>
            </w:tcMar>
            <w:vAlign w:val="center"/>
            <w:hideMark/>
          </w:tcPr>
          <w:p w14:paraId="3D60326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7,285; Adult: 6,438</w:t>
            </w:r>
          </w:p>
        </w:tc>
        <w:tc>
          <w:tcPr>
            <w:tcW w:w="570" w:type="pct"/>
            <w:tcMar>
              <w:top w:w="30" w:type="dxa"/>
              <w:left w:w="45" w:type="dxa"/>
              <w:bottom w:w="30" w:type="dxa"/>
              <w:right w:w="45" w:type="dxa"/>
            </w:tcMar>
            <w:vAlign w:val="center"/>
            <w:hideMark/>
          </w:tcPr>
          <w:p w14:paraId="2E79567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w:t>
            </w:r>
          </w:p>
          <w:p w14:paraId="7FF6883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42.1 ± 14.3; </w:t>
            </w:r>
            <w:r w:rsidRPr="001F49E7">
              <w:rPr>
                <w:rFonts w:eastAsia="Times New Roman" w:cstheme="minorHAnsi"/>
                <w:kern w:val="0"/>
                <w:sz w:val="16"/>
                <w:szCs w:val="16"/>
                <w14:ligatures w14:val="none"/>
              </w:rPr>
              <w:br/>
              <w:t>Female: 40.6 ± 13.2</w:t>
            </w:r>
          </w:p>
        </w:tc>
        <w:tc>
          <w:tcPr>
            <w:tcW w:w="610" w:type="pct"/>
            <w:tcMar>
              <w:top w:w="30" w:type="dxa"/>
              <w:left w:w="45" w:type="dxa"/>
              <w:bottom w:w="30" w:type="dxa"/>
              <w:right w:w="45" w:type="dxa"/>
            </w:tcMar>
            <w:vAlign w:val="center"/>
            <w:hideMark/>
          </w:tcPr>
          <w:p w14:paraId="2FD48B4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Adults: 58.3%</w:t>
            </w:r>
          </w:p>
        </w:tc>
      </w:tr>
      <w:tr w:rsidR="007911AE" w:rsidRPr="001F49E7" w14:paraId="1A608DA3" w14:textId="77777777" w:rsidTr="001F49E7">
        <w:trPr>
          <w:trHeight w:val="900"/>
        </w:trPr>
        <w:tc>
          <w:tcPr>
            <w:tcW w:w="840" w:type="pct"/>
            <w:tcMar>
              <w:top w:w="30" w:type="dxa"/>
              <w:left w:w="45" w:type="dxa"/>
              <w:bottom w:w="30" w:type="dxa"/>
              <w:right w:w="45" w:type="dxa"/>
            </w:tcMar>
            <w:vAlign w:val="center"/>
            <w:hideMark/>
          </w:tcPr>
          <w:p w14:paraId="73E1B9B9" w14:textId="096ED3C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Jessri 2011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{"citationID":"ZGdqn4Qf","properties":{"formattedCitation":"(2)","plainCitation":"(2)","noteIndex":0},"citationItems":[{"id":"ulROLKvl/6YRPMA5h","uris":["http://zotero.org/users/16072611/items/9DRMCNCQ"],"itemData":{"id":474,"type":"article-journal","abstract":"BACKGROUND: Although Iran is a high-risk region for esophageal squamous cell carcinoma (ESCC), dietary factors that may contribute to this high incidence have not been thoroughly studied. The aim of this study was to evaluate the effect of macronutrients, vitamins and minerals on the risk of ESCC.\nMETHODS: In this hospital-based case-control study, 47 cases with incident ESCC and 96 controls were interviewed and usual dietary intakes were collected using a validated food frequency questionnaire. Data were modeled through unconditional multiple logistic regression to estimate odds ratios (OR) and 95% confidence intervals (CI), controlling for age, sex, gastrointestinal reflux, body mass index, smoking history (status, intensity and duration), physical activity, and education.\nRESULTS: ESCC cases consumed significantly more hot foods and beverages and fried and barbecued meals, compared to the controls (p &lt; 0.05). After adjusting for potential confounders, the risk of ESCC increased significantly in the highest tertiles of saturated fat [OR:2.88,95%CI:1.15-3.08], cholesterol [OR:1.53, 95%CI: 1.41-4.13], discretionary calorie [OR:1.51, 95%CI: 1.06-3.84], sodium [OR:1.49,95%CI:1.12-2.89] and total fat intakes [OR:1.48, 95%CI:1.09-3.04]. In contrast, being in the highest tertile of carbohydrate, dietary fiber and (n-3) fatty acid intake reduced the ESCC risk by 78%, 71% and 68%, respectively. The most cancer-protective effect was observed for the combination of high folate and vitamin E intakes (OR: 0.02, 95%CI: 0.00-0.87; p &lt; 0.001). Controls consumed 623.5 times higher selenium, 5.48 times as much β-carotene and 1.98 times as much α-tocopherol as the amount ESCC cases consumed.\nCONCLUSION: This study suggests that high intake of nutrients primarily found in plant-based foods is associated with a reduced esophageal cancer risk. Some nutrients such as folate, vitamin E and selenium might play major roles in the etiology of ESCC and their status may eventually be used as an epidemiological marker for esophageal cancer in Iran, and perhaps other high-risk regions.","container-title":"Nutrition Journal","DOI":"10.1186/1475-2891-10-137","ISSN":"1475-2891","journalAbbreviation":"Nutr J","language":"eng","page":"137","PMID":"22185224","PMCID":"PMC3260093","source":"PubMed","title":"Macronutrients, vitamins and minerals intake and risk of esophageal squamous cell carcinoma: a case-control study in Iran","title-short":"Macronutrients, vitamins and minerals intake and risk of esophageal squamous cell carcinoma","volume":"10","author":[{"family":"Jessri","given":"Mahsa"},{"family":"Rashidkhani","given":"Bahram"},{"family":"Hajizadeh","given":"Bahareh"},{"family":"Jessri","given":"Maryam"},{"family":"Gotay","given":"Carolyn"}],"issued":{"date-parts":[["2011",12,20]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359EDE9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Kurdistan (Urban)</w:t>
            </w:r>
          </w:p>
        </w:tc>
        <w:tc>
          <w:tcPr>
            <w:tcW w:w="769" w:type="pct"/>
            <w:tcMar>
              <w:top w:w="30" w:type="dxa"/>
              <w:left w:w="45" w:type="dxa"/>
              <w:bottom w:w="30" w:type="dxa"/>
              <w:right w:w="45" w:type="dxa"/>
            </w:tcMar>
            <w:vAlign w:val="center"/>
            <w:hideMark/>
          </w:tcPr>
          <w:p w14:paraId="412ED0DE" w14:textId="6E8EB1C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40-75</w:t>
            </w:r>
          </w:p>
        </w:tc>
        <w:tc>
          <w:tcPr>
            <w:tcW w:w="992" w:type="pct"/>
            <w:tcMar>
              <w:top w:w="30" w:type="dxa"/>
              <w:left w:w="45" w:type="dxa"/>
              <w:bottom w:w="30" w:type="dxa"/>
              <w:right w:w="45" w:type="dxa"/>
            </w:tcMar>
            <w:vAlign w:val="center"/>
            <w:hideMark/>
          </w:tcPr>
          <w:p w14:paraId="3C0FAE90" w14:textId="45D3B57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Cases: Within 6 months after ESCC diagnosis</w:t>
            </w:r>
          </w:p>
        </w:tc>
        <w:tc>
          <w:tcPr>
            <w:tcW w:w="533" w:type="pct"/>
            <w:tcMar>
              <w:top w:w="30" w:type="dxa"/>
              <w:left w:w="45" w:type="dxa"/>
              <w:bottom w:w="30" w:type="dxa"/>
              <w:right w:w="45" w:type="dxa"/>
            </w:tcMar>
            <w:vAlign w:val="center"/>
            <w:hideMark/>
          </w:tcPr>
          <w:p w14:paraId="40A8A2F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ESCC: 47; </w:t>
            </w:r>
            <w:r w:rsidRPr="001F49E7">
              <w:rPr>
                <w:rFonts w:eastAsia="Times New Roman" w:cstheme="minorHAnsi"/>
                <w:kern w:val="0"/>
                <w:sz w:val="16"/>
                <w:szCs w:val="16"/>
                <w14:ligatures w14:val="none"/>
              </w:rPr>
              <w:br/>
              <w:t>Controls: 96</w:t>
            </w:r>
          </w:p>
        </w:tc>
        <w:tc>
          <w:tcPr>
            <w:tcW w:w="570" w:type="pct"/>
            <w:tcMar>
              <w:top w:w="30" w:type="dxa"/>
              <w:left w:w="45" w:type="dxa"/>
              <w:bottom w:w="30" w:type="dxa"/>
              <w:right w:w="45" w:type="dxa"/>
            </w:tcMar>
            <w:vAlign w:val="center"/>
            <w:hideMark/>
          </w:tcPr>
          <w:p w14:paraId="20803FE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Controls (Median [Q1, Q3]):</w:t>
            </w:r>
          </w:p>
          <w:p w14:paraId="73209C3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60.0 (54.25-67.00) </w:t>
            </w:r>
            <w:r w:rsidRPr="001F49E7">
              <w:rPr>
                <w:rFonts w:eastAsia="Times New Roman" w:cstheme="minorHAnsi"/>
                <w:kern w:val="0"/>
                <w:sz w:val="16"/>
                <w:szCs w:val="16"/>
                <w14:ligatures w14:val="none"/>
              </w:rPr>
              <w:br/>
              <w:t>Female: 58.0 (48.75-72.25)</w:t>
            </w:r>
          </w:p>
        </w:tc>
        <w:tc>
          <w:tcPr>
            <w:tcW w:w="610" w:type="pct"/>
            <w:tcMar>
              <w:top w:w="30" w:type="dxa"/>
              <w:left w:w="45" w:type="dxa"/>
              <w:bottom w:w="30" w:type="dxa"/>
              <w:right w:w="45" w:type="dxa"/>
            </w:tcMar>
            <w:vAlign w:val="center"/>
            <w:hideMark/>
          </w:tcPr>
          <w:p w14:paraId="4516E51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Controls: 66.7%</w:t>
            </w:r>
          </w:p>
        </w:tc>
      </w:tr>
      <w:tr w:rsidR="007911AE" w:rsidRPr="001F49E7" w14:paraId="68184E88" w14:textId="77777777" w:rsidTr="001F49E7">
        <w:trPr>
          <w:trHeight w:val="900"/>
        </w:trPr>
        <w:tc>
          <w:tcPr>
            <w:tcW w:w="840" w:type="pct"/>
            <w:tcMar>
              <w:top w:w="30" w:type="dxa"/>
              <w:left w:w="45" w:type="dxa"/>
              <w:bottom w:w="30" w:type="dxa"/>
              <w:right w:w="45" w:type="dxa"/>
            </w:tcMar>
            <w:vAlign w:val="center"/>
            <w:hideMark/>
          </w:tcPr>
          <w:p w14:paraId="2CA1BD96" w14:textId="1E4C17B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Esmaeilzadeh 2013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{"citationID":"WIWGVIRz","properties":{"formattedCitation":"(3)","plainCitation":"(3)","noteIndex":0},"citationItems":[{"id":"ulROLKvl/POMc7oym","uris":["http://zotero.org/users/16072611/items/VAYI5YWZ"],"itemData":{"id":471,"type":"article-journal","abstract":"INTRODUCTION: The experience of infertility is a common medical condition in the developing countries. The aim of this retrospective epidemiologic study was to determine fertility status and parity in Babol, Iran and then identify physical activity and body mass index (BMI) among women who have experienced infertility.\nMATERIAL AND METHODS: A total of 1,081 women aged 20-45 years were selected using cluster sampling. The current physical activity was measured using the original International Physical Activity Questionnaire short form. Lifestyle factors were compared between those who had experienced infertility (n = 168) and the rest of the women. A face-to-face household interview was conducted using a specially designed interview questionnaire.\nRESULTS: After adjusting for suspected confounding factors, women with infertility experience had a 4.8-fold increased risk of obesity (OR = 2.02, CI = 0.70, 5.84) and almost a 3.8-fold increased risk of being overweight (OR = 2.11, CI = 0.72, 6.17) compared to women without infertility. No significant differences were found in Met-minutes of sedentary activity, intensity of walking, moderate, vigorous, and total physical activity, self-reported dietary intake, exercise, and level of physical activity between women with and without experience of infertility.\nCONCLUSIONS: Since both obesity and infertility are increasing public health issues in Iranian women, more attention should be paid to lifestyle behaviors, especially gaining weight in women who have experienced infertility.","container-title":"Archives of medical science: AMS","DOI":"10.5114/aoms.2013.35342","ISSN":"1734-1922","issue":"3","journalAbbreviation":"Arch Med Sci","language":"eng","page":"499-505","PMID":"23847673","PMCID":"PMC3701979","source":"PubMed","title":"Physical activity and body mass index among women who have experienced infertility","volume":"9","author":[{"family":"Esmaeilzadeh","given":"Seddigheh"},{"family":"Delavar","given":"Mouloud Agajani"},{"family":"Basirat","given":"Zahra"},{"family":"Shafi","given":"Hamid"}],"issued":{"date-parts":[["2013",6,20]]}}}],"schema":"https://github.com/citation-style-language/schema/raw/master/csl-citation.json"}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53F2DED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Babol (Urban &amp; rural)</w:t>
            </w:r>
          </w:p>
        </w:tc>
        <w:tc>
          <w:tcPr>
            <w:tcW w:w="769" w:type="pct"/>
            <w:tcMar>
              <w:top w:w="30" w:type="dxa"/>
              <w:left w:w="45" w:type="dxa"/>
              <w:bottom w:w="30" w:type="dxa"/>
              <w:right w:w="45" w:type="dxa"/>
            </w:tcMar>
            <w:vAlign w:val="center"/>
            <w:hideMark/>
          </w:tcPr>
          <w:p w14:paraId="5A9213BC" w14:textId="39D115A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20-45 </w:t>
            </w:r>
          </w:p>
        </w:tc>
        <w:tc>
          <w:tcPr>
            <w:tcW w:w="992" w:type="pct"/>
            <w:tcMar>
              <w:top w:w="30" w:type="dxa"/>
              <w:left w:w="45" w:type="dxa"/>
              <w:bottom w:w="30" w:type="dxa"/>
              <w:right w:w="45" w:type="dxa"/>
            </w:tcMar>
            <w:vAlign w:val="center"/>
            <w:hideMark/>
          </w:tcPr>
          <w:p w14:paraId="310BECFD" w14:textId="391E5B1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20-45, married for ≥1 year, being mentally sound, and having the ability to understand the questionnaires</w:t>
            </w:r>
          </w:p>
        </w:tc>
        <w:tc>
          <w:tcPr>
            <w:tcW w:w="533" w:type="pct"/>
            <w:tcMar>
              <w:top w:w="30" w:type="dxa"/>
              <w:left w:w="45" w:type="dxa"/>
              <w:bottom w:w="30" w:type="dxa"/>
              <w:right w:w="45" w:type="dxa"/>
            </w:tcMar>
            <w:vAlign w:val="center"/>
            <w:hideMark/>
          </w:tcPr>
          <w:p w14:paraId="318F69A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1,081</w:t>
            </w:r>
          </w:p>
        </w:tc>
        <w:tc>
          <w:tcPr>
            <w:tcW w:w="570" w:type="pct"/>
            <w:tcMar>
              <w:top w:w="30" w:type="dxa"/>
              <w:left w:w="45" w:type="dxa"/>
              <w:bottom w:w="30" w:type="dxa"/>
              <w:right w:w="45" w:type="dxa"/>
            </w:tcMar>
            <w:vAlign w:val="center"/>
            <w:hideMark/>
          </w:tcPr>
          <w:p w14:paraId="65D4C09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33.7 ± 6.9</w:t>
            </w:r>
          </w:p>
        </w:tc>
        <w:tc>
          <w:tcPr>
            <w:tcW w:w="610" w:type="pct"/>
            <w:tcMar>
              <w:top w:w="30" w:type="dxa"/>
              <w:left w:w="45" w:type="dxa"/>
              <w:bottom w:w="30" w:type="dxa"/>
              <w:right w:w="45" w:type="dxa"/>
            </w:tcMar>
            <w:vAlign w:val="center"/>
            <w:hideMark/>
          </w:tcPr>
          <w:p w14:paraId="2DEC94E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100%</w:t>
            </w:r>
          </w:p>
        </w:tc>
      </w:tr>
      <w:tr w:rsidR="007911AE" w:rsidRPr="001F49E7" w14:paraId="6E718DBD" w14:textId="77777777" w:rsidTr="001F49E7">
        <w:trPr>
          <w:trHeight w:val="900"/>
        </w:trPr>
        <w:tc>
          <w:tcPr>
            <w:tcW w:w="840" w:type="pct"/>
            <w:tcMar>
              <w:top w:w="30" w:type="dxa"/>
              <w:left w:w="45" w:type="dxa"/>
              <w:bottom w:w="30" w:type="dxa"/>
              <w:right w:w="45" w:type="dxa"/>
            </w:tcMar>
            <w:vAlign w:val="center"/>
          </w:tcPr>
          <w:p w14:paraId="47AF205B" w14:textId="7353D9B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Sadeghi 2015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LdHppCHI","properties":{"unsorted":false,"formattedCitation":"(4)","plainCitation":"(4)","noteIndex":0},"citationItems":[{"id":233,"uris":["http://zotero.org/users/local/SBvLfXY8/items/W8ED7XA3"],"itemData":{"id":233,"type":"article-journal","abstract":"Introduction: Infertility is one of the major health problem in different communities. A considerable part of infertility is related to environmental factors and is preventable. According to the prevalence of infertility in iran, and the role of life-style related factors such as: dietary pattern, exercise and weight management in causing reproductive problems, this study was performed with aim to compare food intake, physical activity and weight of infertile women and healthy women aged 25-40 years. Methods: This descriptive and analytic study was performed on 144 infertile women and 144 healthy women referred to Vali-Asr Fertility Research Center, Tehran Gynecology Hospital, and Health Center of East Tehran during 2013 to 2014. General information, dietary intake and physical activity were collected through interviews. Anthropometric measurements were recorded. Data were analyzed by SPSS software (version 16) and using T- test, Chi-square test and logistic regression. PResults: Mean weight was 69.01±11.29 kg and 64.48±7.95 kg in infertile and healthy women, respectively. Mean weight (P= 0.007) and body mass index (P = 0.009) were significantly different between two groups. The duration of daily physical activity in infertile women was less than healthy women, and mainly had light activity, but, there was no significant difference between two groups (P&gt;0.05). Intake of calorie (P= 0.027), protein (P=0.008), carbohydrate (P&lt; 0.001), selenium (P = 0.004), zinc (P&lt;0.001), and vitamin C (P=0.019) were more in infertile women than healthy women. Total fat (P= 0.04), vitamin E (P=0.038) and iron (P&lt;0.001) intake was higher in healthy women than infertile women. After adjusting for confounding factor (consumed energy), only carbohydrate intake was significant between two groups (P&lt;0.05). Conclusion: lack of physical activity and extra calorie intake are of the causes of obesity. Since the frequency of overweight and obesity in infertile women was 2.2 times more than healthy women, it seems that proper nutrition and exercise can play a role in the prevention and treatment of infertility.","container-title":"The Iranian Journal of Obstetrics, Gynecology and Infertility","DOI":"10.22038/ijogi.2015.6367","ISSN":"1680-2993","issue":"173","note":"_eprint: https://ijogi.mums.ac.ir/article_6367_103b49ded984bee7ecf4430d3984a8c3.pdf","page":"32-40","publisher":"Mashhad University of Medical Sciences","title":"Comparison of Food intake, physical activity and weight in infertile and healthy women aged 25-40 years","volume":"18","author":[{"family":"Sadeghi","given":"Fargol"},{"family":"Miri","given":"Nastaran"},{"family":"Barikani","given":"Ameneh"},{"family":"Hossein Rashidi","given":"Batool"},{"family":"Ghasemi Nejad","given":"Azizeh"},{"family":"Hojaji","given":"Elham"},{"family":"Javadi","given":"Maryam"}],"issued":{"date-parts":[["2015"]]}}}],"schema":"https://github.com/citation-style-language/schema/raw/master/csl-citation.json"}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(4)</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2479146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tcPr>
          <w:p w14:paraId="5001152E" w14:textId="7A229CB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25-40 </w:t>
            </w:r>
          </w:p>
        </w:tc>
        <w:tc>
          <w:tcPr>
            <w:tcW w:w="992" w:type="pct"/>
            <w:tcMar>
              <w:top w:w="30" w:type="dxa"/>
              <w:left w:w="45" w:type="dxa"/>
              <w:bottom w:w="30" w:type="dxa"/>
              <w:right w:w="45" w:type="dxa"/>
            </w:tcMar>
            <w:vAlign w:val="center"/>
          </w:tcPr>
          <w:p w14:paraId="54965FC6" w14:textId="3A8D060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between 25-40 years old, without history of diabetes and thyroid diseases</w:t>
            </w:r>
          </w:p>
        </w:tc>
        <w:tc>
          <w:tcPr>
            <w:tcW w:w="533" w:type="pct"/>
            <w:tcMar>
              <w:top w:w="30" w:type="dxa"/>
              <w:left w:w="45" w:type="dxa"/>
              <w:bottom w:w="30" w:type="dxa"/>
              <w:right w:w="45" w:type="dxa"/>
            </w:tcMar>
            <w:vAlign w:val="center"/>
          </w:tcPr>
          <w:p w14:paraId="27E5158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268; </w:t>
            </w:r>
          </w:p>
          <w:p w14:paraId="1A76E94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Normal group: 134; </w:t>
            </w:r>
          </w:p>
          <w:p w14:paraId="5EDF31F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Infertile group: 134</w:t>
            </w:r>
          </w:p>
        </w:tc>
        <w:tc>
          <w:tcPr>
            <w:tcW w:w="570" w:type="pct"/>
            <w:tcMar>
              <w:top w:w="30" w:type="dxa"/>
              <w:left w:w="45" w:type="dxa"/>
              <w:bottom w:w="30" w:type="dxa"/>
              <w:right w:w="45" w:type="dxa"/>
            </w:tcMar>
            <w:vAlign w:val="center"/>
          </w:tcPr>
          <w:p w14:paraId="338C91E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Normal group:  28.88 ± 5.15; </w:t>
            </w:r>
          </w:p>
          <w:p w14:paraId="32C6BF4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Infertile group: 31.82 ± 5.39</w:t>
            </w:r>
          </w:p>
        </w:tc>
        <w:tc>
          <w:tcPr>
            <w:tcW w:w="610" w:type="pct"/>
            <w:tcMar>
              <w:top w:w="30" w:type="dxa"/>
              <w:left w:w="45" w:type="dxa"/>
              <w:bottom w:w="30" w:type="dxa"/>
              <w:right w:w="45" w:type="dxa"/>
            </w:tcMar>
            <w:vAlign w:val="center"/>
          </w:tcPr>
          <w:p w14:paraId="0DA42D7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100%</w:t>
            </w:r>
          </w:p>
        </w:tc>
      </w:tr>
      <w:tr w:rsidR="007911AE" w:rsidRPr="001F49E7" w14:paraId="01317AEA" w14:textId="77777777" w:rsidTr="001F49E7">
        <w:trPr>
          <w:trHeight w:val="900"/>
        </w:trPr>
        <w:tc>
          <w:tcPr>
            <w:tcW w:w="840" w:type="pct"/>
            <w:tcMar>
              <w:top w:w="30" w:type="dxa"/>
              <w:left w:w="45" w:type="dxa"/>
              <w:bottom w:w="30" w:type="dxa"/>
              <w:right w:w="45" w:type="dxa"/>
            </w:tcMar>
            <w:vAlign w:val="center"/>
            <w:hideMark/>
          </w:tcPr>
          <w:p w14:paraId="59A91A19" w14:textId="5CAF9D5E"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 Pasdar 2016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yPEytP0e","properties":{"unsorted":false,"formattedCitation":"(5)","plainCitation":"(5)","noteIndex":0},"citationItems":[{"id":244,"uris":["http://zotero.org/users/local/SBvLfXY8/items/MWPBQRYT"],"itemData":{"id":244,"type":"article-journal","page":"12837-12846","title":"The relationship between anthropometric indexes and blood biomarkers with fatty liver-a case-control study; Kermanshah, Iran","volume":"8","author":[{"family":"Pasdar","given":"Yahya"},{"family":"Rahimi","given":"Fateme"},{"family":"Salehi","given":"Mohammad"},{"family":"Darbandi","given":"Mitra"},{"family":"Nazar","given":"Mehdi"},{"family":"Niazi","given":"Parisa"},{"family":"Nachvak","given":"Seyed"}],"issued":{"date-parts":[["2016",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(5)</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475B1D6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Kermanshah (Urban)</w:t>
            </w:r>
          </w:p>
        </w:tc>
        <w:tc>
          <w:tcPr>
            <w:tcW w:w="769" w:type="pct"/>
            <w:tcMar>
              <w:top w:w="30" w:type="dxa"/>
              <w:left w:w="45" w:type="dxa"/>
              <w:bottom w:w="30" w:type="dxa"/>
              <w:right w:w="45" w:type="dxa"/>
            </w:tcMar>
            <w:vAlign w:val="center"/>
            <w:hideMark/>
          </w:tcPr>
          <w:p w14:paraId="1AA2344C" w14:textId="7A8E39B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29</w:t>
            </w:r>
          </w:p>
        </w:tc>
        <w:tc>
          <w:tcPr>
            <w:tcW w:w="992" w:type="pct"/>
            <w:tcMar>
              <w:top w:w="30" w:type="dxa"/>
              <w:left w:w="45" w:type="dxa"/>
              <w:bottom w:w="30" w:type="dxa"/>
              <w:right w:w="45" w:type="dxa"/>
            </w:tcMar>
            <w:vAlign w:val="center"/>
            <w:hideMark/>
          </w:tcPr>
          <w:p w14:paraId="5BBCF98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7BBCEF6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Case: 101;</w:t>
            </w:r>
            <w:r w:rsidRPr="001F49E7">
              <w:rPr>
                <w:rFonts w:eastAsia="Times New Roman" w:cstheme="minorHAnsi"/>
                <w:kern w:val="0"/>
                <w:sz w:val="16"/>
                <w:szCs w:val="16"/>
                <w14:ligatures w14:val="none"/>
              </w:rPr>
              <w:br/>
              <w:t>Control: 115</w:t>
            </w:r>
          </w:p>
        </w:tc>
        <w:tc>
          <w:tcPr>
            <w:tcW w:w="570" w:type="pct"/>
            <w:tcMar>
              <w:top w:w="30" w:type="dxa"/>
              <w:left w:w="45" w:type="dxa"/>
              <w:bottom w:w="30" w:type="dxa"/>
              <w:right w:w="45" w:type="dxa"/>
            </w:tcMar>
            <w:vAlign w:val="center"/>
            <w:hideMark/>
          </w:tcPr>
          <w:p w14:paraId="1A383F7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610" w:type="pct"/>
            <w:tcMar>
              <w:top w:w="30" w:type="dxa"/>
              <w:left w:w="45" w:type="dxa"/>
              <w:bottom w:w="30" w:type="dxa"/>
              <w:right w:w="45" w:type="dxa"/>
            </w:tcMar>
            <w:vAlign w:val="center"/>
            <w:hideMark/>
          </w:tcPr>
          <w:p w14:paraId="7AE6BEC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Controls: 51.8%</w:t>
            </w:r>
          </w:p>
        </w:tc>
      </w:tr>
      <w:tr w:rsidR="007911AE" w:rsidRPr="001F49E7" w14:paraId="35260050" w14:textId="77777777" w:rsidTr="001F49E7">
        <w:trPr>
          <w:trHeight w:val="900"/>
        </w:trPr>
        <w:tc>
          <w:tcPr>
            <w:tcW w:w="840" w:type="pct"/>
            <w:tcMar>
              <w:top w:w="30" w:type="dxa"/>
              <w:left w:w="45" w:type="dxa"/>
              <w:bottom w:w="30" w:type="dxa"/>
              <w:right w:w="45" w:type="dxa"/>
            </w:tcMar>
            <w:vAlign w:val="center"/>
            <w:hideMark/>
          </w:tcPr>
          <w:p w14:paraId="0F0969E5" w14:textId="025D274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Khademi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{"citationID":"dutRk51C","properties":{"unsorted":false,"formattedCitation":"(6)","plainCitation":"(6)","noteIndex":0},"citationItems":[{"id":79,"uris":["http://zotero.org/users/local/SBvLfXY8/items/9FYTWKNS"],"itemData":{"id":79,"type":"article-journal","abstract":"The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7730401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Kermanshah (Urban)</w:t>
            </w:r>
          </w:p>
        </w:tc>
        <w:tc>
          <w:tcPr>
            <w:tcW w:w="769" w:type="pct"/>
            <w:tcMar>
              <w:top w:w="30" w:type="dxa"/>
              <w:left w:w="45" w:type="dxa"/>
              <w:bottom w:w="30" w:type="dxa"/>
              <w:right w:w="45" w:type="dxa"/>
            </w:tcMar>
            <w:vAlign w:val="center"/>
            <w:hideMark/>
          </w:tcPr>
          <w:p w14:paraId="00C13071" w14:textId="707952C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22-55</w:t>
            </w:r>
          </w:p>
        </w:tc>
        <w:tc>
          <w:tcPr>
            <w:tcW w:w="992" w:type="pct"/>
            <w:tcMar>
              <w:top w:w="30" w:type="dxa"/>
              <w:left w:w="45" w:type="dxa"/>
              <w:bottom w:w="30" w:type="dxa"/>
              <w:right w:w="45" w:type="dxa"/>
            </w:tcMar>
            <w:vAlign w:val="center"/>
            <w:hideMark/>
          </w:tcPr>
          <w:p w14:paraId="0E6C1587" w14:textId="7E2313E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22-83, employed in governmental/nongovernmental organizations; excluded if working in workplaces with a low population</w:t>
            </w:r>
          </w:p>
        </w:tc>
        <w:tc>
          <w:tcPr>
            <w:tcW w:w="533" w:type="pct"/>
            <w:tcMar>
              <w:top w:w="30" w:type="dxa"/>
              <w:left w:w="45" w:type="dxa"/>
              <w:bottom w:w="30" w:type="dxa"/>
              <w:right w:w="45" w:type="dxa"/>
            </w:tcMar>
            <w:vAlign w:val="center"/>
            <w:hideMark/>
          </w:tcPr>
          <w:p w14:paraId="6382918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5,219</w:t>
            </w:r>
          </w:p>
          <w:p w14:paraId="23165B0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Adult: 4,844</w:t>
            </w:r>
          </w:p>
        </w:tc>
        <w:tc>
          <w:tcPr>
            <w:tcW w:w="570" w:type="pct"/>
            <w:tcMar>
              <w:top w:w="30" w:type="dxa"/>
              <w:left w:w="45" w:type="dxa"/>
              <w:bottom w:w="30" w:type="dxa"/>
              <w:right w:w="45" w:type="dxa"/>
            </w:tcMar>
            <w:vAlign w:val="center"/>
            <w:hideMark/>
          </w:tcPr>
          <w:p w14:paraId="2BADD48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41.5 ± 8.5 </w:t>
            </w:r>
          </w:p>
        </w:tc>
        <w:tc>
          <w:tcPr>
            <w:tcW w:w="610" w:type="pct"/>
            <w:tcMar>
              <w:top w:w="30" w:type="dxa"/>
              <w:left w:w="45" w:type="dxa"/>
              <w:bottom w:w="30" w:type="dxa"/>
              <w:right w:w="45" w:type="dxa"/>
            </w:tcMar>
            <w:vAlign w:val="center"/>
            <w:hideMark/>
          </w:tcPr>
          <w:p w14:paraId="46BF54D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26.8%</w:t>
            </w:r>
          </w:p>
        </w:tc>
      </w:tr>
      <w:tr w:rsidR="007911AE" w:rsidRPr="001F49E7" w14:paraId="355E4309" w14:textId="77777777" w:rsidTr="001F49E7">
        <w:trPr>
          <w:trHeight w:val="900"/>
        </w:trPr>
        <w:tc>
          <w:tcPr>
            <w:tcW w:w="840" w:type="pct"/>
            <w:tcMar>
              <w:top w:w="30" w:type="dxa"/>
              <w:left w:w="45" w:type="dxa"/>
              <w:bottom w:w="30" w:type="dxa"/>
              <w:right w:w="45" w:type="dxa"/>
            </w:tcMar>
            <w:vAlign w:val="center"/>
            <w:hideMark/>
          </w:tcPr>
          <w:p w14:paraId="6C19EA3A" w14:textId="4BF7683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P. Noormohammadpour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ZABdO2Fq","properties":{"formattedCitation":"(7)","plainCitation":"(7)","noteIndex":0},"citationItems":[{"id":"ulROLKvl/sr4fDVOx","uris":["http://zotero.org/users/16072611/items/TCS3IWD3","http://zotero.org/users/16072611/items/GTX3AFRT"],"itemData":{"id":509,"type":"article-journal","abstract":"BACKGROUND: Chronic musculoskeletal pain (CMP) is increasing in prevalence rapidly. Over the past 2 decades low back pain has been ranked globally as the primary cause of years lived with disability. The primary objective of this study was to investigate the prevalence of chronic neck pain (CNP), chronic low back pain (CLBP), and chronic knee pain (CKP) and their related risk factors in the national Iranian population.\nMETHODS: We analyzed data obtained through a cross-sectional, population-based survey of 7889 Iranians who were aged between 30 and 70 years.\nRESULTS: The prevalence of CNP, CLBP, and CKP was 15.34%, 27.18%, and 29.97%, respectively. Female sex, aging, body mass index≥25, Lur or Arab ethnicity, illiteracy, passive smoking, positive osteoporosis history, and low or high physical activity levels were risk factors for CLBP, CNP, and CKP after adjustment for potential confounders. For example, in participants with a body mass index≥30, odds ratios for CNP, CLBP, and CKP adjusted for age, sex, ethnicity, living area, education, employment status, smoking, and physical activity levels were 1.26 (95% confidence interval [CI], 1.04-1.52), 1.37 (95% CI, 1.17-1.59), and 1.64 (95% CI, 1.41-1.91), respectively.\nCONCLUSIONS: This is the first study investigating the prevalence of CNP, CLBP, and CKP in the national population of Iran. It shows some modifiable risk factors for CMP, and suggests that affordable planning for these risk factors can be valuable in preventing CMP globally. However, this is a cross-sectional study and future longitudinal studies in this field are necessary.","container-title":"The Clinical Journal of Pain","DOI":"10.1097/AJP.0000000000000396","ISSN":"1536-5409","issue":"2","journalAbbreviation":"Clin J Pain","language":"eng","page":"181-187","PMID":"27258995","source":"PubMed","title":"Prevalence of Chronic Neck Pain, Low Back Pain, and Knee Pain and Their Related Factors in Community-Dwelling Adults in Iran: A Population-based National Study","title-short":"Prevalence of Chronic Neck Pain, Low Back Pain, and Knee Pain and Their Related Factors in Community-Dwelling Adults in Iran","volume":"33","author":[{"family":"Noormohammadpour","given":"Pardis"},{"family":"Mansournia","given":"Mohammad Ali"},{"family":"Koohpayehzadeh","given":"Jalil"},{"family":"Asgari","given":"Fereshteh"},{"family":"Rostami","given":"Mohsen"},{"family":"Rafei","given":"Ali"},{"family":"Kordi","given":"Ramin"}],"issued":{"date-parts":[["2017",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(7)</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393B946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National</w:t>
            </w:r>
          </w:p>
        </w:tc>
        <w:tc>
          <w:tcPr>
            <w:tcW w:w="769" w:type="pct"/>
            <w:tcMar>
              <w:top w:w="30" w:type="dxa"/>
              <w:left w:w="45" w:type="dxa"/>
              <w:bottom w:w="30" w:type="dxa"/>
              <w:right w:w="45" w:type="dxa"/>
            </w:tcMar>
            <w:vAlign w:val="center"/>
            <w:hideMark/>
          </w:tcPr>
          <w:p w14:paraId="428DC252" w14:textId="750F6AA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30-70</w:t>
            </w:r>
          </w:p>
        </w:tc>
        <w:tc>
          <w:tcPr>
            <w:tcW w:w="992" w:type="pct"/>
            <w:tcMar>
              <w:top w:w="30" w:type="dxa"/>
              <w:left w:w="45" w:type="dxa"/>
              <w:bottom w:w="30" w:type="dxa"/>
              <w:right w:w="45" w:type="dxa"/>
            </w:tcMar>
            <w:vAlign w:val="center"/>
            <w:hideMark/>
          </w:tcPr>
          <w:p w14:paraId="5364891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52EC5E9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7,023</w:t>
            </w:r>
          </w:p>
        </w:tc>
        <w:tc>
          <w:tcPr>
            <w:tcW w:w="570" w:type="pct"/>
            <w:tcMar>
              <w:top w:w="30" w:type="dxa"/>
              <w:left w:w="45" w:type="dxa"/>
              <w:bottom w:w="30" w:type="dxa"/>
              <w:right w:w="45" w:type="dxa"/>
            </w:tcMar>
            <w:vAlign w:val="center"/>
            <w:hideMark/>
          </w:tcPr>
          <w:p w14:paraId="50F5D73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50.86 ± 13.08</w:t>
            </w:r>
          </w:p>
        </w:tc>
        <w:tc>
          <w:tcPr>
            <w:tcW w:w="610" w:type="pct"/>
            <w:tcMar>
              <w:top w:w="30" w:type="dxa"/>
              <w:left w:w="45" w:type="dxa"/>
              <w:bottom w:w="30" w:type="dxa"/>
              <w:right w:w="45" w:type="dxa"/>
            </w:tcMar>
            <w:vAlign w:val="center"/>
            <w:hideMark/>
          </w:tcPr>
          <w:p w14:paraId="024F403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60.2%</w:t>
            </w:r>
          </w:p>
        </w:tc>
      </w:tr>
      <w:tr w:rsidR="007911AE" w:rsidRPr="001F49E7" w14:paraId="1903EE0B" w14:textId="77777777" w:rsidTr="001F49E7">
        <w:trPr>
          <w:trHeight w:val="900"/>
        </w:trPr>
        <w:tc>
          <w:tcPr>
            <w:tcW w:w="840" w:type="pct"/>
            <w:tcMar>
              <w:top w:w="30" w:type="dxa"/>
              <w:left w:w="45" w:type="dxa"/>
              <w:bottom w:w="30" w:type="dxa"/>
              <w:right w:w="45" w:type="dxa"/>
            </w:tcMar>
            <w:vAlign w:val="center"/>
            <w:hideMark/>
          </w:tcPr>
          <w:p w14:paraId="0528A9A7" w14:textId="66E7650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 Shakiba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{"citationID":"TH9LjaHI","properties":{"formattedCitation":"(8)","plainCitation":"(8)","noteIndex":0},"citationItems":[{"id":"ulROLKvl/WXx5GQO9","uris":["http://zotero.org/users/16072611/items/G6D7W4QU"],"itemData":{"id":292,"type":"article-journal","abstract":"Background: There is some evidence suggesting that Body Mass Index (BMI) may increase plasma lipoprotein levels.Objectives: This study aimed to evaluate the possible association between BMI and dyslipidemia among the government staff of Kermanshah.Methods: This descriptive-analytical cross-sectional study was performed on the staff of 13 governmental organizations in Kerman shah (a city located in the west of Iran) in 2012. The staff was recruited using census method. We obtained information of 1496 staff aged 22 - 69 through the standardized stepwise questionnaire for NCDs risk factor surveillance. The staff was then physically examined by trained persons. Finally, their blood samples were obtained.Results: The prevalence of dyslipidemia was 16.6% in the study group, with the prevalence of 18.2% in men and 7.9% in women. There were also 53% (55.8% in men and 7.9% in women) and 17.8% (17.6% in men and 38.1% in women) prevalence rates for overweight and obesity, respectively. Dyslipidemia was significantly associated with factors such as BMI (P value = 0.004), gender (P value &lt; 0.001), marital status (P value = 0.01), cigarette smoking (P value = 0.008), and hookah smoking (P value = 0.002), but not with passive smoking, age, education level, physical activity, FBS (fast blood sugar), WHR (waist to hip ratio), hypertension, waist size, and hip size.In the adjusted model, there was a link merely between obesity and dyslipidemia while no statistically significant association was found between dyslipidemia and overweight. Moreover, a non-linear dose-response association was observed between dyslipidemia and BMI.Conclusions: Since dyslipidemia was significantly prevalent among men, fat people, and smokers, a particular attention is crucial to be paid to these groups.","container-title":"Iranian Red Crescent Medical Journal (IRCMJ)","DOI":"10.5812/ircmj.58335","ISSN":"2074-1804","issue":"8","language":"en","page":"1-6","publisher":"Red Crescent Organization","source":"www.ircmj.com","title":"Association of Body Mass Index with Dyslipidemia among the Government Staff of Kermanshah, Iran: A Cross-Sectional Study","title-short":"Association of Body Mass Index with Dyslipidemia among the Government Staff of Kermanshah, Iran","volume":"19","author":[{"family":"Shakiba","given":"Ebrahim"},{"family":"Khademi","given":"Nahid"},{"family":"Khoramdad","given":"Malihe"},{"family":"Alimohamadi","given":"Yousef"},{"family":"Izadi","given":"Neda"}],"issued":{"date-parts":[["2017",8,1]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(8)</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04012E2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Kermanshah (Urban)</w:t>
            </w:r>
          </w:p>
        </w:tc>
        <w:tc>
          <w:tcPr>
            <w:tcW w:w="769" w:type="pct"/>
            <w:tcMar>
              <w:top w:w="30" w:type="dxa"/>
              <w:left w:w="45" w:type="dxa"/>
              <w:bottom w:w="30" w:type="dxa"/>
              <w:right w:w="45" w:type="dxa"/>
            </w:tcMar>
            <w:vAlign w:val="center"/>
            <w:hideMark/>
          </w:tcPr>
          <w:p w14:paraId="45A567E0" w14:textId="654BDF59"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22-69</w:t>
            </w:r>
          </w:p>
        </w:tc>
        <w:tc>
          <w:tcPr>
            <w:tcW w:w="992" w:type="pct"/>
            <w:tcMar>
              <w:top w:w="30" w:type="dxa"/>
              <w:left w:w="45" w:type="dxa"/>
              <w:bottom w:w="30" w:type="dxa"/>
              <w:right w:w="45" w:type="dxa"/>
            </w:tcMar>
            <w:vAlign w:val="center"/>
            <w:hideMark/>
          </w:tcPr>
          <w:p w14:paraId="758EE0B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054F3B8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1,496;</w:t>
            </w:r>
            <w:r w:rsidRPr="001F49E7">
              <w:rPr>
                <w:rFonts w:eastAsia="Times New Roman" w:cstheme="minorHAnsi"/>
                <w:kern w:val="0"/>
                <w:sz w:val="16"/>
                <w:szCs w:val="16"/>
                <w14:ligatures w14:val="none"/>
              </w:rPr>
              <w:br/>
              <w:t>non-dyslipidemia: 1,248</w:t>
            </w:r>
          </w:p>
        </w:tc>
        <w:tc>
          <w:tcPr>
            <w:tcW w:w="570" w:type="pct"/>
            <w:tcMar>
              <w:top w:w="30" w:type="dxa"/>
              <w:left w:w="45" w:type="dxa"/>
              <w:bottom w:w="30" w:type="dxa"/>
              <w:right w:w="45" w:type="dxa"/>
            </w:tcMar>
            <w:vAlign w:val="center"/>
            <w:hideMark/>
          </w:tcPr>
          <w:p w14:paraId="4BAC41E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20-69</w:t>
            </w:r>
          </w:p>
        </w:tc>
        <w:tc>
          <w:tcPr>
            <w:tcW w:w="610" w:type="pct"/>
            <w:tcMar>
              <w:top w:w="30" w:type="dxa"/>
              <w:left w:w="45" w:type="dxa"/>
              <w:bottom w:w="30" w:type="dxa"/>
              <w:right w:w="45" w:type="dxa"/>
            </w:tcMar>
            <w:vAlign w:val="center"/>
            <w:hideMark/>
          </w:tcPr>
          <w:p w14:paraId="2A68FEC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non-dyslipidemia: </w:t>
            </w:r>
            <w:r w:rsidRPr="001F49E7">
              <w:rPr>
                <w:rFonts w:eastAsia="Times New Roman" w:cstheme="minorHAnsi"/>
                <w:kern w:val="0"/>
                <w:sz w:val="16"/>
                <w:szCs w:val="16"/>
                <w14:ligatures w14:val="none"/>
              </w:rPr>
              <w:br/>
              <w:t>17.6%</w:t>
            </w:r>
          </w:p>
        </w:tc>
      </w:tr>
      <w:tr w:rsidR="007911AE" w:rsidRPr="001F49E7" w14:paraId="2330A4EC" w14:textId="77777777" w:rsidTr="001F49E7">
        <w:trPr>
          <w:trHeight w:val="900"/>
        </w:trPr>
        <w:tc>
          <w:tcPr>
            <w:tcW w:w="840" w:type="pct"/>
            <w:tcMar>
              <w:top w:w="30" w:type="dxa"/>
              <w:left w:w="45" w:type="dxa"/>
              <w:bottom w:w="30" w:type="dxa"/>
              <w:right w:w="45" w:type="dxa"/>
            </w:tcMar>
            <w:vAlign w:val="center"/>
          </w:tcPr>
          <w:p w14:paraId="300067FB" w14:textId="7CCC07C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SM. Mojtahedzadeh 2017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{"citationID":"yAERmvgH","properties":{"unsorted":false,"formattedCitation":"(9)","plainCitation":"(9)","noteIndex":0},"citationItems":[{"id":241,"uris":["http://zotero.org/users/local/SBvLfXY8/items/QYGARS68"],"itemData":{"id":241,"type":"article-journal","abstract":"</w:instrText>
            </w:r>
            <w:r w:rsidR="00FA7458" w:rsidRPr="001F49E7">
              <w:rPr>
                <w:rFonts w:eastAsia="Times New Roman" w:cs="Times New Roman"/>
                <w:kern w:val="0"/>
                <w:sz w:val="16"/>
                <w:szCs w:val="16"/>
                <w:rtl/>
                <w14:ligatures w14:val="none"/>
              </w:rPr>
              <w:instrText>زمینه و هدف: با توجه به صیانت از نیروی کار و مسولیت در حفظ سلامت کارکنان صنایع، این مطالعه با هدف بررسی شیوع چاقی و افزایش وزن در پالایشگاه آبادان بعنوان بزرگترین پالایشگاه ایران بعمل آمد. روش</w:instrText>
            </w:r>
            <w:r w:rsidR="00FA7458" w:rsidRPr="001F49E7">
              <w:rPr>
                <w:rFonts w:eastAsia="Times New Roman" w:cstheme="minorHAnsi"/>
                <w:kern w:val="0"/>
                <w:sz w:val="16"/>
                <w:szCs w:val="16"/>
                <w14:ligatures w14:val="none"/>
              </w:rPr>
              <w:instrText xml:space="preserve">&amp;zwnj; </w:instrText>
            </w:r>
            <w:r w:rsidR="00FA7458" w:rsidRPr="001F49E7">
              <w:rPr>
                <w:rFonts w:eastAsia="Times New Roman" w:cs="Times New Roman"/>
                <w:kern w:val="0"/>
                <w:sz w:val="16"/>
                <w:szCs w:val="16"/>
                <w:rtl/>
                <w14:ligatures w14:val="none"/>
              </w:rPr>
              <w:instrText>کار: در این مطالعه 721 نفر از پرسنل پالایشگاه آبادان از فهرست پرونده های معاینات سلامت شغلی سالیانه انتخاب، و پس از تن</w:instrText>
            </w:r>
            <w:r w:rsidR="00FA7458" w:rsidRPr="001F49E7">
              <w:rPr>
                <w:rFonts w:eastAsia="Times New Roman" w:cstheme="minorHAnsi"/>
                <w:kern w:val="0"/>
                <w:sz w:val="16"/>
                <w:szCs w:val="16"/>
                <w14:ligatures w14:val="none"/>
              </w:rPr>
              <w:instrText>&amp;zwnj;</w:instrText>
            </w:r>
            <w:r w:rsidR="00FA7458" w:rsidRPr="001F49E7">
              <w:rPr>
                <w:rFonts w:eastAsia="Times New Roman" w:cs="Times New Roman"/>
                <w:kern w:val="0"/>
                <w:sz w:val="16"/>
                <w:szCs w:val="16"/>
                <w:rtl/>
                <w14:ligatures w14:val="none"/>
              </w:rPr>
              <w:instrText>سنجی و تکمیل پرسشنامه و اخذ نمونه خون، اطلاعات آنها از طریق پرسشنامه سبک زندگی</w:instrText>
            </w:r>
            <w:r w:rsidR="00FA7458" w:rsidRPr="001F49E7">
              <w:rPr>
                <w:rFonts w:eastAsia="Times New Roman" w:cstheme="minorHAnsi"/>
                <w:kern w:val="0"/>
                <w:sz w:val="16"/>
                <w:szCs w:val="16"/>
                <w14:ligatures w14:val="none"/>
              </w:rPr>
              <w:instrText xml:space="preserve"> Breslow </w:instrText>
            </w:r>
            <w:r w:rsidR="00FA7458" w:rsidRPr="001F49E7">
              <w:rPr>
                <w:rFonts w:eastAsia="Times New Roman" w:cs="Times New Roman"/>
                <w:kern w:val="0"/>
                <w:sz w:val="16"/>
                <w:szCs w:val="16"/>
                <w:rtl/>
                <w14:ligatures w14:val="none"/>
              </w:rPr>
              <w:instrText>و پرسشنامه استاندارد فعالیت فیزیکی</w:instrText>
            </w:r>
            <w:r w:rsidR="00FA7458" w:rsidRPr="001F49E7">
              <w:rPr>
                <w:rFonts w:eastAsia="Times New Roman" w:cstheme="minorHAnsi"/>
                <w:kern w:val="0"/>
                <w:sz w:val="16"/>
                <w:szCs w:val="16"/>
                <w14:ligatures w14:val="none"/>
              </w:rPr>
              <w:instrText xml:space="preserve"> Global Physical Activity Questionnaire (GPAQ) </w:instrText>
            </w:r>
            <w:r w:rsidR="00FA7458" w:rsidRPr="001F49E7">
              <w:rPr>
                <w:rFonts w:eastAsia="Times New Roman" w:cs="Times New Roman"/>
                <w:kern w:val="0"/>
                <w:sz w:val="16"/>
                <w:szCs w:val="16"/>
                <w:rtl/>
                <w14:ligatures w14:val="none"/>
              </w:rPr>
              <w:instrText>ثبت و در نهایت تجزیه و تحلیل گردید. نتایج: متوسط نمایه توده بدنی در مردان و زنان به ترتیب2/28 و 5/27 بود. شاخص توده بدنی و شیوع چاقی در این مرکز صنعتی به ترتیب برابر با 8/29 % و 7/48% بود. شیوع افزایش</w:instrText>
            </w:r>
            <w:r w:rsidR="00FA7458" w:rsidRPr="001F49E7">
              <w:rPr>
                <w:rFonts w:eastAsia="Times New Roman" w:cstheme="minorHAnsi"/>
                <w:kern w:val="0"/>
                <w:sz w:val="16"/>
                <w:szCs w:val="16"/>
                <w14:ligatures w14:val="none"/>
              </w:rPr>
              <w:instrText>&amp;zwnj;</w:instrText>
            </w:r>
            <w:r w:rsidR="00FA7458" w:rsidRPr="001F49E7">
              <w:rPr>
                <w:rFonts w:eastAsia="Times New Roman" w:cs="Times New Roman"/>
                <w:kern w:val="0"/>
                <w:sz w:val="16"/>
                <w:szCs w:val="16"/>
                <w:rtl/>
                <w14:ligatures w14:val="none"/>
              </w:rPr>
              <w:instrText>وزن و چاقی در مردان به</w:instrText>
            </w:r>
            <w:r w:rsidR="00FA7458" w:rsidRPr="001F49E7">
              <w:rPr>
                <w:rFonts w:eastAsia="Times New Roman" w:cstheme="minorHAnsi"/>
                <w:kern w:val="0"/>
                <w:sz w:val="16"/>
                <w:szCs w:val="16"/>
                <w14:ligatures w14:val="none"/>
              </w:rPr>
              <w:instrText xml:space="preserve"> </w:instrText>
            </w:r>
            <w:r w:rsidR="00FA7458" w:rsidRPr="001F49E7">
              <w:rPr>
                <w:rFonts w:eastAsia="Times New Roman" w:cs="Times New Roman"/>
                <w:kern w:val="0"/>
                <w:sz w:val="16"/>
                <w:szCs w:val="16"/>
                <w:rtl/>
                <w14:ligatures w14:val="none"/>
              </w:rPr>
              <w:instrText>ترتیب 6/48% و 24/30% و در زنان به ترتیب50% و 15% بود که با سن، سطح قند خون، چربی خون، و فشارخون بالا دارای ارتباط معنی</w:instrText>
            </w:r>
            <w:r w:rsidR="00FA7458" w:rsidRPr="001F49E7">
              <w:rPr>
                <w:rFonts w:eastAsia="Times New Roman" w:cstheme="minorHAnsi"/>
                <w:kern w:val="0"/>
                <w:sz w:val="16"/>
                <w:szCs w:val="16"/>
                <w14:ligatures w14:val="none"/>
              </w:rPr>
              <w:instrText>&amp;zwnj;</w:instrText>
            </w:r>
            <w:r w:rsidR="00FA7458" w:rsidRPr="001F49E7">
              <w:rPr>
                <w:rFonts w:eastAsia="Times New Roman" w:cs="Times New Roman"/>
                <w:kern w:val="0"/>
                <w:sz w:val="16"/>
                <w:szCs w:val="16"/>
                <w:rtl/>
                <w14:ligatures w14:val="none"/>
              </w:rPr>
              <w:instrText>دار بود</w:instrText>
            </w:r>
            <w:r w:rsidR="00FA7458" w:rsidRPr="001F49E7">
              <w:rPr>
                <w:rFonts w:eastAsia="Times New Roman" w:cstheme="minorHAnsi"/>
                <w:kern w:val="0"/>
                <w:sz w:val="16"/>
                <w:szCs w:val="16"/>
                <w14:ligatures w14:val="none"/>
              </w:rPr>
              <w:instrText xml:space="preserve"> ( </w:instrText>
            </w:r>
            <w:r w:rsidR="00FA7458" w:rsidRPr="001F49E7">
              <w:rPr>
                <w:rFonts w:eastAsia="Times New Roman" w:cs="Times New Roman"/>
                <w:kern w:val="0"/>
                <w:sz w:val="16"/>
                <w:szCs w:val="16"/>
                <w:rtl/>
                <w14:ligatures w14:val="none"/>
              </w:rPr>
              <w:instrText>برای تمام موارد001/0</w:instrText>
            </w:r>
            <w:r w:rsidR="00FA7458" w:rsidRPr="001F49E7">
              <w:rPr>
                <w:rFonts w:eastAsia="Times New Roman" w:cstheme="minorHAnsi"/>
                <w:kern w:val="0"/>
                <w:sz w:val="16"/>
                <w:szCs w:val="16"/>
                <w14:ligatures w14:val="none"/>
              </w:rPr>
              <w:instrText xml:space="preserve"> p &amp;lt; ) . </w:instrText>
            </w:r>
            <w:r w:rsidR="00FA7458" w:rsidRPr="001F49E7">
              <w:rPr>
                <w:rFonts w:eastAsia="Times New Roman" w:cs="Times New Roman"/>
                <w:kern w:val="0"/>
                <w:sz w:val="16"/>
                <w:szCs w:val="16"/>
                <w:rtl/>
                <w14:ligatures w14:val="none"/>
              </w:rPr>
              <w:instrText>نتیجه گیری: در مجموع شیوع اضافه وزن و چاقی در کارکنان پالایشگاه آبادان بالاتر از میانگین</w:instrText>
            </w:r>
            <w:r w:rsidR="00FA7458" w:rsidRPr="001F49E7">
              <w:rPr>
                <w:rFonts w:eastAsia="Times New Roman" w:cstheme="minorHAnsi"/>
                <w:kern w:val="0"/>
                <w:sz w:val="16"/>
                <w:szCs w:val="16"/>
                <w14:ligatures w14:val="none"/>
              </w:rPr>
              <w:instrText xml:space="preserve"> </w:instrText>
            </w:r>
            <w:r w:rsidR="00FA7458" w:rsidRPr="001F49E7">
              <w:rPr>
                <w:rFonts w:eastAsia="Times New Roman" w:cs="Times New Roman"/>
                <w:kern w:val="0"/>
                <w:sz w:val="16"/>
                <w:szCs w:val="16"/>
                <w:rtl/>
                <w14:ligatures w14:val="none"/>
              </w:rPr>
              <w:instrText>کشوری و صنایع مشابه در نقاط دیگر جهان می باشد. توجه به برنامه های ترویج سبک زندگی سالم در مناطق صنعتی با تاکید بر گروه های پرخطر مانند افراد میانسال، با وضعیت اقتصادی-اجتماعی نامناسب، و شاغل در شیفت های غیر صبحکار می تواند بر بهبود وضعیت جسمانی و سلامتی</w:instrText>
            </w:r>
            <w:r w:rsidR="00FA7458" w:rsidRPr="001F49E7">
              <w:rPr>
                <w:rFonts w:eastAsia="Times New Roman" w:cstheme="minorHAnsi"/>
                <w:kern w:val="0"/>
                <w:sz w:val="16"/>
                <w:szCs w:val="16"/>
                <w14:ligatures w14:val="none"/>
              </w:rPr>
              <w:instrText xml:space="preserve"> </w:instrText>
            </w:r>
            <w:r w:rsidR="00FA7458" w:rsidRPr="001F49E7">
              <w:rPr>
                <w:rFonts w:eastAsia="Times New Roman" w:cs="Times New Roman"/>
                <w:kern w:val="0"/>
                <w:sz w:val="16"/>
                <w:szCs w:val="16"/>
                <w:rtl/>
                <w14:ligatures w14:val="none"/>
              </w:rPr>
              <w:instrText>کارکنان نقش موثری داشته باشد</w:instrText>
            </w:r>
            <w:r w:rsidR="00FA7458" w:rsidRPr="001F49E7">
              <w:rPr>
                <w:rFonts w:eastAsia="Times New Roman" w:cstheme="minorHAnsi"/>
                <w:kern w:val="0"/>
                <w:sz w:val="16"/>
                <w:szCs w:val="16"/>
                <w14:ligatures w14:val="none"/>
              </w:rPr>
              <w:instrText xml:space="preserve">.","container-title":"Journal of School of Public Health and Institute of Public Health Research","issue":"1","note":"_eprint: http://sjsph.tums.ac.ir/article-1-5477-fa.pdf","title":"Prevalence of Overweight and Obesity in the Personnel of Abadan Oil Refinery and Factors Related to It","URL":"http://sjsph.tums.ac.ir/article-1-5477-fa.html","volume":"15","author":[{"family":"Mojtahedzadeh","given":"Seyed Mohammad"},{"family":"Holakouie-Naieni","given":"Kourosh"},{"family":"Nematollahi","given":"Shahrzad"},{"family":"Mazarei","given":"Amir Hossein"}],"issued":{"date-parts":[["2017"]]}}}],"schema":"https://github.com/citation-style-language/schema/raw/master/csl-citation.json"}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(9)</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1AA1CFF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Abadan (Urban)</w:t>
            </w:r>
          </w:p>
        </w:tc>
        <w:tc>
          <w:tcPr>
            <w:tcW w:w="769" w:type="pct"/>
            <w:tcMar>
              <w:top w:w="30" w:type="dxa"/>
              <w:left w:w="45" w:type="dxa"/>
              <w:bottom w:w="30" w:type="dxa"/>
              <w:right w:w="45" w:type="dxa"/>
            </w:tcMar>
            <w:vAlign w:val="center"/>
          </w:tcPr>
          <w:p w14:paraId="4C05D4DA" w14:textId="01AEB21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20-64</w:t>
            </w:r>
          </w:p>
        </w:tc>
        <w:tc>
          <w:tcPr>
            <w:tcW w:w="992" w:type="pct"/>
            <w:tcMar>
              <w:top w:w="30" w:type="dxa"/>
              <w:left w:w="45" w:type="dxa"/>
              <w:bottom w:w="30" w:type="dxa"/>
              <w:right w:w="45" w:type="dxa"/>
            </w:tcMar>
            <w:vAlign w:val="center"/>
          </w:tcPr>
          <w:p w14:paraId="16C37FAC" w14:textId="2234C1CE"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Personnel of Abadan Oil Refinery during Mar 2012-Mar 2014</w:t>
            </w:r>
          </w:p>
        </w:tc>
        <w:tc>
          <w:tcPr>
            <w:tcW w:w="533" w:type="pct"/>
            <w:tcMar>
              <w:top w:w="30" w:type="dxa"/>
              <w:left w:w="45" w:type="dxa"/>
              <w:bottom w:w="30" w:type="dxa"/>
              <w:right w:w="45" w:type="dxa"/>
            </w:tcMar>
            <w:vAlign w:val="center"/>
          </w:tcPr>
          <w:p w14:paraId="6505A01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721</w:t>
            </w:r>
          </w:p>
        </w:tc>
        <w:tc>
          <w:tcPr>
            <w:tcW w:w="570" w:type="pct"/>
            <w:tcMar>
              <w:top w:w="30" w:type="dxa"/>
              <w:left w:w="45" w:type="dxa"/>
              <w:bottom w:w="30" w:type="dxa"/>
              <w:right w:w="45" w:type="dxa"/>
            </w:tcMar>
            <w:vAlign w:val="center"/>
          </w:tcPr>
          <w:p w14:paraId="23DC159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610" w:type="pct"/>
            <w:tcMar>
              <w:top w:w="30" w:type="dxa"/>
              <w:left w:w="45" w:type="dxa"/>
              <w:bottom w:w="30" w:type="dxa"/>
              <w:right w:w="45" w:type="dxa"/>
            </w:tcMar>
            <w:vAlign w:val="center"/>
          </w:tcPr>
          <w:p w14:paraId="4D35C76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2.77%</w:t>
            </w:r>
          </w:p>
        </w:tc>
      </w:tr>
      <w:tr w:rsidR="007911AE" w:rsidRPr="001F49E7" w14:paraId="1AD500A2" w14:textId="77777777" w:rsidTr="001F49E7">
        <w:trPr>
          <w:trHeight w:val="900"/>
        </w:trPr>
        <w:tc>
          <w:tcPr>
            <w:tcW w:w="840" w:type="pct"/>
            <w:tcMar>
              <w:top w:w="30" w:type="dxa"/>
              <w:left w:w="45" w:type="dxa"/>
              <w:bottom w:w="30" w:type="dxa"/>
              <w:right w:w="45" w:type="dxa"/>
            </w:tcMar>
            <w:vAlign w:val="center"/>
            <w:hideMark/>
          </w:tcPr>
          <w:p w14:paraId="08CDE6D2" w14:textId="2D0D79A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Gholizadeh 2018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{"citationID":"gwWocTB1","properties":{"formattedCitation":"(10)","plainCitation":"(10)","noteIndex":0},"citationItems":[{"id":"ulROLKvl/ztXmzMcm","uris":["http://zotero.org/users/16072611/items/6URRLUPZ"],"itemData":{"id":321,"type":"article-journal","abstract":"INTRODUCTION: Prediabetes is considered as an increased risk factor for cardiovascular disease and overt diabetes and is the precursor stage of diabetes. Dietary Diversity Score (DDS) is recognized as an essential factor of a high-quality diet. However, diets with more varieties of food items might increase calorie intake and body weight. Therefore, this study was carried out to determine the association of DDS with metabolic syndrome features in adults with prediabetes.\nMETHODS: Three hundred subjects were randomly selected from participants who were undergone diabetes test screening program. Dietary intake was assessed by using a validated semi-quantitative food frequency questionnaire. DDS was calculated by scoring food intake as nine food groups. The 18-items USDA household food securities and International Physical Activity (IPAQ) were also measured. The metabolic syndrome was defined according to the Adult Treatment Panel III.\nRESULTS: DDS mean for cases and controls were 4.43 and 4.9, respectively (p&lt;0.005). The prevalence of food insecurity was 67/3% in cases and 55/4% in controls group. The decrease in metabolic syndrome probability was compatible with quartiles of DDS (the quartiles odds ratios: 0.6, 0.5, 0.4, 0.19, P=0.05). A higher DDS was associated with lower level of fasting blood glucose, HDL-cholesterol, TG and Waist circumference.\nCONCLUSION: Lower DDS was associated with high probability of metabolic syndrome and with some features of it, like high fasting blood glucose. Therefore, it seems that increase in dietary diversity scores could prevent the pre diabetes development to overt diabetes.","container-title":"Primary Care Diabetes","DOI":"10.1016/j.pcd.2018.03.003","ISSN":"1878-0210","issue":"4","journalAbbreviation":"Prim Care Diabetes","language":"eng","page":"338-344","PMID":"29650341","source":"PubMed","title":"The relation of Dietary diversity score and food insecurity to metabolic syndrome features and glucose level among pre-diabetes subjects","volume":"12","author":[{"family":"Gholizadeh","given":"Farhad"},{"family":"Moludi","given":"Jalal"},{"family":"Lotfi Yagin","given":"Ned"},{"family":"Alizadeh","given":"Mohammad"},{"family":"Mostafa Nachvak","given":"Seyed"},{"family":"Abdollahzad","given":"Hadi"},{"family":"Mirzaei","given":"Khadijeh"},{"family":"Mostafazadeh","given":"Mostafa"}],"issued":{"date-parts":[["2018",8]]}}}],"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(10)</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5E1CC2C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hideMark/>
          </w:tcPr>
          <w:p w14:paraId="762F94C2" w14:textId="440EA0D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20-60</w:t>
            </w:r>
          </w:p>
        </w:tc>
        <w:tc>
          <w:tcPr>
            <w:tcW w:w="992" w:type="pct"/>
            <w:tcMar>
              <w:top w:w="30" w:type="dxa"/>
              <w:left w:w="45" w:type="dxa"/>
              <w:bottom w:w="30" w:type="dxa"/>
              <w:right w:w="45" w:type="dxa"/>
            </w:tcMar>
            <w:vAlign w:val="center"/>
            <w:hideMark/>
          </w:tcPr>
          <w:p w14:paraId="1A6AC7FF" w14:textId="524695D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Prediabetic individuals whose diabetes was diagnosed ≤4 months ago; excluded if history of heart disease or heart attacks, cancer, DM, smoking, medications affecting blood pressure, blood lipids, and blood glucose, dieting</w:t>
            </w:r>
          </w:p>
        </w:tc>
        <w:tc>
          <w:tcPr>
            <w:tcW w:w="533" w:type="pct"/>
            <w:tcMar>
              <w:top w:w="30" w:type="dxa"/>
              <w:left w:w="45" w:type="dxa"/>
              <w:bottom w:w="30" w:type="dxa"/>
              <w:right w:w="45" w:type="dxa"/>
            </w:tcMar>
            <w:vAlign w:val="center"/>
            <w:hideMark/>
          </w:tcPr>
          <w:p w14:paraId="0D873C4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300; Healthy:150; Pre-DM: 150</w:t>
            </w:r>
          </w:p>
        </w:tc>
        <w:tc>
          <w:tcPr>
            <w:tcW w:w="570" w:type="pct"/>
            <w:tcMar>
              <w:top w:w="30" w:type="dxa"/>
              <w:left w:w="45" w:type="dxa"/>
              <w:bottom w:w="30" w:type="dxa"/>
              <w:right w:w="45" w:type="dxa"/>
            </w:tcMar>
            <w:vAlign w:val="center"/>
            <w:hideMark/>
          </w:tcPr>
          <w:p w14:paraId="18215EC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PreDM: 44.8 ± 7.9</w:t>
            </w:r>
            <w:r w:rsidRPr="001F49E7">
              <w:rPr>
                <w:rFonts w:eastAsia="Times New Roman" w:cstheme="minorHAnsi"/>
                <w:kern w:val="0"/>
                <w:sz w:val="16"/>
                <w:szCs w:val="16"/>
                <w14:ligatures w14:val="none"/>
              </w:rPr>
              <w:br/>
              <w:t>healthy: 44.9 ± 7.2</w:t>
            </w:r>
          </w:p>
        </w:tc>
        <w:tc>
          <w:tcPr>
            <w:tcW w:w="610" w:type="pct"/>
            <w:tcMar>
              <w:top w:w="30" w:type="dxa"/>
              <w:left w:w="45" w:type="dxa"/>
              <w:bottom w:w="30" w:type="dxa"/>
              <w:right w:w="45" w:type="dxa"/>
            </w:tcMar>
            <w:vAlign w:val="center"/>
            <w:hideMark/>
          </w:tcPr>
          <w:p w14:paraId="533E5F2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PreDM: 56%</w:t>
            </w:r>
            <w:r w:rsidRPr="001F49E7">
              <w:rPr>
                <w:rFonts w:eastAsia="Times New Roman" w:cstheme="minorHAnsi"/>
                <w:kern w:val="0"/>
                <w:sz w:val="16"/>
                <w:szCs w:val="16"/>
                <w14:ligatures w14:val="none"/>
              </w:rPr>
              <w:br/>
              <w:t>healthy: 44%</w:t>
            </w:r>
          </w:p>
        </w:tc>
      </w:tr>
      <w:tr w:rsidR="007911AE" w:rsidRPr="001F49E7" w14:paraId="270C8577" w14:textId="77777777" w:rsidTr="001F49E7">
        <w:trPr>
          <w:trHeight w:val="900"/>
        </w:trPr>
        <w:tc>
          <w:tcPr>
            <w:tcW w:w="840" w:type="pct"/>
            <w:tcMar>
              <w:top w:w="30" w:type="dxa"/>
              <w:left w:w="45" w:type="dxa"/>
              <w:bottom w:w="30" w:type="dxa"/>
              <w:right w:w="45" w:type="dxa"/>
            </w:tcMar>
            <w:vAlign w:val="center"/>
            <w:hideMark/>
          </w:tcPr>
          <w:p w14:paraId="4B9883DF" w14:textId="000A4B9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K. Hajian-Tilaki 2018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{"citationID":"sl9fwAC9","properties":{"formattedCitation":"(11)","plainCitation":"(11)","noteIndex":0},"citationItems":[{"id":"ulROLKvl/VRd7RIXb","uris":["http://zotero.org/users/16072611/items/PLZSMS6W"],"itemData":{"id":298,"type":"article-journal","abstract":"AIMS: The objective of this study was to determine the prevalence and the associated factors of metabolically unhealthy in normal-weight and metabolically healthy in obese.\nMETHODS: We analyzed the data of a representative sample of 986 participants recruited among adult population of north of Iran. Data were collected regarding demographic characteristics, lifestyle, body mass index, abdominal obesity measures, blood pressure, and lipid profiles. The participants were classified as metabolically healthy obese (MHO) and metabolically unhealthy normal-weight (MUNW). Metabolically unhealthy was defined as the presence of</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 </w:instrText>
            </w:r>
            <w:r w:rsidR="00207711" w:rsidRPr="001F49E7">
              <w:rPr>
                <w:rFonts w:ascii="Aptos" w:eastAsia="Times New Roman" w:hAnsi="Aptos" w:cs="Aptos"/>
                <w:kern w:val="0"/>
                <w:sz w:val="16"/>
                <w:szCs w:val="16"/>
                <w14:ligatures w14:val="none"/>
              </w:rPr>
              <w:instrText>≥</w:instrText>
            </w:r>
            <w:r w:rsidR="00207711" w:rsidRPr="001F49E7">
              <w:rPr>
                <w:rFonts w:eastAsia="Times New Roman" w:cstheme="minorHAnsi"/>
                <w:kern w:val="0"/>
                <w:sz w:val="16"/>
                <w:szCs w:val="16"/>
                <w14:ligatures w14:val="none"/>
              </w:rPr>
              <w:instrText xml:space="preserve">2 non-obese components of metabolic syndrome based on ATP III criteria.\nRESULTS: The prevalence rate of MUNW and MHO accounted for 17.2% and 15.1% respectively. Mean age of participants with metabolically unhealthy was significantly greater than metabolically healthy in both normal weight and overweight/obese (P=0.001). The results of multiple logistic regression analysis showed in normal-weight individuals, a significant association of MUNW was found with age group of 50-59 years(OR=3.83, 95%CI: 1.71-8.57) and 60-70 years by OR=4.74(95%CI:1.79-12.54) as compared with age group of 20-29 years. It was also associated with current smoking. While metabolically healthy state in overweight/obese was inversely associated with age 50-59 years by OR=0.26 (95%CI:0.13-0.54) and age 60-70 years by OR=0.15 (95%CI:0.05- 0.39) and higher WC by OR=0.47 (95%CI:0.31-0.72) but positively associated with female-sex by OR=1.74 (95%CI:1.07-2.82).\nCONCLUSION: Aging and smoking are significantly associated with metabolic abnormalities in normal-weight while aging, abdominal obesity negatively and female positively associated with metabolically healthy in obese.","container-title":"Diabetes &amp; Metabolic Syndrome","DOI":"10.1016/j.dsx.2017.11.005","ISSN":"1878-0334","issue":"2","journalAbbreviation":"Diabetes Metab Syndr","language":"eng","page":"129-134","PMID":"29196231","source":"PubMed","title":"Metabolically healthy obese and unhealthy normal weight in Iranian adult population: Prevalence and the associated factors","title-short":"Metabolically healthy obese and unhealthy normal weight in Iranian adult population","volume":"12","author":[{"family":"Hajian-Tilaki","given":"Karimollah"},{"family":"Heidari","given":"Behzad"}],"issued":{"date-parts":[["2018"]]}}}],"schema":"https://github.com/citation-style-language/schema/raw/master/csl-citation.json"}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(11)</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3507D70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Babol (Urban)</w:t>
            </w:r>
          </w:p>
        </w:tc>
        <w:tc>
          <w:tcPr>
            <w:tcW w:w="769" w:type="pct"/>
            <w:tcMar>
              <w:top w:w="30" w:type="dxa"/>
              <w:left w:w="45" w:type="dxa"/>
              <w:bottom w:w="30" w:type="dxa"/>
              <w:right w:w="45" w:type="dxa"/>
            </w:tcMar>
            <w:vAlign w:val="center"/>
            <w:hideMark/>
          </w:tcPr>
          <w:p w14:paraId="1CB0C9E2" w14:textId="6F7C7E2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20-70</w:t>
            </w:r>
          </w:p>
        </w:tc>
        <w:tc>
          <w:tcPr>
            <w:tcW w:w="992" w:type="pct"/>
            <w:tcMar>
              <w:top w:w="30" w:type="dxa"/>
              <w:left w:w="45" w:type="dxa"/>
              <w:bottom w:w="30" w:type="dxa"/>
              <w:right w:w="45" w:type="dxa"/>
            </w:tcMar>
            <w:vAlign w:val="center"/>
            <w:hideMark/>
          </w:tcPr>
          <w:p w14:paraId="453DAA0F" w14:textId="7124FEC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Excluded if pregnant women, BMI </w:t>
            </w:r>
            <w:r w:rsidRPr="001F49E7">
              <w:rPr>
                <w:rFonts w:ascii="Times New Roman" w:eastAsia="Times New Roman" w:hAnsi="Times New Roman" w:cs="Times New Roman"/>
                <w:kern w:val="0"/>
                <w:sz w:val="16"/>
                <w:szCs w:val="16"/>
                <w14:ligatures w14:val="none"/>
              </w:rPr>
              <w:t>˂</w:t>
            </w:r>
            <w:r w:rsidRPr="001F49E7">
              <w:rPr>
                <w:rFonts w:eastAsia="Times New Roman" w:cstheme="minorHAnsi"/>
                <w:kern w:val="0"/>
                <w:sz w:val="16"/>
                <w:szCs w:val="16"/>
                <w14:ligatures w14:val="none"/>
              </w:rPr>
              <w:t xml:space="preserve"> 18.5</w:t>
            </w:r>
          </w:p>
        </w:tc>
        <w:tc>
          <w:tcPr>
            <w:tcW w:w="533" w:type="pct"/>
            <w:tcMar>
              <w:top w:w="30" w:type="dxa"/>
              <w:left w:w="45" w:type="dxa"/>
              <w:bottom w:w="30" w:type="dxa"/>
              <w:right w:w="45" w:type="dxa"/>
            </w:tcMar>
            <w:vAlign w:val="center"/>
            <w:hideMark/>
          </w:tcPr>
          <w:p w14:paraId="6FD513C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986;</w:t>
            </w:r>
            <w:r w:rsidRPr="001F49E7">
              <w:rPr>
                <w:rFonts w:eastAsia="Times New Roman" w:cstheme="minorHAnsi"/>
                <w:kern w:val="0"/>
                <w:sz w:val="16"/>
                <w:szCs w:val="16"/>
                <w14:ligatures w14:val="none"/>
              </w:rPr>
              <w:br/>
              <w:t>MHNW: 154</w:t>
            </w:r>
          </w:p>
          <w:p w14:paraId="4D617B58" w14:textId="7626427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102</w:t>
            </w:r>
          </w:p>
          <w:p w14:paraId="69B1DBCF" w14:textId="2C13BC3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48</w:t>
            </w:r>
          </w:p>
        </w:tc>
        <w:tc>
          <w:tcPr>
            <w:tcW w:w="570" w:type="pct"/>
            <w:tcMar>
              <w:top w:w="30" w:type="dxa"/>
              <w:left w:w="45" w:type="dxa"/>
              <w:bottom w:w="30" w:type="dxa"/>
              <w:right w:w="45" w:type="dxa"/>
            </w:tcMar>
            <w:vAlign w:val="center"/>
            <w:hideMark/>
          </w:tcPr>
          <w:p w14:paraId="1EB0F3C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MHNW: 34.4 ± 12.1</w:t>
            </w:r>
          </w:p>
          <w:p w14:paraId="6307222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38.1 ± 10.7</w:t>
            </w:r>
          </w:p>
          <w:p w14:paraId="674A96A6" w14:textId="3E5158C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41.0 ± 9.4</w:t>
            </w:r>
          </w:p>
        </w:tc>
        <w:tc>
          <w:tcPr>
            <w:tcW w:w="610" w:type="pct"/>
            <w:tcMar>
              <w:top w:w="30" w:type="dxa"/>
              <w:left w:w="45" w:type="dxa"/>
              <w:bottom w:w="30" w:type="dxa"/>
              <w:right w:w="45" w:type="dxa"/>
            </w:tcMar>
            <w:vAlign w:val="center"/>
            <w:hideMark/>
          </w:tcPr>
          <w:p w14:paraId="10222DC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MHNW: 42%</w:t>
            </w:r>
          </w:p>
          <w:p w14:paraId="62F8C66D" w14:textId="5A00696E"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39.1%</w:t>
            </w:r>
          </w:p>
          <w:p w14:paraId="33824136" w14:textId="3CF874E9"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19%</w:t>
            </w:r>
          </w:p>
        </w:tc>
      </w:tr>
      <w:tr w:rsidR="007911AE" w:rsidRPr="001F49E7" w14:paraId="7E413113" w14:textId="77777777" w:rsidTr="001F49E7">
        <w:trPr>
          <w:trHeight w:val="900"/>
        </w:trPr>
        <w:tc>
          <w:tcPr>
            <w:tcW w:w="840" w:type="pct"/>
            <w:tcMar>
              <w:top w:w="30" w:type="dxa"/>
              <w:left w:w="45" w:type="dxa"/>
              <w:bottom w:w="30" w:type="dxa"/>
              <w:right w:w="45" w:type="dxa"/>
            </w:tcMar>
            <w:vAlign w:val="center"/>
          </w:tcPr>
          <w:p w14:paraId="252624DC" w14:textId="0455616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Sahebkar 2019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xuM5CltN","properties":{"unsorted":false,"formattedCitation":"(12)","plainCitation":"(12)","noteIndex":0},"citationItems":[{"id":234,"uris":["http://zotero.org/users/local/SBvLfXY8/items/IGNVSUBP"],"itemData":{"id":234,"type":"article-journal","abstract":"BACKGROUND: To investigate the geographical distribution of physical activity (PA) prevalence among adults aged 15-64 years old across Iran provinces using  geographic maps. METHODS: Data from 4 consecutive national surveys conducted  between 2007 and 2010 were pooled to determine the geographical distribution.  Prevalence of low PA with 95% confidence interval was estimated by  sociodemographic subpopulations over provinces using complex survey design.  RESULTS: In total, 119,560 participants (49.9% females) were included in the  analyses. The mean (SD) age of participants was 39.5 (14.3) years. The prevalence  of the low PA in the pooled 2007-2010 was 35.8% (95% confidence interval,  34.1-37.6). The 3 provinces with the highest prevalence of low PA were Sistan and  Baluchestan, Yazd, and Hormozgan. The results of hot spot analysis showed that  the Kerman province was a hot spot, and Ilam, Kermanshah, Hamedan, and Markazi  were cold spots for low PA. Ilam, Kohgiluyeh and Boyer-Ahmad, and Mazandaran had  the highest total PA volume (metabolic equivalent minutes per week). Hot spot  analysis showed that Ilam and Khuzestan provinces were hot spots for the total PA  volume. CONCLUSIONS: The regions with low and high PA are predominately situated  in the near center/southeast and west, respectively.","container-title":"Journal of physical activity &amp; health","DOI":"10.1123/jpah.2019-0053","ISSN":"1543-5474 1543-3080","issue":"12","journalAbbreviation":"J Phys Act Health","language":"eng","page":"1071-1077","PMID":"31541069","publisher-place":"United States","title":"Geographical Patterning of Physical Activity Prevalence in Iran: Spatial Analysis of 4 Pooled National Health Surveys Among 119,560 Adults.","volume":"16","author":[{"family":"Sahebkar","given":"Mohammad"},{"family":"Heidarian Miri","given":"Hamid"},{"family":"Noormohammadpour","given":"Pardis"},{"family":"Tiyuri","given":"Amir"},{"family":"Pakzad","given":"Reza"},{"family":"Mansournia","given":"Nasrin"},{"family":"Heidari","given":"Zahra"},{"family":"Mansournia","given":"Mohammad Ali"},{"family":"Stamatakis","given":"Emmanuel"}],"issued":{"date-parts":[["2019",12,1]]}}}],"schema":"https://github.com/citation-style-language/schema/raw/master/csl-citation.json"}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(12)</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4360D38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National</w:t>
            </w:r>
          </w:p>
        </w:tc>
        <w:tc>
          <w:tcPr>
            <w:tcW w:w="769" w:type="pct"/>
            <w:tcMar>
              <w:top w:w="30" w:type="dxa"/>
              <w:left w:w="45" w:type="dxa"/>
              <w:bottom w:w="30" w:type="dxa"/>
              <w:right w:w="45" w:type="dxa"/>
            </w:tcMar>
            <w:vAlign w:val="center"/>
          </w:tcPr>
          <w:p w14:paraId="3CDAEF49" w14:textId="639C9A8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15–64</w:t>
            </w:r>
          </w:p>
        </w:tc>
        <w:tc>
          <w:tcPr>
            <w:tcW w:w="992" w:type="pct"/>
            <w:tcMar>
              <w:top w:w="30" w:type="dxa"/>
              <w:left w:w="45" w:type="dxa"/>
              <w:bottom w:w="30" w:type="dxa"/>
              <w:right w:w="45" w:type="dxa"/>
            </w:tcMar>
            <w:vAlign w:val="center"/>
          </w:tcPr>
          <w:p w14:paraId="361AA8F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tcPr>
          <w:p w14:paraId="37D1300D" w14:textId="086B51A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119,560</w:t>
            </w:r>
          </w:p>
        </w:tc>
        <w:tc>
          <w:tcPr>
            <w:tcW w:w="570" w:type="pct"/>
            <w:tcMar>
              <w:top w:w="30" w:type="dxa"/>
              <w:left w:w="45" w:type="dxa"/>
              <w:bottom w:w="30" w:type="dxa"/>
              <w:right w:w="45" w:type="dxa"/>
            </w:tcMar>
            <w:vAlign w:val="center"/>
          </w:tcPr>
          <w:p w14:paraId="6F2D232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39.5 ± 14.3</w:t>
            </w:r>
          </w:p>
        </w:tc>
        <w:tc>
          <w:tcPr>
            <w:tcW w:w="610" w:type="pct"/>
            <w:tcMar>
              <w:top w:w="30" w:type="dxa"/>
              <w:left w:w="45" w:type="dxa"/>
              <w:bottom w:w="30" w:type="dxa"/>
              <w:right w:w="45" w:type="dxa"/>
            </w:tcMar>
            <w:vAlign w:val="center"/>
          </w:tcPr>
          <w:p w14:paraId="31AABDD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49.99%</w:t>
            </w:r>
          </w:p>
        </w:tc>
      </w:tr>
      <w:tr w:rsidR="007911AE" w:rsidRPr="001F49E7" w14:paraId="3BA2CF81" w14:textId="77777777" w:rsidTr="001F49E7">
        <w:trPr>
          <w:trHeight w:val="900"/>
        </w:trPr>
        <w:tc>
          <w:tcPr>
            <w:tcW w:w="840" w:type="pct"/>
            <w:tcMar>
              <w:top w:w="30" w:type="dxa"/>
              <w:left w:w="45" w:type="dxa"/>
              <w:bottom w:w="30" w:type="dxa"/>
              <w:right w:w="45" w:type="dxa"/>
            </w:tcMar>
            <w:vAlign w:val="center"/>
            <w:hideMark/>
          </w:tcPr>
          <w:p w14:paraId="18E9E837" w14:textId="1AAC8F3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Cheraghian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{"citationID":"d34fc8Q2","properties":{"formattedCitation":"(13)","plainCitation":"(13)","noteIndex":0},"citationItems":[{"id":"ulROLKvl/G8PK6kjs","uris":["http://zotero.org/users/16072611/items/MV2D7RFS"],"itemData":{"id":463,"type":"article-journal","abstract":"BACKGROUND: Non-communicable diseases (NCDs) are the leading cause of death worldwide, with a disproportionally rising burden among low- and middle-income populations. While preventable risk factors highly contribute to this burden, population-based studies assessing these factors and the health status of these populations, are scarce.\nMETHODS: The Khuzestan Comprehensive Health Study (KCHS)-a cross sectional study-was conducted between 2016-2019, including 30,506 Iranians aged 20 to 65 years, from 27 counties of Khuzestan province, southwest of Iran. KCHS aimed to provide a comprehensive health overview by investigating the prevalence and risk factors of NCDs and psychological disorders, along with viral hepatitis as a common communicable disease. Upon registration, 15 mL of blood and anthropometric measurements were obtained from participants. Afterwards, several interviewer-administered questionnaires were completed to gather data on demographics, socioeconomic status, sleep quality, physical activity, lifestyle habits, nutrition, and medical history.\nRESULTS: The mean ± SD age of participants was 41.7 ± 11.9 years. The majority were female (64.3%), of the Arab ethnicity (49%), married (83%), and urban residents (73.1%). About 70% had an educational level below high school diploma. Overall, 10.8%, 5.2%, and 2.8% of participants had used cigarettes, hookah, and drugs at least once in their lifetime, respectively. While body mass index and serum cholesterol levels were higher in females, blood pressure was higher in males (P&lt;0.001).\nCONCLUSION: KCHS assessed many aspects of health in the Khuzestan province. In addition to develop a biobank along with a comprehensive dataset, KCHS will serve as a valuable infrastructure for future research.","container-title":"Archives of Iranian Medicine","DOI":"10.34172/aim.2020.82","ISSN":"1735-3947","issue":"10","journalAbbreviation":"Arch Iran Med","language":"eng","page":"653-657","PMID":"33107305","source":"PubMed","title":"The Khuzestan Comprehensive Health Study (KCHS): Methodology and Profile of Participants","title-short":"The Khuzestan Comprehensive Health Study (KCHS)","volume":"23","author":[{"family":"Cheraghian","given":"Bahman"},{"family":"Sharafkhah","given":"Maryam"},{"family":"Mohammadi","given":"Zahra"},{"family":"Hariri","given":"Sanam"},{"family":"Rahimi","given":"Zahra"},{"family":"Danehchin","given":"Leila"},{"family":"Paridar","given":"Yousef"},{"family":"Abolnejadian","given":"Farhad"},{"family":"Noori","given":"Mohammad"},{"family":"Mard","given":"Seyed Ali"},{"family":"Eghtesad","given":"Sareh"},{"family":"Shayanrad","given":"Amaneh"},{"family":"Etemadi","given":"Arash"},{"family":"Ghanbari","given":"Reza"},{"family":"Hashemi","given":"Farnaz"},{"family":"Masoudi","given":"Sahar"},{"family":"Shayesteh","given":"Ali Akbar"},{"family":"Poustchi","given":"Hossein"}],"issued":{"date-parts":[["2020",10,1]]}}}],"schema":"https://github.com/citation-style-language/schema/raw/master/csl-citation.json"}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(13)</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07E3CF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Khuzestan (Urban &amp; rural)</w:t>
            </w:r>
          </w:p>
        </w:tc>
        <w:tc>
          <w:tcPr>
            <w:tcW w:w="769" w:type="pct"/>
            <w:tcMar>
              <w:top w:w="30" w:type="dxa"/>
              <w:left w:w="45" w:type="dxa"/>
              <w:bottom w:w="30" w:type="dxa"/>
              <w:right w:w="45" w:type="dxa"/>
            </w:tcMar>
            <w:vAlign w:val="center"/>
            <w:hideMark/>
          </w:tcPr>
          <w:p w14:paraId="47F97C6A" w14:textId="371BF44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20-65</w:t>
            </w:r>
          </w:p>
        </w:tc>
        <w:tc>
          <w:tcPr>
            <w:tcW w:w="992" w:type="pct"/>
            <w:tcMar>
              <w:top w:w="30" w:type="dxa"/>
              <w:left w:w="45" w:type="dxa"/>
              <w:bottom w:w="30" w:type="dxa"/>
              <w:right w:w="45" w:type="dxa"/>
            </w:tcMar>
            <w:vAlign w:val="center"/>
            <w:hideMark/>
          </w:tcPr>
          <w:p w14:paraId="4926D48F" w14:textId="1BCA979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Excluded </w:t>
            </w:r>
            <w:r w:rsidR="00A22249" w:rsidRPr="001F49E7">
              <w:rPr>
                <w:rFonts w:eastAsia="Times New Roman" w:cstheme="minorHAnsi"/>
                <w:kern w:val="0"/>
                <w:sz w:val="16"/>
                <w:szCs w:val="16"/>
                <w14:ligatures w14:val="none"/>
              </w:rPr>
              <w:t>if having</w:t>
            </w:r>
            <w:r w:rsidRPr="001F49E7">
              <w:rPr>
                <w:rFonts w:eastAsia="Times New Roman" w:cstheme="minorHAnsi"/>
                <w:kern w:val="0"/>
                <w:sz w:val="16"/>
                <w:szCs w:val="16"/>
                <w14:ligatures w14:val="none"/>
              </w:rPr>
              <w:t xml:space="preserve"> any mental, psychological, or physical disabilities inhibiting the study</w:t>
            </w:r>
          </w:p>
        </w:tc>
        <w:tc>
          <w:tcPr>
            <w:tcW w:w="533" w:type="pct"/>
            <w:tcMar>
              <w:top w:w="30" w:type="dxa"/>
              <w:left w:w="45" w:type="dxa"/>
              <w:bottom w:w="30" w:type="dxa"/>
              <w:right w:w="45" w:type="dxa"/>
            </w:tcMar>
            <w:vAlign w:val="center"/>
            <w:hideMark/>
          </w:tcPr>
          <w:p w14:paraId="71B55AE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30,506</w:t>
            </w:r>
          </w:p>
        </w:tc>
        <w:tc>
          <w:tcPr>
            <w:tcW w:w="570" w:type="pct"/>
            <w:tcMar>
              <w:top w:w="30" w:type="dxa"/>
              <w:left w:w="45" w:type="dxa"/>
              <w:bottom w:w="30" w:type="dxa"/>
              <w:right w:w="45" w:type="dxa"/>
            </w:tcMar>
            <w:vAlign w:val="center"/>
            <w:hideMark/>
          </w:tcPr>
          <w:p w14:paraId="556DFBE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41.7 ± 11.9</w:t>
            </w:r>
          </w:p>
        </w:tc>
        <w:tc>
          <w:tcPr>
            <w:tcW w:w="610" w:type="pct"/>
            <w:tcMar>
              <w:top w:w="30" w:type="dxa"/>
              <w:left w:w="45" w:type="dxa"/>
              <w:bottom w:w="30" w:type="dxa"/>
              <w:right w:w="45" w:type="dxa"/>
            </w:tcMar>
            <w:vAlign w:val="center"/>
            <w:hideMark/>
          </w:tcPr>
          <w:p w14:paraId="7766BE63" w14:textId="76471C0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64.3%</w:t>
            </w:r>
          </w:p>
        </w:tc>
      </w:tr>
      <w:tr w:rsidR="007911AE" w:rsidRPr="001F49E7" w14:paraId="4BE78956" w14:textId="77777777" w:rsidTr="001F49E7">
        <w:trPr>
          <w:trHeight w:val="900"/>
        </w:trPr>
        <w:tc>
          <w:tcPr>
            <w:tcW w:w="840" w:type="pct"/>
            <w:tcMar>
              <w:top w:w="30" w:type="dxa"/>
              <w:left w:w="45" w:type="dxa"/>
              <w:bottom w:w="30" w:type="dxa"/>
              <w:right w:w="45" w:type="dxa"/>
            </w:tcMar>
            <w:vAlign w:val="center"/>
            <w:hideMark/>
          </w:tcPr>
          <w:p w14:paraId="33DE01DB" w14:textId="27E3A0C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H. Najafipour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ENS1wryM","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(14)</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6FA021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 (Urban)</w:t>
            </w:r>
          </w:p>
        </w:tc>
        <w:tc>
          <w:tcPr>
            <w:tcW w:w="769" w:type="pct"/>
            <w:tcMar>
              <w:top w:w="30" w:type="dxa"/>
              <w:left w:w="45" w:type="dxa"/>
              <w:bottom w:w="30" w:type="dxa"/>
              <w:right w:w="45" w:type="dxa"/>
            </w:tcMar>
            <w:vAlign w:val="center"/>
            <w:hideMark/>
          </w:tcPr>
          <w:p w14:paraId="4EA6C48F" w14:textId="05E1288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15-65</w:t>
            </w:r>
          </w:p>
        </w:tc>
        <w:tc>
          <w:tcPr>
            <w:tcW w:w="992" w:type="pct"/>
            <w:tcMar>
              <w:top w:w="30" w:type="dxa"/>
              <w:left w:w="45" w:type="dxa"/>
              <w:bottom w:w="30" w:type="dxa"/>
              <w:right w:w="45" w:type="dxa"/>
            </w:tcMar>
            <w:vAlign w:val="center"/>
            <w:hideMark/>
          </w:tcPr>
          <w:p w14:paraId="6ECF88F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2AC6AF4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9,891; Adult: 8,705</w:t>
            </w:r>
          </w:p>
        </w:tc>
        <w:tc>
          <w:tcPr>
            <w:tcW w:w="570" w:type="pct"/>
            <w:tcMar>
              <w:top w:w="30" w:type="dxa"/>
              <w:left w:w="45" w:type="dxa"/>
              <w:bottom w:w="30" w:type="dxa"/>
              <w:right w:w="45" w:type="dxa"/>
            </w:tcMar>
            <w:vAlign w:val="center"/>
            <w:hideMark/>
          </w:tcPr>
          <w:p w14:paraId="233FAD6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46.2 ± 15.7</w:t>
            </w:r>
          </w:p>
        </w:tc>
        <w:tc>
          <w:tcPr>
            <w:tcW w:w="610" w:type="pct"/>
            <w:tcMar>
              <w:top w:w="30" w:type="dxa"/>
              <w:left w:w="45" w:type="dxa"/>
              <w:bottom w:w="30" w:type="dxa"/>
              <w:right w:w="45" w:type="dxa"/>
            </w:tcMar>
            <w:vAlign w:val="center"/>
            <w:hideMark/>
          </w:tcPr>
          <w:p w14:paraId="5CEB59F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59.4%</w:t>
            </w:r>
          </w:p>
        </w:tc>
      </w:tr>
      <w:tr w:rsidR="007911AE" w:rsidRPr="001F49E7" w14:paraId="15402DDA" w14:textId="77777777" w:rsidTr="001F49E7">
        <w:trPr>
          <w:trHeight w:val="900"/>
        </w:trPr>
        <w:tc>
          <w:tcPr>
            <w:tcW w:w="840" w:type="pct"/>
            <w:tcMar>
              <w:top w:w="30" w:type="dxa"/>
              <w:left w:w="45" w:type="dxa"/>
              <w:bottom w:w="30" w:type="dxa"/>
              <w:right w:w="45" w:type="dxa"/>
            </w:tcMar>
            <w:vAlign w:val="center"/>
            <w:hideMark/>
          </w:tcPr>
          <w:p w14:paraId="062208E6" w14:textId="1A1CC73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Z. Abbaspoor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b1bWWq1H","properties":{"formattedCitation":"(15)","plainCitation":"(15)","noteIndex":0},"citationItems":[{"id":"ulROLKvl/hwLzGBhV","uris":["http://zotero.org/users/16072611/items/DH7ZU5AQ","http://zotero.org/users/16072611/items/6RHSA6TM","http://zotero.org/users/16072611/items/IW7MAZHV","http://zotero.org/users/16072611/items/QT4LT4IW"],"itemData":{"id":529,"type":"article-journal","container-title":"Family Medicine &amp; Primary Care Review","DOI":"10.5114/fmpcr.2020.92499","ISSN":"1734-3402","issue":"1","journalAbbreviation":"Family Medicine &amp; Primary Care Review","page":"7-12","title":"The prevalence of determinants of obesity, metabolic syndrome and overweight in middle-aged urban women living in a megacity","volume":"22","author":[{"family":"Abbaspoor","given":"Zahra"},{"family":"Miryan","given":"Mahsa"},{"family":"Haghighi</w:instrText>
            </w:r>
            <w:r w:rsidR="00207711" w:rsidRPr="001F49E7">
              <w:rPr>
                <w:rFonts w:ascii="Cambria Math" w:eastAsia="Times New Roman" w:hAnsi="Cambria Math" w:cs="Cambria Math"/>
                <w:kern w:val="0"/>
                <w:sz w:val="16"/>
                <w:szCs w:val="16"/>
                <w14:ligatures w14:val="none"/>
              </w:rPr>
              <w:instrText>‐</w:instrText>
            </w:r>
            <w:r w:rsidR="00207711" w:rsidRPr="001F49E7">
              <w:rPr>
                <w:rFonts w:eastAsia="Times New Roman" w:cstheme="minorHAnsi"/>
                <w:kern w:val="0"/>
                <w:sz w:val="16"/>
                <w:szCs w:val="16"/>
                <w14:ligatures w14:val="none"/>
              </w:rPr>
              <w:instrText xml:space="preserve">Zadeh","given":"Mohamad"},{"family":"Rashidi","given":"Homeira"},{"family":"Sharifipoor","given":"Frozan"},{"family":"Amani","given":"Reza"}],"issued":{"date-parts":[["2020"]]}}}],"schema":"https://github.com/citation-style-language/schema/raw/master/csl-citation.json"}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(15)</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2BC134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Ahvaz (Urban)</w:t>
            </w:r>
          </w:p>
        </w:tc>
        <w:tc>
          <w:tcPr>
            <w:tcW w:w="769" w:type="pct"/>
            <w:tcMar>
              <w:top w:w="30" w:type="dxa"/>
              <w:left w:w="45" w:type="dxa"/>
              <w:bottom w:w="30" w:type="dxa"/>
              <w:right w:w="45" w:type="dxa"/>
            </w:tcMar>
            <w:vAlign w:val="center"/>
            <w:hideMark/>
          </w:tcPr>
          <w:p w14:paraId="4C34CB5D" w14:textId="158C6D7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30-65</w:t>
            </w:r>
          </w:p>
        </w:tc>
        <w:tc>
          <w:tcPr>
            <w:tcW w:w="992" w:type="pct"/>
            <w:tcMar>
              <w:top w:w="30" w:type="dxa"/>
              <w:left w:w="45" w:type="dxa"/>
              <w:bottom w:w="30" w:type="dxa"/>
              <w:right w:w="45" w:type="dxa"/>
            </w:tcMar>
            <w:vAlign w:val="center"/>
            <w:hideMark/>
          </w:tcPr>
          <w:p w14:paraId="206A9657" w14:textId="4701B86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6 months since the last menstruation, having at least reading and writing skills, excluded if any known disease (hypothyroidism, PCOS, and </w:t>
            </w:r>
            <w:r w:rsidRPr="001F49E7">
              <w:rPr>
                <w:rFonts w:eastAsia="Times New Roman" w:cstheme="minorHAnsi"/>
                <w:kern w:val="0"/>
                <w:sz w:val="16"/>
                <w:szCs w:val="16"/>
                <w14:ligatures w14:val="none"/>
              </w:rPr>
              <w:lastRenderedPageBreak/>
              <w:t>Cushing’s syndrome) and &gt; 3 months pregnancy</w:t>
            </w:r>
          </w:p>
        </w:tc>
        <w:tc>
          <w:tcPr>
            <w:tcW w:w="533" w:type="pct"/>
            <w:tcMar>
              <w:top w:w="30" w:type="dxa"/>
              <w:left w:w="45" w:type="dxa"/>
              <w:bottom w:w="30" w:type="dxa"/>
              <w:right w:w="45" w:type="dxa"/>
            </w:tcMar>
            <w:vAlign w:val="center"/>
            <w:hideMark/>
          </w:tcPr>
          <w:p w14:paraId="34163C2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600</w:t>
            </w:r>
          </w:p>
        </w:tc>
        <w:tc>
          <w:tcPr>
            <w:tcW w:w="570" w:type="pct"/>
            <w:tcMar>
              <w:top w:w="30" w:type="dxa"/>
              <w:left w:w="45" w:type="dxa"/>
              <w:bottom w:w="30" w:type="dxa"/>
              <w:right w:w="45" w:type="dxa"/>
            </w:tcMar>
            <w:vAlign w:val="center"/>
            <w:hideMark/>
          </w:tcPr>
          <w:p w14:paraId="540DA47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36.64 ± 7.1</w:t>
            </w:r>
          </w:p>
        </w:tc>
        <w:tc>
          <w:tcPr>
            <w:tcW w:w="610" w:type="pct"/>
            <w:tcMar>
              <w:top w:w="30" w:type="dxa"/>
              <w:left w:w="45" w:type="dxa"/>
              <w:bottom w:w="30" w:type="dxa"/>
              <w:right w:w="45" w:type="dxa"/>
            </w:tcMar>
            <w:vAlign w:val="center"/>
            <w:hideMark/>
          </w:tcPr>
          <w:p w14:paraId="2A6C3BD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100%</w:t>
            </w:r>
          </w:p>
        </w:tc>
      </w:tr>
      <w:tr w:rsidR="007911AE" w:rsidRPr="001F49E7" w14:paraId="4893F495" w14:textId="77777777" w:rsidTr="001F49E7">
        <w:trPr>
          <w:trHeight w:val="900"/>
        </w:trPr>
        <w:tc>
          <w:tcPr>
            <w:tcW w:w="840" w:type="pct"/>
            <w:tcMar>
              <w:top w:w="30" w:type="dxa"/>
              <w:left w:w="45" w:type="dxa"/>
              <w:bottom w:w="30" w:type="dxa"/>
              <w:right w:w="45" w:type="dxa"/>
            </w:tcMar>
            <w:vAlign w:val="center"/>
            <w:hideMark/>
          </w:tcPr>
          <w:p w14:paraId="5C31BC23" w14:textId="0430DC3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Bashirian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MpKEliay","properties":{"formattedCitation":"(16)","plainCitation":"(16)","noteIndex":0},"citationItems":[{"id":"ulROLKvl/g5NbywSw","uris":["http://zotero.org/users/16072611/items/SL8IC8EM","http://zotero.org/users/16072611/items/N4XHMV7K"],"itemData":{"id":511,"type":"article-journal","container-title":"International Quarterly of Community Health Education","DOI":"10.1177/0272684X19858897","ISSN":"1541-3519","issue":"2","journalAbbreviation":"Int Q Community Health Educ","language":"eng","page":"151-158","PMID":"31242087","source":"PubMed","title":"Effect of an Educational Intervention Based on the BASNEF Model on Promoting Physical Activity Among Postpartum Women","volume":"40","author":[{"family":"Bashirian","given":"Saeed"},{"family":"Ouji","given":"Zohreh"},{"family":"Afshari","given":"Maryam"},{"family":"Barati","given":"Majid"},{"family":"Heydarimoghadam","given":"Rashid"},{"family":"Soltanian","given":"Alireza"}],"issued":{"date-parts":[["2020",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7B0B5F7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Kermanshah (Urban)</w:t>
            </w:r>
          </w:p>
        </w:tc>
        <w:tc>
          <w:tcPr>
            <w:tcW w:w="769" w:type="pct"/>
            <w:tcMar>
              <w:top w:w="30" w:type="dxa"/>
              <w:left w:w="45" w:type="dxa"/>
              <w:bottom w:w="30" w:type="dxa"/>
              <w:right w:w="45" w:type="dxa"/>
            </w:tcMar>
            <w:vAlign w:val="center"/>
            <w:hideMark/>
          </w:tcPr>
          <w:p w14:paraId="4CBF9467" w14:textId="1BFF9C5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15-45 </w:t>
            </w:r>
          </w:p>
        </w:tc>
        <w:tc>
          <w:tcPr>
            <w:tcW w:w="992" w:type="pct"/>
            <w:tcMar>
              <w:top w:w="30" w:type="dxa"/>
              <w:left w:w="45" w:type="dxa"/>
              <w:bottom w:w="30" w:type="dxa"/>
              <w:right w:w="45" w:type="dxa"/>
            </w:tcMar>
            <w:vAlign w:val="center"/>
            <w:hideMark/>
          </w:tcPr>
          <w:p w14:paraId="6CAD072F" w14:textId="3A3BA41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healthy mothers at 6 weeks to 6 months after the delivery of a healthy child, excluded if acute and severe complications</w:t>
            </w:r>
          </w:p>
        </w:tc>
        <w:tc>
          <w:tcPr>
            <w:tcW w:w="533" w:type="pct"/>
            <w:tcMar>
              <w:top w:w="30" w:type="dxa"/>
              <w:left w:w="45" w:type="dxa"/>
              <w:bottom w:w="30" w:type="dxa"/>
              <w:right w:w="45" w:type="dxa"/>
            </w:tcMar>
            <w:vAlign w:val="center"/>
            <w:hideMark/>
          </w:tcPr>
          <w:p w14:paraId="44F9992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68</w:t>
            </w:r>
          </w:p>
        </w:tc>
        <w:tc>
          <w:tcPr>
            <w:tcW w:w="570" w:type="pct"/>
            <w:tcMar>
              <w:top w:w="30" w:type="dxa"/>
              <w:left w:w="45" w:type="dxa"/>
              <w:bottom w:w="30" w:type="dxa"/>
              <w:right w:w="45" w:type="dxa"/>
            </w:tcMar>
            <w:vAlign w:val="center"/>
            <w:hideMark/>
          </w:tcPr>
          <w:p w14:paraId="36742EA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610" w:type="pct"/>
            <w:tcMar>
              <w:top w:w="30" w:type="dxa"/>
              <w:left w:w="45" w:type="dxa"/>
              <w:bottom w:w="30" w:type="dxa"/>
              <w:right w:w="45" w:type="dxa"/>
            </w:tcMar>
            <w:vAlign w:val="center"/>
            <w:hideMark/>
          </w:tcPr>
          <w:p w14:paraId="222D8D5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100%</w:t>
            </w:r>
          </w:p>
        </w:tc>
      </w:tr>
      <w:tr w:rsidR="007911AE" w:rsidRPr="001F49E7" w14:paraId="3995BE05" w14:textId="77777777" w:rsidTr="001F49E7">
        <w:trPr>
          <w:trHeight w:val="900"/>
        </w:trPr>
        <w:tc>
          <w:tcPr>
            <w:tcW w:w="840" w:type="pct"/>
            <w:tcMar>
              <w:top w:w="30" w:type="dxa"/>
              <w:left w:w="45" w:type="dxa"/>
              <w:bottom w:w="30" w:type="dxa"/>
              <w:right w:w="45" w:type="dxa"/>
            </w:tcMar>
            <w:vAlign w:val="center"/>
            <w:hideMark/>
          </w:tcPr>
          <w:p w14:paraId="73D8FE8C" w14:textId="6012893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Kamalian 2021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{"citationID":"Pz3pbOK5","properties":{"formattedCitation":"(17)","plainCitation":"(17)","noteIndex":0},"citationItems":[{"id":"ulROLKvl/KwsPezOY","uris":["http://zotero.org/users/16072611/items/NCCURUBB"],"itemData":{"id":197,"type":"article-journal","abstract":"Insufficient physical activity (IPA) caused approximately 5% of mortalities in 2017 in Iran, almost double its global average. Despite the relatively considerable burden, a knowledge gap exists regarding the trend of IPA in recent years. We described the trend of IPA prevalence utilizing the data from six rounds of STEPwise approach to risk factor Surveillance (STEPS) in Iran. We estimated the physical activity status of Iranian adults from 2006 to 2016 after adjusting for years of schooling, urbanization percentage, and wealth index. We used the spatiotemporal model to interpolate and extrapolate the IPA prevalence for the years in-between the series and from 2001 to 2006, respectively. We used the data of 177,910 participants from six STEPS surveys and found that the national prevalence of IPA had steadily increased over the course of 16 years and had almost doubled in this time period (23.1% in 2001 to 55.4% in 2016). The increase was persistent across all age and gender strata and in every province. Moreover, IPA was more prevalent among women than their male peers regardless of their age category or province of residence. The prevalence of IPA in Khuzestan (highest prevalence) was almost double compared to that in Lorestan (lowest prevalence) in 2016. The IPA prevalence increased considerably and almost doubled in 16 years among Iranian adults, particularly women. Policies need to target IPA as a high priority contributing to the burden of Non-communicable diseases.","container-title":"Scientific Reports","DOI":"10.1038/s41598-021-00252-3","ISSN":"2045-2322","issue":"1","journalAbbreviation":"Sci Rep","language":"eng","page":"21441","PMID":"34728645","PMCID":"PMC8564525","source":"PubMed","title":"A national and sub-national metaregression of the trend of insufficient physical activity among Iranian adults between 2001 and 2016","volume":"11","author":[{"family":"Kamalian","given":"Aida"},{"family":"Khosravi Shadmani","given":"Fatemeh"},{"family":"Yoosefi","given":"Moein"},{"family":"Mohajer","given":"Bahram"},{"family":"Mohebi","given":"Farnam"},{"family":"Naderimagham","given":"Shohreh"},{"family":"Rezaei","given":"Negar"},{"family":"Ghasemi","given":"Erfan"},{"family":"Rouhifard Khalilabad","given":"Mahtab"},{"family":"Hassanmirzaei","given":"Bahar"},{"family":"Selk Ghaffari","given":"Maryam"},{"family":"Khosravi","given":"Afifeh"},{"family":"Kordi","given":"Ramin"},{"family":"Farzadfar","given":"Farshad"}],"issued":{"date-parts":[["2021",11,2]]}}}],"schema":"https://github.com/citation-style-language/schema/raw/master/csl-citation.json"}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(17)</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6AA2E0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National</w:t>
            </w:r>
          </w:p>
        </w:tc>
        <w:tc>
          <w:tcPr>
            <w:tcW w:w="769" w:type="pct"/>
            <w:tcMar>
              <w:top w:w="30" w:type="dxa"/>
              <w:left w:w="45" w:type="dxa"/>
              <w:bottom w:w="30" w:type="dxa"/>
              <w:right w:w="45" w:type="dxa"/>
            </w:tcMar>
            <w:vAlign w:val="center"/>
            <w:hideMark/>
          </w:tcPr>
          <w:p w14:paraId="6313D74C" w14:textId="15DF7F3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18-70</w:t>
            </w:r>
          </w:p>
        </w:tc>
        <w:tc>
          <w:tcPr>
            <w:tcW w:w="992" w:type="pct"/>
            <w:tcMar>
              <w:top w:w="30" w:type="dxa"/>
              <w:left w:w="45" w:type="dxa"/>
              <w:bottom w:w="30" w:type="dxa"/>
              <w:right w:w="45" w:type="dxa"/>
            </w:tcMar>
            <w:vAlign w:val="center"/>
            <w:hideMark/>
          </w:tcPr>
          <w:p w14:paraId="0B377D3E" w14:textId="4CCFB21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≥18, excluded if people with psychological problems inhibiting the study</w:t>
            </w:r>
          </w:p>
        </w:tc>
        <w:tc>
          <w:tcPr>
            <w:tcW w:w="533" w:type="pct"/>
            <w:tcMar>
              <w:top w:w="30" w:type="dxa"/>
              <w:left w:w="45" w:type="dxa"/>
              <w:bottom w:w="30" w:type="dxa"/>
              <w:right w:w="45" w:type="dxa"/>
            </w:tcMar>
            <w:vAlign w:val="center"/>
            <w:hideMark/>
          </w:tcPr>
          <w:p w14:paraId="6ACC65F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153,882</w:t>
            </w:r>
          </w:p>
          <w:p w14:paraId="3E6FFE7C" w14:textId="77777777" w:rsidR="007911AE" w:rsidRPr="001F49E7" w:rsidRDefault="007911AE" w:rsidP="001F49E7">
            <w:pPr>
              <w:spacing w:after="0" w:line="240" w:lineRule="auto"/>
              <w:jc w:val="center"/>
              <w:rPr>
                <w:rFonts w:eastAsia="Times New Roman" w:cstheme="minorHAnsi"/>
                <w:kern w:val="0"/>
                <w:sz w:val="16"/>
                <w:szCs w:val="16"/>
                <w14:ligatures w14:val="none"/>
              </w:rPr>
            </w:pPr>
          </w:p>
          <w:p w14:paraId="6982A16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2006: 29272</w:t>
            </w:r>
          </w:p>
          <w:p w14:paraId="5376DBC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2007: 25338</w:t>
            </w:r>
          </w:p>
          <w:p w14:paraId="11D99E8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2008: 29076</w:t>
            </w:r>
          </w:p>
          <w:p w14:paraId="64A3A75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2009: 29202</w:t>
            </w:r>
          </w:p>
          <w:p w14:paraId="7556951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2011: 10453</w:t>
            </w:r>
          </w:p>
          <w:p w14:paraId="15A22B7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2016: 30541</w:t>
            </w:r>
          </w:p>
        </w:tc>
        <w:tc>
          <w:tcPr>
            <w:tcW w:w="570" w:type="pct"/>
            <w:tcMar>
              <w:top w:w="30" w:type="dxa"/>
              <w:left w:w="45" w:type="dxa"/>
              <w:bottom w:w="30" w:type="dxa"/>
              <w:right w:w="45" w:type="dxa"/>
            </w:tcMar>
            <w:vAlign w:val="center"/>
            <w:hideMark/>
          </w:tcPr>
          <w:p w14:paraId="096AFA6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18 and above</w:t>
            </w:r>
          </w:p>
        </w:tc>
        <w:tc>
          <w:tcPr>
            <w:tcW w:w="610" w:type="pct"/>
            <w:tcMar>
              <w:top w:w="30" w:type="dxa"/>
              <w:left w:w="45" w:type="dxa"/>
              <w:bottom w:w="30" w:type="dxa"/>
              <w:right w:w="45" w:type="dxa"/>
            </w:tcMar>
            <w:vAlign w:val="center"/>
            <w:hideMark/>
          </w:tcPr>
          <w:p w14:paraId="681530C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2006: 49.62%</w:t>
            </w:r>
          </w:p>
          <w:p w14:paraId="0FFC7F8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2007: 49.06%</w:t>
            </w:r>
          </w:p>
          <w:p w14:paraId="64B5645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2008: 49.28%</w:t>
            </w:r>
          </w:p>
          <w:p w14:paraId="1DD63E1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2009: 49.39%</w:t>
            </w:r>
          </w:p>
          <w:p w14:paraId="3F18907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2011: 56.26%</w:t>
            </w:r>
          </w:p>
          <w:p w14:paraId="2C6BAB4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2016: 52.31%</w:t>
            </w:r>
          </w:p>
        </w:tc>
      </w:tr>
      <w:tr w:rsidR="007911AE" w:rsidRPr="001F49E7" w14:paraId="049B5E02" w14:textId="77777777" w:rsidTr="001F49E7">
        <w:trPr>
          <w:trHeight w:val="900"/>
        </w:trPr>
        <w:tc>
          <w:tcPr>
            <w:tcW w:w="840" w:type="pct"/>
            <w:tcMar>
              <w:top w:w="30" w:type="dxa"/>
              <w:left w:w="45" w:type="dxa"/>
              <w:bottom w:w="30" w:type="dxa"/>
              <w:right w:w="45" w:type="dxa"/>
            </w:tcMar>
            <w:vAlign w:val="center"/>
            <w:hideMark/>
          </w:tcPr>
          <w:p w14:paraId="7A6838E8" w14:textId="17584BE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Mirzaei 2021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{"citationID":"AxFCKd7f","properties":{"formattedCitation":"(18)","plainCitation":"(18)","noteIndex":0},"citationItems":[{"id":"ulROLKvl/EVOUpfgD","uris":["http://zotero.org/users/16072611/items/P8LS7TAX"],"itemData":{"id":479,"type":"article-journal","abstract":"BACKGROUND\nThe prevalence of hypertension (HTN) varies across countries due to differences in its related risk factors. This study aimed to investigate the prevalence of HTN and related risk factors among adults.\n\nMETHODS\nThis study was conducted on the data from the recruitment phase of Yazd Health Study. Using multi-stage random cluster sampling, 10000 adults of 20-69 years were selected. Self-reported HTN (diagnosed by a physician) was recorded in a home visit. Blood pressure (BP) was measured using a standard protocol and categorized based on the Seventh Report of the Joint National Committee on Prevention, Detection, Evaluation, and ýTreatment of High Blood Pressure (JNC-7) classification. T-test was used to examine the gender differences. Qualitative variables were presented as number (frequency). Chi-square test and bivariate logistic regression were carried out to determine the association between risk factors.\n\nRESULTS\nThe response rate was 95% (n = 9975). The prevalence of positive history of HTN was 18.5%. The mean systolic and diastolic BP was 126.5 ± 18.4 and 80.2 ± 12.5 mmHg, respectively. The prevalence of HTN was 36.0% (95%CI: 35.1-36.9). Its prevalence reduced by high-education, physical activity, lower BMI, and lack of history of diabetes mellitus (DM) (P &lt; 0.0001). HTN is less common in smokers (P &lt; 0.0001). Logistic regression analysis showed that HTN was higher among men (OR: 1.83; 95%CI: 1.64-2.03), the elderly (OR: 5.15; 95%CI: 4.20-6.31), low-educated (OR: 1.40; 95%CI: 1.17-1.67), and diabetics (OR: 1.20; 95%CI: 1.05-1.38). The prevalence of HTN was 2 times higher in obeses. HTN did not have a significant relationship with inactivity, smoking, and hypercholesterolemia.\n\nCONCLUSION\nThe prevalence of HTN was high. By identifying modifiable risk factors, health policymakers can prioritize intervention programs. It is necessary to inform younger adult groups how these factors can be managed through a healthy lifestyle and nutritional habits.","container-title":"ARYA Atherosclerosis","DOI":"10.22122/arya.v17i0.2045","ISSN":"1735-3955","issue":"1","journalAbbreviation":"ARYA Atheroscler","page":"1-9","PMID":"34703488","PMCID":"PMC8519624","source":"PubMed Central","title":"Prevalence of hypertension and related risk factors in central Iran: Results from Yazd Health Study","title-short":"Prevalence of hypertension and related risk factors in central Iran","volume":"17","author":[{"family":"Mirzaei","given":"Masoud"},{"family":"Mirzaei","given":"Mohsen"},{"family":"Gholami","given":"Somaye"},{"family":"Abolhosseini","given":"Hossein"}],"issued":{"date-parts":[["2021",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(18)</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0B5C105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Yazd (Urban &amp; rural)</w:t>
            </w:r>
          </w:p>
        </w:tc>
        <w:tc>
          <w:tcPr>
            <w:tcW w:w="769" w:type="pct"/>
            <w:tcMar>
              <w:top w:w="30" w:type="dxa"/>
              <w:left w:w="45" w:type="dxa"/>
              <w:bottom w:w="30" w:type="dxa"/>
              <w:right w:w="45" w:type="dxa"/>
            </w:tcMar>
            <w:vAlign w:val="center"/>
            <w:hideMark/>
          </w:tcPr>
          <w:p w14:paraId="276A5311" w14:textId="286EB6C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20-69</w:t>
            </w:r>
          </w:p>
        </w:tc>
        <w:tc>
          <w:tcPr>
            <w:tcW w:w="992" w:type="pct"/>
            <w:tcMar>
              <w:top w:w="30" w:type="dxa"/>
              <w:left w:w="45" w:type="dxa"/>
              <w:bottom w:w="30" w:type="dxa"/>
              <w:right w:w="45" w:type="dxa"/>
            </w:tcMar>
            <w:vAlign w:val="center"/>
            <w:hideMark/>
          </w:tcPr>
          <w:p w14:paraId="35017A5C" w14:textId="3619954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guests and residents of other cities</w:t>
            </w:r>
          </w:p>
        </w:tc>
        <w:tc>
          <w:tcPr>
            <w:tcW w:w="533" w:type="pct"/>
            <w:tcMar>
              <w:top w:w="30" w:type="dxa"/>
              <w:left w:w="45" w:type="dxa"/>
              <w:bottom w:w="30" w:type="dxa"/>
              <w:right w:w="45" w:type="dxa"/>
            </w:tcMar>
            <w:vAlign w:val="center"/>
            <w:hideMark/>
          </w:tcPr>
          <w:p w14:paraId="14BFE45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9,975</w:t>
            </w:r>
          </w:p>
          <w:p w14:paraId="20A73A3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Normo+pre-HTN: 6,385</w:t>
            </w:r>
          </w:p>
        </w:tc>
        <w:tc>
          <w:tcPr>
            <w:tcW w:w="570" w:type="pct"/>
            <w:tcMar>
              <w:top w:w="30" w:type="dxa"/>
              <w:left w:w="45" w:type="dxa"/>
              <w:bottom w:w="30" w:type="dxa"/>
              <w:right w:w="45" w:type="dxa"/>
            </w:tcMar>
            <w:vAlign w:val="center"/>
            <w:hideMark/>
          </w:tcPr>
          <w:p w14:paraId="4A721A3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20-69</w:t>
            </w:r>
          </w:p>
        </w:tc>
        <w:tc>
          <w:tcPr>
            <w:tcW w:w="610" w:type="pct"/>
            <w:tcMar>
              <w:top w:w="30" w:type="dxa"/>
              <w:left w:w="45" w:type="dxa"/>
              <w:bottom w:w="30" w:type="dxa"/>
              <w:right w:w="45" w:type="dxa"/>
            </w:tcMar>
            <w:vAlign w:val="center"/>
            <w:hideMark/>
          </w:tcPr>
          <w:p w14:paraId="16639016" w14:textId="6FD9BF6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50.4%</w:t>
            </w:r>
          </w:p>
        </w:tc>
      </w:tr>
      <w:tr w:rsidR="007911AE" w:rsidRPr="001F49E7" w14:paraId="6215C169" w14:textId="77777777" w:rsidTr="001F49E7">
        <w:trPr>
          <w:trHeight w:val="900"/>
        </w:trPr>
        <w:tc>
          <w:tcPr>
            <w:tcW w:w="840" w:type="pct"/>
            <w:tcMar>
              <w:top w:w="30" w:type="dxa"/>
              <w:left w:w="45" w:type="dxa"/>
              <w:bottom w:w="30" w:type="dxa"/>
              <w:right w:w="45" w:type="dxa"/>
            </w:tcMar>
            <w:vAlign w:val="center"/>
            <w:hideMark/>
          </w:tcPr>
          <w:p w14:paraId="5155C8E1" w14:textId="70527AC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Ghafouri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499xj33O","properties":{"formattedCitation":"(19)","plainCitation":"(19)","noteIndex":0},"citationItems":[{"id":"ulROLKvl/bBRN2Lxi","uris":["http://zotero.org/users/16072611/items/CJN6HDMQ","http://zotero.org/users/16072611/items/82HKIPHZ"],"itemData":{"id":504,"type":"article-journal","abstract":"BACKGROUND AND OBJECTIVES: Low back pain (LBP) is a common health condition in populations. Limited large-scale population-based studies evaluated the prevalence and predictors of LBP in developing countries. This study aimed to evaluate the prevalence and factors associated with LBP among the Iranian population.\nMETHODS: We used baseline information from the Prospective Epidemiological Research Studies in Iran (PERSIAN), including individuals from 16 provinces of Iran. LBP was defined as the history of back pain interfering with daily activities for more than one week during an individual's lifetime. Various factors hypothesized to affect LBP, such as age, sex, marital status, educational status, ethnicity, living area, employment status, history of smoking, body mass index (BMI), physical activity, sleep duration, wealth score, history of joint pain, and history of morning stiffness in the joints were evaluated.\nRESULTS: In total, 163770 Iranians with a mean age of 49.37 (SD = 9.15) were included in this study, 44.8% of whom were male. The prevalence of LBP was 25.2% among participants. After adjusting for confounders, the female gender [OR:1.244(1.02-1.50)], middle and older ages [OR:1.23(1.10-1.33) and OR:1.13(1.07-1.42), respectively], being overweight or obese [OR:1.13(1.07-1.19) and OR:1.21(1.16-1.27), respectively], former and current smokers (OR:1.25(1.16-1.36) and OR:1.28(1.17-1.39), respectively], low physical activity [OR:1.07(1.01-1.14)], and short sleep duration [OR: 1.09(1.02-1.17)] were significantly associated with LBP.\nCONCLUSION: In this large-scale study, we found the lifetime prevalence of LBP to be lower among the Iranian population in comparison to the global prevalence of LBP; further studies are warranted to evaluate the causality of risk factors on LBP.","container-title":"Annals of Medicine and Surgery (2012)","DOI":"10.1016/j.amsu.2022.103243","ISSN":"2049-0801","journalAbbreviation":"Ann Med Surg (Lond)","language":"eng","page":"103243","PMID":"35145656","PMCID":"PMC8801351","source":"PubMed","title":"Prevalence and predictors of low back pain among the Iranian population: Results from the Persian cohort study","title-short":"Prevalence and predictors of low back pain among the Iranian population","volume":"74","author":[{"family":"Ghafouri","given":"Mohammad"},{"family":"Teymourzadeh","given":"Azin"},{"family":"Nakhostin-Ansari","given":"Amin"},{"family":"Sepanlou","given":"Sadaf G."},{"family":"Dalvand","given":"Sahar"},{"family":"Moradpour","given":"Farhad"},{"family":"Bavarsad","given":"Amir Hooshang"},{"family":"Boogar","given":"Shahrokh Sadeghi"},{"family":"Dehghan","given":"Morteza"},{"family":"Ostadrahimi","given":"Alireza"},{"family":"Aghazadeh-Attari","given":"Javad"},{"family":"Kahnooji","given":"Mahmood"},{"family":"Hosseinipour","given":"Ali"},{"family":"Gohari","given":"Ali"},{"family":"Hosseini","given":"Seyed Vahid"},{"family":"Mirzaei","given":"Masoud"},{"family":"Khorram","given":"Alireza"},{"family":"Shahmoradi","given":"Mehdi"},{"family":"Pourfarzi","given":"Farhad"},{"family":"Moosazadeh","given":"Mahmood"},{"family":"Mansour-Ghanaei","given":"Fariborz"},{"family":"Marioryad","given":"Hossein"},{"family":"Najafi","given":"Farid"},{"family":"Genevay","given":"Stephane"},{"family":"Moghadam","given":"Navid"},{"family":"Kordi","given":"Ramin"}],"issued":{"date-parts":[["2022",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(19)</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308504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Ahvaz, Ardabil, Bandar Abbas, Fasa, Guilan, Kermanshah, Kordestan, Mashhad, Mazandaran, Rafsanjan, Sabzevar, Shahrekord, Shiraz, Tabriz, Urmia, Yasuj, Yazd, and Zahedan (Urban &amp; rural)</w:t>
            </w:r>
          </w:p>
        </w:tc>
        <w:tc>
          <w:tcPr>
            <w:tcW w:w="769" w:type="pct"/>
            <w:tcMar>
              <w:top w:w="30" w:type="dxa"/>
              <w:left w:w="45" w:type="dxa"/>
              <w:bottom w:w="30" w:type="dxa"/>
              <w:right w:w="45" w:type="dxa"/>
            </w:tcMar>
            <w:vAlign w:val="center"/>
            <w:hideMark/>
          </w:tcPr>
          <w:p w14:paraId="7EA0E8ED" w14:textId="3A67DB0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35-70</w:t>
            </w:r>
          </w:p>
        </w:tc>
        <w:tc>
          <w:tcPr>
            <w:tcW w:w="992" w:type="pct"/>
            <w:tcMar>
              <w:top w:w="30" w:type="dxa"/>
              <w:left w:w="45" w:type="dxa"/>
              <w:bottom w:w="30" w:type="dxa"/>
              <w:right w:w="45" w:type="dxa"/>
            </w:tcMar>
            <w:vAlign w:val="center"/>
            <w:hideMark/>
          </w:tcPr>
          <w:p w14:paraId="7E14C55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7DE323D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163,770</w:t>
            </w:r>
          </w:p>
        </w:tc>
        <w:tc>
          <w:tcPr>
            <w:tcW w:w="570" w:type="pct"/>
            <w:tcMar>
              <w:top w:w="30" w:type="dxa"/>
              <w:left w:w="45" w:type="dxa"/>
              <w:bottom w:w="30" w:type="dxa"/>
              <w:right w:w="45" w:type="dxa"/>
            </w:tcMar>
            <w:vAlign w:val="center"/>
            <w:hideMark/>
          </w:tcPr>
          <w:p w14:paraId="0DE2165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49.37 ± 9.15</w:t>
            </w:r>
          </w:p>
        </w:tc>
        <w:tc>
          <w:tcPr>
            <w:tcW w:w="610" w:type="pct"/>
            <w:tcMar>
              <w:top w:w="30" w:type="dxa"/>
              <w:left w:w="45" w:type="dxa"/>
              <w:bottom w:w="30" w:type="dxa"/>
              <w:right w:w="45" w:type="dxa"/>
            </w:tcMar>
            <w:vAlign w:val="center"/>
            <w:hideMark/>
          </w:tcPr>
          <w:p w14:paraId="357EF1F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55.2%</w:t>
            </w:r>
          </w:p>
        </w:tc>
      </w:tr>
      <w:tr w:rsidR="007911AE" w:rsidRPr="001F49E7" w14:paraId="232BA362" w14:textId="77777777" w:rsidTr="001F49E7">
        <w:trPr>
          <w:trHeight w:val="900"/>
        </w:trPr>
        <w:tc>
          <w:tcPr>
            <w:tcW w:w="840" w:type="pct"/>
            <w:tcMar>
              <w:top w:w="30" w:type="dxa"/>
              <w:left w:w="45" w:type="dxa"/>
              <w:bottom w:w="30" w:type="dxa"/>
              <w:right w:w="45" w:type="dxa"/>
            </w:tcMar>
            <w:vAlign w:val="center"/>
            <w:hideMark/>
          </w:tcPr>
          <w:p w14:paraId="460A6AC9" w14:textId="1C9DA8E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Nakhostin-Ansari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{"citationID":"FRON40NT","properties":{"formattedCitation":"(20)","plainCitation":"(20)","noteIndex":0},"citationItems":[{"id":"ulROLKvl/7rSaiFs4","uris":["http://zotero.org/users/16072611/items/9RYGGJ5L"],"itemData":{"id":284,"type":"article-journal","abstract":"BACKGROUND: There are limited studies on food security, physical activity, and social capital in the Iranian population. This study aimed to evaluate the social capital's associations with physical inactivity and food insecurity in a large-scale study in Iran, Urban HEART-2.\nMETHODS: This cross-sectional study was conducted in 22 districts of Tehran, the capital of Iran. Residents of Tehran who were 15 years or older were selected by a multi-stage, stratified, and random sampling method. Food insecurity and physical activity were evaluated using Household Food Security Scale and Global Physical Activity Questionnaire, respectively, and their associations with social capital were evaluated.\nRESULTS: A total of 5030 individuals were included in this study, with 3139 (62.4%) males. The mean age of participants was 44.08 years (SD</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16.33, range</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15-90). Participation in social events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0.893,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0.819-0.974,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0.011), social network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0.849,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0.786,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voluntary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0.865,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0.812-0.921,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were all negatively associated with food insecurity. Also, voluntary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0.823,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0.776-0.872,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participation in the associations activities (OR</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0.665, 95% CI</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0.582-0.759,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0.001) were negatively associated with physical inactivity.\nCONCLUSION: The prevalence of food insecurity and physical inactivity is relatively high among Tehran residents. As a factor affecting the physical activity and food security, social capital can be targeted in interventions to improve physical activity and food security among Iranians.","container-title":"TheScientificWorldJournal","DOI":"10.1155/2022/5410611","ISSN":"1537-744X","journalAbbreviation":"ScientificWorldJournal","language":"eng","page":"5410611","PMID":"36398032","PMCID":"PMC9666025","source":"PubMed","title":"Physical Inactivity and Food Insecurity Are Associated with Social Capital: A Large-Scale Population-Based Study in Tehran","title-short":"Physical Inactivity and Food Insecurity Are Associated with Social Capital","volume":"2022","author":[{"family":"Nakhostin-Ansari","given":"Amin"},{"family":"Akbari","given":"Paria"},{"family":"Selk-Ghaffari","given":"Maryam"},{"family":"Memari","given":"Amir Hossein"},{"family":"Vaez-Mahdavi","given":"Mohamad-Reza"},{"family":"Asadi-Lari","given":"Mohsen"}],"issued":{"date-parts":[["2022"]]}}}],"schema":"https://github.com/citation-style-language/schema/raw/master/csl-citation.json"}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(20)</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18AF7B7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hideMark/>
          </w:tcPr>
          <w:p w14:paraId="174D0386" w14:textId="4C856C8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15–90</w:t>
            </w:r>
          </w:p>
        </w:tc>
        <w:tc>
          <w:tcPr>
            <w:tcW w:w="992" w:type="pct"/>
            <w:tcMar>
              <w:top w:w="30" w:type="dxa"/>
              <w:left w:w="45" w:type="dxa"/>
              <w:bottom w:w="30" w:type="dxa"/>
              <w:right w:w="45" w:type="dxa"/>
            </w:tcMar>
            <w:vAlign w:val="center"/>
            <w:hideMark/>
          </w:tcPr>
          <w:p w14:paraId="008CDB43" w14:textId="5CF3242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Adult residents of Tehran, excluded if aged &lt;15</w:t>
            </w:r>
          </w:p>
        </w:tc>
        <w:tc>
          <w:tcPr>
            <w:tcW w:w="533" w:type="pct"/>
            <w:tcMar>
              <w:top w:w="30" w:type="dxa"/>
              <w:left w:w="45" w:type="dxa"/>
              <w:bottom w:w="30" w:type="dxa"/>
              <w:right w:w="45" w:type="dxa"/>
            </w:tcMar>
            <w:vAlign w:val="center"/>
            <w:hideMark/>
          </w:tcPr>
          <w:p w14:paraId="36C459E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5,030</w:t>
            </w:r>
          </w:p>
        </w:tc>
        <w:tc>
          <w:tcPr>
            <w:tcW w:w="570" w:type="pct"/>
            <w:tcMar>
              <w:top w:w="30" w:type="dxa"/>
              <w:left w:w="45" w:type="dxa"/>
              <w:bottom w:w="30" w:type="dxa"/>
              <w:right w:w="45" w:type="dxa"/>
            </w:tcMar>
            <w:vAlign w:val="center"/>
            <w:hideMark/>
          </w:tcPr>
          <w:p w14:paraId="25BAC8F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44.08 ± 16.33</w:t>
            </w:r>
          </w:p>
        </w:tc>
        <w:tc>
          <w:tcPr>
            <w:tcW w:w="610" w:type="pct"/>
            <w:tcMar>
              <w:top w:w="30" w:type="dxa"/>
              <w:left w:w="45" w:type="dxa"/>
              <w:bottom w:w="30" w:type="dxa"/>
              <w:right w:w="45" w:type="dxa"/>
            </w:tcMar>
            <w:vAlign w:val="center"/>
            <w:hideMark/>
          </w:tcPr>
          <w:p w14:paraId="09BC984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37.6%</w:t>
            </w:r>
          </w:p>
        </w:tc>
      </w:tr>
      <w:tr w:rsidR="007911AE" w:rsidRPr="001F49E7" w14:paraId="3CB5CA62" w14:textId="77777777" w:rsidTr="001F49E7">
        <w:trPr>
          <w:trHeight w:val="900"/>
        </w:trPr>
        <w:tc>
          <w:tcPr>
            <w:tcW w:w="840" w:type="pct"/>
            <w:tcMar>
              <w:top w:w="30" w:type="dxa"/>
              <w:left w:w="45" w:type="dxa"/>
              <w:bottom w:w="30" w:type="dxa"/>
              <w:right w:w="45" w:type="dxa"/>
            </w:tcMar>
            <w:vAlign w:val="center"/>
            <w:hideMark/>
          </w:tcPr>
          <w:p w14:paraId="77123A24" w14:textId="085FD49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L. Odland 2022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{"citationID":"9MFSZIKc","properties":{"formattedCitation":"(21)","plainCitation":"(21)","noteIndex":0},"citationItems":[{"id":"ulROLKvl/sOhEewFS","uris":["http://zotero.org/users/16072611/items/XVHXGI5C"],"itemData":{"id":300,"type":"article-journal","abstract":"BACKGROUND: As the populations of lower-income and middle-income countries age, multimorbidity is increasing, but there is little information on its long-term consequences. We aimed to show associations between multimorbidity and outcomes of mortality and hospitalisation in Iran, a middle-income country undergoing rapid economic transition.\nMETHODS: We conducted a secondary analysis of longitudinal data collected in the Golestan Cohort Study. Data on demographics, morbidities and lifestyle factors were collected at baseline, and information on hospitalisations or deaths was captured annually. Logistic regression was used to analyse the association between baseline multimorbidity and 10-year mortality, Cox-proportional hazard models to measure lifetime risk of mortality and zero-inflation models to investigate the association between hospitalisation and multimorbidity. Multimorbidity was classified as ≥2 conditions or number of conditions. Demographic, lifestyle and socioeconomic variables were included as covariables.\nRESULTS: The study recruited 50 045 participants aged 40-75 years between 2004 and 2008, 47 883 were available for analysis, 416 (57.3%) were female and 12 736 (27.94%) were multimorbid. The odds of dying at 10 years for multimorbidity defined as ≥2 conditions was 1.99 (95% CI 1.86 to 2.12, p&lt;0.001), and it increased with increasing number of conditions (OR of 3.57; 95% CI 3.12 to 4.08, p&lt;0.001 for ≥4 conditions). The survival analysis showed the hazard of death for those with ≥4 conditions was 3.06 (95% CI 2.74 to 3.43, p&lt;0.001). The number of hospital admissions increased with number of conditions (OR of not being hospitalised of 0.36; 95% CI 0.31 to 0.52, p&lt;0.001, for ≥4 conditions).\nCONCLUSION: The long-terms effects of multimorbidity on mortality and hospitalisation are similar in this population to those seen in high-income countries.","container-title":"BMJ global health","DOI":"10.1136/bmjgh-2021-007278","ISSN":"2059-7908","issue":"5","journalAbbreviation":"BMJ Glob Health","language":"eng","page":"e007278","PMID":"35550337","PMCID":"PMC9109019","source":"PubMed","title":"Multimorbidity and associations with clinical outcomes in a middle-aged population in Iran: a longitudinal cohort study","title-short":"Multimorbidity and associations with clinical outcomes in a middle-aged population in Iran","volume":"7","author":[{"family":"Odland","given":"Maria Lisa"},{"family":"Ismail","given":"Samiha"},{"family":"Sepanlou","given":"Sadaf G."},{"family":"Poustchi","given":"Hossein"},{"family":"Sadjadi","given":"Alireza"},{"family":"Pourshams","given":"Akram"},{"family":"Marshall","given":"Tom"},{"family":"Witham","given":"Miles D."},{"family":"Malekzadeh","given":"Reza"},{"family":"Davies","given":"Justine I."}],"issued":{"date-parts":[["2022",5]]}}}],"schema":"https://github.com/citation-style-language/schema/raw/master/csl-citation.json"}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(21)</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114D6B2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Gonbad City, Gonbad, Kaleleh, and Aq-Qala (Urban &amp; rural)</w:t>
            </w:r>
          </w:p>
        </w:tc>
        <w:tc>
          <w:tcPr>
            <w:tcW w:w="769" w:type="pct"/>
            <w:tcMar>
              <w:top w:w="30" w:type="dxa"/>
              <w:left w:w="45" w:type="dxa"/>
              <w:bottom w:w="30" w:type="dxa"/>
              <w:right w:w="45" w:type="dxa"/>
            </w:tcMar>
            <w:vAlign w:val="center"/>
            <w:hideMark/>
          </w:tcPr>
          <w:p w14:paraId="3A34790D" w14:textId="3B5E2AA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40-75</w:t>
            </w:r>
          </w:p>
        </w:tc>
        <w:tc>
          <w:tcPr>
            <w:tcW w:w="992" w:type="pct"/>
            <w:tcMar>
              <w:top w:w="30" w:type="dxa"/>
              <w:left w:w="45" w:type="dxa"/>
              <w:bottom w:w="30" w:type="dxa"/>
              <w:right w:w="45" w:type="dxa"/>
            </w:tcMar>
            <w:vAlign w:val="center"/>
            <w:hideMark/>
          </w:tcPr>
          <w:p w14:paraId="0A14AEE8" w14:textId="298D8B9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having any GI cancer</w:t>
            </w:r>
          </w:p>
        </w:tc>
        <w:tc>
          <w:tcPr>
            <w:tcW w:w="533" w:type="pct"/>
            <w:tcMar>
              <w:top w:w="30" w:type="dxa"/>
              <w:left w:w="45" w:type="dxa"/>
              <w:bottom w:w="30" w:type="dxa"/>
              <w:right w:w="45" w:type="dxa"/>
            </w:tcMar>
            <w:vAlign w:val="center"/>
            <w:hideMark/>
          </w:tcPr>
          <w:p w14:paraId="5686C32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47,883</w:t>
            </w:r>
          </w:p>
        </w:tc>
        <w:tc>
          <w:tcPr>
            <w:tcW w:w="570" w:type="pct"/>
            <w:tcMar>
              <w:top w:w="30" w:type="dxa"/>
              <w:left w:w="45" w:type="dxa"/>
              <w:bottom w:w="30" w:type="dxa"/>
              <w:right w:w="45" w:type="dxa"/>
            </w:tcMar>
            <w:vAlign w:val="center"/>
            <w:hideMark/>
          </w:tcPr>
          <w:p w14:paraId="0AFAD82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51.86 ± 8.83</w:t>
            </w:r>
          </w:p>
        </w:tc>
        <w:tc>
          <w:tcPr>
            <w:tcW w:w="610" w:type="pct"/>
            <w:tcMar>
              <w:top w:w="30" w:type="dxa"/>
              <w:left w:w="45" w:type="dxa"/>
              <w:bottom w:w="30" w:type="dxa"/>
              <w:right w:w="45" w:type="dxa"/>
            </w:tcMar>
            <w:vAlign w:val="center"/>
            <w:hideMark/>
          </w:tcPr>
          <w:p w14:paraId="544380E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57.26%</w:t>
            </w:r>
          </w:p>
        </w:tc>
      </w:tr>
      <w:tr w:rsidR="007911AE" w:rsidRPr="001F49E7" w14:paraId="23CE5FBF" w14:textId="77777777" w:rsidTr="001F49E7">
        <w:trPr>
          <w:trHeight w:val="1512"/>
        </w:trPr>
        <w:tc>
          <w:tcPr>
            <w:tcW w:w="840" w:type="pct"/>
            <w:tcMar>
              <w:top w:w="30" w:type="dxa"/>
              <w:left w:w="45" w:type="dxa"/>
              <w:bottom w:w="30" w:type="dxa"/>
              <w:right w:w="45" w:type="dxa"/>
            </w:tcMar>
            <w:vAlign w:val="center"/>
            <w:hideMark/>
          </w:tcPr>
          <w:p w14:paraId="1DC008DA" w14:textId="23C7035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A. Atefatfar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{"citationID":"BTJHFuh1","properties":{"formattedCitation":"(22)","plainCitation":"(22)","noteIndex":0},"citationItems":[{"id":"ulROLKvl/7GnVkgGX","uris":["http://zotero.org/users/16072611/items/ZI8I5SAC"],"itemData":{"id":273,"type":"article-journal","abstract":"OBJECTIVES: The aim of our study was to compare four lifestyles-healthy diet and low activity, unhealthy diet and high activity, unhealthy diet and low activity, and healthy diet and high activity-in relation to the risk of cardiovascular disease (CVD) and all-cause mortality.\nMETHODS: A total of 6504 adults ages ≥35 y were recruited to participate in the Isfahan Cohort Study and followed for 13 y. Diet was assessed using a validated 48-item food frequency questionnaire, and the quality of diet was assessed using the Dietary Quality Index. Physical activity (PA) was evaluated using the International Physical Activity Questionnaire. The primary outcomes were CVD and all-cause mortality. Cox proportional hazards regression was used to calculate the hazard ratio (HR) and the 95% CIs.\nRESULTS: During 771 440 person-years of follow-up, 390 and 147 deaths occurred due to all causes and CVD, respectively. High PA, either with a healthy or unhealthy diet, was associated with a lower risk of death from CVD (HR = 0.43; 95% CI, 0.26-0.69, and HR = 0.32; 95% CI, 0.18-0.56, respectively) and also all-cause mortality(HR = 0.53, 95% CI, 0.39-0.71, and HR = 0.5, 95% CI, 0.36-0.68). Moreover, type of PA was important, such that when leisure time PA was considered, none of the lifestyles was associated with a lower risk of CVD and all-cause mortality. However, for occupational PA, the result was the same as the total PA.\nCONCLUSIONS: Having high PA (total or occupational), with or without adhering to a healthy diet, is associated with a lower risk of death from any cause and CVD; although leisure time PA, irrespective of adhering to a healthy diet, was not associated with a lower risk of all-cause and CVD mortality.","container-title":"Nutrition (Burbank, Los Angeles County, Calif.)","DOI":"10.1016/j.nut.2023.112186","ISSN":"1873-1244","journalAbbreviation":"Nutrition","language":"eng","page":"112186","PMID":"37678016","source":"PubMed","title":"A healthy diet, physical activity, or either in relation to cardiovascular and all-cause mortality: A prospective cohort study","title-short":"A healthy diet, physical activity, or either in relation to cardiovascular and all-cause mortality","volume":"116","author":[{"family":"Atefatfar","given":"Ayda"},{"family":"Babajafari","given":"Siavash"},{"family":"Mohammadifard","given":"Noushin"},{"family":"Nouri","given":"Fatemeh"},{"family":"Boshtam","given":"Maryam"},{"family":"Sadeghi","given":"Masoumeh"},{"family":"Sharifi","given":"Mohammad Hossein"},{"family":"Kazemi","given":"Asma"},{"family":"Sarrafzadegan","given":"Nizal"}],"issued":{"date-parts":[["2023",12]]}}}],"schema":"https://github.com/citation-style-language/schema/raw/master/csl-citation.json"}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(22)</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B204C5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Isfahan, Arak, and Najafabad (Urban &amp; rural)</w:t>
            </w:r>
          </w:p>
        </w:tc>
        <w:tc>
          <w:tcPr>
            <w:tcW w:w="769" w:type="pct"/>
            <w:tcMar>
              <w:top w:w="30" w:type="dxa"/>
              <w:left w:w="45" w:type="dxa"/>
              <w:bottom w:w="30" w:type="dxa"/>
              <w:right w:w="45" w:type="dxa"/>
            </w:tcMar>
            <w:vAlign w:val="center"/>
            <w:hideMark/>
          </w:tcPr>
          <w:p w14:paraId="6F768C1C" w14:textId="7B435E9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&gt;35</w:t>
            </w:r>
          </w:p>
        </w:tc>
        <w:tc>
          <w:tcPr>
            <w:tcW w:w="992" w:type="pct"/>
            <w:tcMar>
              <w:top w:w="30" w:type="dxa"/>
              <w:left w:w="45" w:type="dxa"/>
              <w:bottom w:w="30" w:type="dxa"/>
              <w:right w:w="45" w:type="dxa"/>
            </w:tcMar>
            <w:vAlign w:val="center"/>
            <w:hideMark/>
          </w:tcPr>
          <w:p w14:paraId="31E9F8F2" w14:textId="5DEC009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having CVDs, DM, and HTN</w:t>
            </w:r>
          </w:p>
        </w:tc>
        <w:tc>
          <w:tcPr>
            <w:tcW w:w="533" w:type="pct"/>
            <w:tcMar>
              <w:top w:w="30" w:type="dxa"/>
              <w:left w:w="45" w:type="dxa"/>
              <w:bottom w:w="30" w:type="dxa"/>
              <w:right w:w="45" w:type="dxa"/>
            </w:tcMar>
            <w:vAlign w:val="center"/>
            <w:hideMark/>
          </w:tcPr>
          <w:p w14:paraId="78002F9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5156</w:t>
            </w:r>
          </w:p>
        </w:tc>
        <w:tc>
          <w:tcPr>
            <w:tcW w:w="570" w:type="pct"/>
            <w:tcMar>
              <w:top w:w="30" w:type="dxa"/>
              <w:left w:w="45" w:type="dxa"/>
              <w:bottom w:w="30" w:type="dxa"/>
              <w:right w:w="45" w:type="dxa"/>
            </w:tcMar>
            <w:vAlign w:val="center"/>
            <w:hideMark/>
          </w:tcPr>
          <w:p w14:paraId="3A2F496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Unhealthy diet-inactive: 51.05 ± 12.03; </w:t>
            </w:r>
            <w:r w:rsidRPr="001F49E7">
              <w:rPr>
                <w:rFonts w:eastAsia="Times New Roman" w:cstheme="minorHAnsi"/>
                <w:kern w:val="0"/>
                <w:sz w:val="16"/>
                <w:szCs w:val="16"/>
                <w14:ligatures w14:val="none"/>
              </w:rPr>
              <w:br/>
              <w:t xml:space="preserve">Healthy diet-inactive: 50.61 ± 11.49; </w:t>
            </w:r>
            <w:r w:rsidRPr="001F49E7">
              <w:rPr>
                <w:rFonts w:eastAsia="Times New Roman" w:cstheme="minorHAnsi"/>
                <w:kern w:val="0"/>
                <w:sz w:val="16"/>
                <w:szCs w:val="16"/>
                <w14:ligatures w14:val="none"/>
              </w:rPr>
              <w:br/>
              <w:t xml:space="preserve">Unhealthy diet-active: 51.11 ± 11.71; </w:t>
            </w:r>
            <w:r w:rsidRPr="001F49E7">
              <w:rPr>
                <w:rFonts w:eastAsia="Times New Roman" w:cstheme="minorHAnsi"/>
                <w:kern w:val="0"/>
                <w:sz w:val="16"/>
                <w:szCs w:val="16"/>
                <w14:ligatures w14:val="none"/>
              </w:rPr>
              <w:br/>
              <w:t>Healthy diet-active: 51.43 ± 11.8</w:t>
            </w:r>
          </w:p>
        </w:tc>
        <w:tc>
          <w:tcPr>
            <w:tcW w:w="610" w:type="pct"/>
            <w:tcMar>
              <w:top w:w="30" w:type="dxa"/>
              <w:left w:w="45" w:type="dxa"/>
              <w:bottom w:w="30" w:type="dxa"/>
              <w:right w:w="45" w:type="dxa"/>
            </w:tcMar>
            <w:vAlign w:val="center"/>
            <w:hideMark/>
          </w:tcPr>
          <w:p w14:paraId="431F536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100%</w:t>
            </w:r>
          </w:p>
        </w:tc>
      </w:tr>
      <w:tr w:rsidR="007911AE" w:rsidRPr="001F49E7" w14:paraId="61560091" w14:textId="77777777" w:rsidTr="001F49E7">
        <w:trPr>
          <w:trHeight w:val="900"/>
        </w:trPr>
        <w:tc>
          <w:tcPr>
            <w:tcW w:w="840" w:type="pct"/>
            <w:tcMar>
              <w:top w:w="30" w:type="dxa"/>
              <w:left w:w="45" w:type="dxa"/>
              <w:bottom w:w="30" w:type="dxa"/>
              <w:right w:w="45" w:type="dxa"/>
            </w:tcMar>
            <w:vAlign w:val="center"/>
            <w:hideMark/>
          </w:tcPr>
          <w:p w14:paraId="76740659" w14:textId="3AB51AF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Babaei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{"citationID":"zscaXhCM","properties":{"formattedCitation":"(23)","plainCitation":"(23)","noteIndex":0},"citationItems":[{"id":"ulROLKvl/h7S9G41U","uris":["http://zotero.org/users/16072611/items/GPJB2ILH"],"itemData":{"id":275,"type":"article-journal","abstract":"OBJECTIVES: Chronic venous disease (CVD) of the lower extremities is one of the common venous diseases in different populations, with a wide range of clinical manifestations and undetermined exact prevalence owing to different population characteristics and measurement methods. This study aimed to estimate the prevalence of CVD among the modern Iranian urban population and determine its associated risk factors.\nMETHODS: The Heart Assessment and Monitoring in Rajaie Hospital study, a longitudinal population-based cohort, aims to investigate the baseline prevalence and the 10-year incidence of cardiovascular diseases and associated risk factors in the adult population aged 30 to 75 years with no overt cardiovascular diseases in Tehran. Two instructed interventional cardiologists performed CVD evaluation using the Clinical-Etiology-Anatomy-Pathophysiology classification. CVD was graded as C1 to C6, and chronic venous insufficiency (CVI) as C3 to C6. A multivariable regression model was used to analyze the association between CVD and prespecified covariates of age, sex, body mass index (≥30 kg/m2), smoking, hypertension, diabetes mellitus, physical activity, dyslipidemia, and delivery method.\nRESULTS: CVD prevalence among 1176 participants was 36.5% (95% confidence interval [CI], 33.8-39.3) and was higher in women than men (44.2% vs 23.5%). CVI prevalence was only 0.7% (95% CI, 0.3-1.3). Multivariable analysis showed that advanced age (odds ratio [OR], 1.06; 95% CI, 1.04-1.08), female sex (OR, 2.98; 95% CI, 2.14-4.14), and body mass index of ≥30 (OR, 1.36; 95% CI, 1.03-1.81) were independently associated with CVD. Physical activity (OR, 0.77; 95% CI, 0.58-1.02) was nearly protective, whereas other factors, including traditional cardiovascular risk factors, had no meaningful association with CVD.\nCONCLUSIONS: Our findings showed that CVD was prevalent in the modern Iranian urban population. However, considering the very low prevalence of the higher stages of the disease, the benefit of mass screening is debatable, and better risk discriminators should be investigated.","container-title":"Journal of Vascular Surgery. Venous and Lymphatic Disorders","DOI":"10.1016/j.jvsv.2023.06.005","ISSN":"2213-3348","issue":"6","journalAbbreviation":"J Vasc Surg Venous Lymphat Disord","language":"eng","page":"1098-1106.e10","PMID":"37690625","source":"PubMed","title":"Prevalence and associated factors of chronic venous disease among the modern Iranian urban population","volume":"11","author":[{"family":"Babaei","given":"Mohammadreza"},{"family":"Afrooghe","given":"Arya"},{"family":"Rafati","given":"Ali"},{"family":"Mohebbi","given":"Bahram"},{"family":"Moosavi","given":"Jamal"},{"family":"Ghadri","given":"Narges"},{"family":"Koohestani","given":"Bahareh Mohajer"},{"family":"Rahimi","given":"Shahin"},{"family":"Baay","given":"Mohammadreza"},{"family":"Alemzadeh-Ansari","given":"Mohammad Javad"},{"family":"Hosseini","given":"Zahra"},{"family":"Boudagh","given":"Shabnam"},{"family":"Khalilipur","given":"Ehsan"},{"family":"Ghaemmaghami","given":"Zahra"},{"family":"Pasebani","given":"Yeganeh"},{"family":"Firoozbakhsh","given":"Parisa"},{"family":"Pouraliakbar","given":"Hamidreza"},{"family":"Bakhshandeh","given":"Hooman"},{"family":"Sadeghipour","given":"Parham"}],"issued":{"date-parts":[["2023",11]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(23)</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5C248B6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hideMark/>
          </w:tcPr>
          <w:p w14:paraId="710D16D2" w14:textId="7DFAA93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30-75</w:t>
            </w:r>
          </w:p>
        </w:tc>
        <w:tc>
          <w:tcPr>
            <w:tcW w:w="992" w:type="pct"/>
            <w:tcMar>
              <w:top w:w="30" w:type="dxa"/>
              <w:left w:w="45" w:type="dxa"/>
              <w:bottom w:w="30" w:type="dxa"/>
              <w:right w:w="45" w:type="dxa"/>
            </w:tcMar>
            <w:vAlign w:val="center"/>
            <w:hideMark/>
          </w:tcPr>
          <w:p w14:paraId="1E31632A" w14:textId="080DEE2B"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any history of CVDs, DVT, and communication skills defects</w:t>
            </w:r>
          </w:p>
        </w:tc>
        <w:tc>
          <w:tcPr>
            <w:tcW w:w="533" w:type="pct"/>
            <w:tcMar>
              <w:top w:w="30" w:type="dxa"/>
              <w:left w:w="45" w:type="dxa"/>
              <w:bottom w:w="30" w:type="dxa"/>
              <w:right w:w="45" w:type="dxa"/>
            </w:tcMar>
            <w:vAlign w:val="center"/>
            <w:hideMark/>
          </w:tcPr>
          <w:p w14:paraId="67B5F2E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747</w:t>
            </w:r>
          </w:p>
        </w:tc>
        <w:tc>
          <w:tcPr>
            <w:tcW w:w="570" w:type="pct"/>
            <w:tcMar>
              <w:top w:w="30" w:type="dxa"/>
              <w:left w:w="45" w:type="dxa"/>
              <w:bottom w:w="30" w:type="dxa"/>
              <w:right w:w="45" w:type="dxa"/>
            </w:tcMar>
            <w:vAlign w:val="center"/>
            <w:hideMark/>
          </w:tcPr>
          <w:p w14:paraId="4A33C3E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47.0 ± 10.6</w:t>
            </w:r>
          </w:p>
        </w:tc>
        <w:tc>
          <w:tcPr>
            <w:tcW w:w="610" w:type="pct"/>
            <w:tcMar>
              <w:top w:w="30" w:type="dxa"/>
              <w:left w:w="45" w:type="dxa"/>
              <w:bottom w:w="30" w:type="dxa"/>
              <w:right w:w="45" w:type="dxa"/>
            </w:tcMar>
            <w:vAlign w:val="center"/>
            <w:hideMark/>
          </w:tcPr>
          <w:p w14:paraId="3EEE91A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55.0%</w:t>
            </w:r>
          </w:p>
        </w:tc>
      </w:tr>
      <w:tr w:rsidR="007911AE" w:rsidRPr="001F49E7" w14:paraId="6D090F5B" w14:textId="77777777" w:rsidTr="001F49E7">
        <w:trPr>
          <w:trHeight w:val="900"/>
        </w:trPr>
        <w:tc>
          <w:tcPr>
            <w:tcW w:w="840" w:type="pct"/>
            <w:tcMar>
              <w:top w:w="30" w:type="dxa"/>
              <w:left w:w="45" w:type="dxa"/>
              <w:bottom w:w="30" w:type="dxa"/>
              <w:right w:w="45" w:type="dxa"/>
            </w:tcMar>
            <w:vAlign w:val="center"/>
            <w:hideMark/>
          </w:tcPr>
          <w:p w14:paraId="03E0959C" w14:textId="08C8DE8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Razzaghi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{"citationID":"HitTgNeC","properties":{"formattedCitation":"(24)","plainCitation":"(24)","noteIndex":0},"citationItems":[{"id":"ulROLKvl/Ucdw5jsg","uris":["http://zotero.org/users/16072611/items/Z7GVX9S6"],"itemData":{"id":303,"type":"article-journal","abstract":"BACKGROUND: Asthma is one of the most common chronic respiratory diseases. It is estimated that more than 400 million people will suffer from it by 2025. This study aims to determine the prevalence of asthma in East Azerbaijan and investigate the association between asthma and some environmental and demographic factors.\nMATERIALS AND METHODS: This is a cross-sectional study based on a major Lifestyle Promotion Project (LPP) conducted in the districts of East Azerbaijan, including 2641 participants aged 15 to 65 years of the general population selected through probability proportional to size (PPS) multistage stratified cluster sampling. We used the World Health Survey questionnaire about doctor-diagnosed asthma to determine the prevalence of asthma. Age, smoking status, physical activity level, socioeconomic variables such as job and education level, and body mass index (BMI) were used as covariates in regression models. A questionnaire was used to obtain socio-demographic information and smoking status. The short form of the International Physical Activity Questionnaire was used to estimate the level of physical activity (IPAQ).\nRESULTS: The mean age of participants was 40.9 ± 12.05 years including 1242 (47 %) males and 1399 (53 %) females. The prevalence of asthma was 3.3 %. The frequency of smokers was significantly higher in the asthmatic group compared with the non-asthmatic group (OR=2.33 [1.76-3.31]; p=0.03). There was no significant association between asthma and other demographic and lifestyle characteristics. Obesity has also played a significant role in the development of asthma.\nCONCLUSION: According to the results of this study, obesity and smoking have played a significant role in the development of asthma but there is no statistically significant relationship between socioeconomic and demographic factors.","container-title":"Tanaffos","ISSN":"1735-0344","issue":"3","journalAbbreviation":"Tanaffos","language":"eng","page":"325-331","PMID":"38638384","PMCID":"PMC11022198","source":"PubMed","title":"Prevalence of Asthma in East Azerbaijan Adult Population and Its Determinants Factors: A Cross-Sectional Study from the Northwest of Iran","title-short":"Prevalence of Asthma in East Azerbaijan Adult Population and Its Determinants Factors","volume":"22","author":[{"family":"Razzaghi","given":"Shahryar"},{"family":"Farshbaf Khalili","given":"Ali"},{"family":"Nikniaz","given":"Leila"},{"family":"Nikniaz","given":"Zeinab"},{"family":"Zeinalzadeh","given":"Ali Hossein"}],"issued":{"date-parts":[["2023",3]]}}}],"schema":"https://github.com/citation-style-language/schema/raw/master/csl-citation.json"}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(24)</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59D841B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East Azerbaijan (Urban &amp; rural)</w:t>
            </w:r>
          </w:p>
        </w:tc>
        <w:tc>
          <w:tcPr>
            <w:tcW w:w="769" w:type="pct"/>
            <w:tcMar>
              <w:top w:w="30" w:type="dxa"/>
              <w:left w:w="45" w:type="dxa"/>
              <w:bottom w:w="30" w:type="dxa"/>
              <w:right w:w="45" w:type="dxa"/>
            </w:tcMar>
            <w:vAlign w:val="center"/>
            <w:hideMark/>
          </w:tcPr>
          <w:p w14:paraId="41529768" w14:textId="5269F249"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15-65</w:t>
            </w:r>
          </w:p>
        </w:tc>
        <w:tc>
          <w:tcPr>
            <w:tcW w:w="992" w:type="pct"/>
            <w:tcMar>
              <w:top w:w="30" w:type="dxa"/>
              <w:left w:w="45" w:type="dxa"/>
              <w:bottom w:w="30" w:type="dxa"/>
              <w:right w:w="45" w:type="dxa"/>
            </w:tcMar>
            <w:vAlign w:val="center"/>
            <w:hideMark/>
          </w:tcPr>
          <w:p w14:paraId="188752B7" w14:textId="29067C7B"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any history of altered mental status, confirmed mental disease, cognitive disorders, blindness, deafness, and speech disorders</w:t>
            </w:r>
          </w:p>
        </w:tc>
        <w:tc>
          <w:tcPr>
            <w:tcW w:w="533" w:type="pct"/>
            <w:tcMar>
              <w:top w:w="30" w:type="dxa"/>
              <w:left w:w="45" w:type="dxa"/>
              <w:bottom w:w="30" w:type="dxa"/>
              <w:right w:w="45" w:type="dxa"/>
            </w:tcMar>
            <w:vAlign w:val="center"/>
            <w:hideMark/>
          </w:tcPr>
          <w:p w14:paraId="1A7CF97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2,641</w:t>
            </w:r>
          </w:p>
        </w:tc>
        <w:tc>
          <w:tcPr>
            <w:tcW w:w="570" w:type="pct"/>
            <w:tcMar>
              <w:top w:w="30" w:type="dxa"/>
              <w:left w:w="45" w:type="dxa"/>
              <w:bottom w:w="30" w:type="dxa"/>
              <w:right w:w="45" w:type="dxa"/>
            </w:tcMar>
            <w:vAlign w:val="center"/>
            <w:hideMark/>
          </w:tcPr>
          <w:p w14:paraId="477B32E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39.85 ± 10.95</w:t>
            </w:r>
          </w:p>
        </w:tc>
        <w:tc>
          <w:tcPr>
            <w:tcW w:w="610" w:type="pct"/>
            <w:tcMar>
              <w:top w:w="30" w:type="dxa"/>
              <w:left w:w="45" w:type="dxa"/>
              <w:bottom w:w="30" w:type="dxa"/>
              <w:right w:w="45" w:type="dxa"/>
            </w:tcMar>
            <w:vAlign w:val="center"/>
            <w:hideMark/>
          </w:tcPr>
          <w:p w14:paraId="5C5CBE9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53%</w:t>
            </w:r>
          </w:p>
        </w:tc>
      </w:tr>
      <w:tr w:rsidR="007911AE" w:rsidRPr="001F49E7" w14:paraId="3A9BE82F" w14:textId="77777777" w:rsidTr="001F49E7">
        <w:trPr>
          <w:trHeight w:val="900"/>
        </w:trPr>
        <w:tc>
          <w:tcPr>
            <w:tcW w:w="840" w:type="pct"/>
            <w:tcMar>
              <w:top w:w="30" w:type="dxa"/>
              <w:left w:w="45" w:type="dxa"/>
              <w:bottom w:w="30" w:type="dxa"/>
              <w:right w:w="45" w:type="dxa"/>
            </w:tcMar>
            <w:vAlign w:val="center"/>
            <w:hideMark/>
          </w:tcPr>
          <w:p w14:paraId="6306929A" w14:textId="607C482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 A. Nejadghaderi 2023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nODQTPjj","properties":{"formattedCitation":"(25)","plainCitation":"(25)","noteIndex":0},"citationItems":[{"id":"ulROLKvl/Z26brNuC","uris":["http://zotero.org/users/16072611/items/5ZG2TW6B","http://zotero.org/users/16072611/items/ZAXZZ6L9"],"itemData":{"id":513,"type":"article-journal","collection-title":"10:1036219","container-title":"Front Public Health","DOI":"10.3389/fpubh.2022.1036219","ISSN":"PMID: 36684955; PMCID: PMC9846211","language":"EN","title":"Physical activity pattern in Iran: Findings from STEPS 2021 - PubMed","author":[{"literal":"Nejadghaderi SA, Ahmadi N, Rashidi MM, Ghanbari A, Noori M, Abbasi-Kangevari M, Nasserinejad M, Rezaei N, Yoosefi M, Fattahi N, Ghasemi E, Farzi Y, Abdolhamidi E, Darman M, Djalalinia S, Farzadfar F."}],"issued":{"date-parts":[["2023",1,4]]}}}],"schema":"https://github.com/citation-style-language/schema/raw/master/csl-citation.json"}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(25)</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0E3310E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National</w:t>
            </w:r>
          </w:p>
        </w:tc>
        <w:tc>
          <w:tcPr>
            <w:tcW w:w="769" w:type="pct"/>
            <w:tcMar>
              <w:top w:w="30" w:type="dxa"/>
              <w:left w:w="45" w:type="dxa"/>
              <w:bottom w:w="30" w:type="dxa"/>
              <w:right w:w="45" w:type="dxa"/>
            </w:tcMar>
            <w:vAlign w:val="center"/>
            <w:hideMark/>
          </w:tcPr>
          <w:p w14:paraId="66490E73" w14:textId="0394B40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18-74</w:t>
            </w:r>
          </w:p>
        </w:tc>
        <w:tc>
          <w:tcPr>
            <w:tcW w:w="992" w:type="pct"/>
            <w:tcMar>
              <w:top w:w="30" w:type="dxa"/>
              <w:left w:w="45" w:type="dxa"/>
              <w:bottom w:w="30" w:type="dxa"/>
              <w:right w:w="45" w:type="dxa"/>
            </w:tcMar>
            <w:vAlign w:val="center"/>
            <w:hideMark/>
          </w:tcPr>
          <w:p w14:paraId="1BBC4D69" w14:textId="17782D6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Aged ≥18, excluded if any history of psychological problems inhibiting the study</w:t>
            </w:r>
          </w:p>
        </w:tc>
        <w:tc>
          <w:tcPr>
            <w:tcW w:w="533" w:type="pct"/>
            <w:tcMar>
              <w:top w:w="30" w:type="dxa"/>
              <w:left w:w="45" w:type="dxa"/>
              <w:bottom w:w="30" w:type="dxa"/>
              <w:right w:w="45" w:type="dxa"/>
            </w:tcMar>
            <w:vAlign w:val="center"/>
            <w:hideMark/>
          </w:tcPr>
          <w:p w14:paraId="21F283B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27,874</w:t>
            </w:r>
          </w:p>
        </w:tc>
        <w:tc>
          <w:tcPr>
            <w:tcW w:w="570" w:type="pct"/>
            <w:tcMar>
              <w:top w:w="30" w:type="dxa"/>
              <w:left w:w="45" w:type="dxa"/>
              <w:bottom w:w="30" w:type="dxa"/>
              <w:right w:w="45" w:type="dxa"/>
            </w:tcMar>
            <w:vAlign w:val="center"/>
            <w:hideMark/>
          </w:tcPr>
          <w:p w14:paraId="6FB4FE9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45.69 ± 15.91</w:t>
            </w:r>
          </w:p>
        </w:tc>
        <w:tc>
          <w:tcPr>
            <w:tcW w:w="610" w:type="pct"/>
            <w:tcMar>
              <w:top w:w="30" w:type="dxa"/>
              <w:left w:w="45" w:type="dxa"/>
              <w:bottom w:w="30" w:type="dxa"/>
              <w:right w:w="45" w:type="dxa"/>
            </w:tcMar>
            <w:vAlign w:val="center"/>
            <w:hideMark/>
          </w:tcPr>
          <w:p w14:paraId="0D98D12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55.23%</w:t>
            </w:r>
          </w:p>
        </w:tc>
      </w:tr>
      <w:tr w:rsidR="007911AE" w:rsidRPr="001F49E7" w14:paraId="1F052698" w14:textId="77777777" w:rsidTr="001F49E7">
        <w:trPr>
          <w:trHeight w:val="900"/>
        </w:trPr>
        <w:tc>
          <w:tcPr>
            <w:tcW w:w="840" w:type="pct"/>
            <w:tcMar>
              <w:top w:w="30" w:type="dxa"/>
              <w:left w:w="45" w:type="dxa"/>
              <w:bottom w:w="30" w:type="dxa"/>
              <w:right w:w="45" w:type="dxa"/>
            </w:tcMar>
            <w:vAlign w:val="center"/>
            <w:hideMark/>
          </w:tcPr>
          <w:p w14:paraId="198E9A3B" w14:textId="200C3529"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Mohammadi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{"citationID":"fRumVqBc","properties":{"unsorted":false,"formattedCitation":"(26)","plainCitation":"(26)","noteIndex":0},"citationItems":[{"id":61,"uris":["http://zotero.org/users/local/SBvLfXY8/items/582LZXER"],"itemData":{"id":61,"type":"article-journal","abstract":"We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(26)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0EBF77E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Hamedan (Urban)</w:t>
            </w:r>
          </w:p>
        </w:tc>
        <w:tc>
          <w:tcPr>
            <w:tcW w:w="769" w:type="pct"/>
            <w:tcMar>
              <w:top w:w="30" w:type="dxa"/>
              <w:left w:w="45" w:type="dxa"/>
              <w:bottom w:w="30" w:type="dxa"/>
              <w:right w:w="45" w:type="dxa"/>
            </w:tcMar>
            <w:vAlign w:val="center"/>
            <w:hideMark/>
          </w:tcPr>
          <w:p w14:paraId="3C92B691" w14:textId="1E413C7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18-60</w:t>
            </w:r>
          </w:p>
        </w:tc>
        <w:tc>
          <w:tcPr>
            <w:tcW w:w="992" w:type="pct"/>
            <w:tcMar>
              <w:top w:w="30" w:type="dxa"/>
              <w:left w:w="45" w:type="dxa"/>
              <w:bottom w:w="30" w:type="dxa"/>
              <w:right w:w="45" w:type="dxa"/>
            </w:tcMar>
            <w:vAlign w:val="center"/>
            <w:hideMark/>
          </w:tcPr>
          <w:p w14:paraId="6372AA32" w14:textId="0A0C6AA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pregnant women, those with physical or mental disabilities, or those with mobility-limiting diseases</w:t>
            </w:r>
          </w:p>
        </w:tc>
        <w:tc>
          <w:tcPr>
            <w:tcW w:w="533" w:type="pct"/>
            <w:tcMar>
              <w:top w:w="30" w:type="dxa"/>
              <w:left w:w="45" w:type="dxa"/>
              <w:bottom w:w="30" w:type="dxa"/>
              <w:right w:w="45" w:type="dxa"/>
            </w:tcMar>
            <w:vAlign w:val="center"/>
            <w:hideMark/>
          </w:tcPr>
          <w:p w14:paraId="40F831F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591; </w:t>
            </w:r>
          </w:p>
          <w:p w14:paraId="0CA240A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Adult: 560</w:t>
            </w:r>
          </w:p>
        </w:tc>
        <w:tc>
          <w:tcPr>
            <w:tcW w:w="570" w:type="pct"/>
            <w:tcMar>
              <w:top w:w="30" w:type="dxa"/>
              <w:left w:w="45" w:type="dxa"/>
              <w:bottom w:w="30" w:type="dxa"/>
              <w:right w:w="45" w:type="dxa"/>
            </w:tcMar>
            <w:vAlign w:val="center"/>
            <w:hideMark/>
          </w:tcPr>
          <w:p w14:paraId="479711A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38.11 ± 11.06</w:t>
            </w:r>
          </w:p>
        </w:tc>
        <w:tc>
          <w:tcPr>
            <w:tcW w:w="610" w:type="pct"/>
            <w:tcMar>
              <w:top w:w="30" w:type="dxa"/>
              <w:left w:w="45" w:type="dxa"/>
              <w:bottom w:w="30" w:type="dxa"/>
              <w:right w:w="45" w:type="dxa"/>
            </w:tcMar>
            <w:vAlign w:val="center"/>
            <w:hideMark/>
          </w:tcPr>
          <w:p w14:paraId="098DC68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62.44%</w:t>
            </w:r>
          </w:p>
        </w:tc>
      </w:tr>
      <w:tr w:rsidR="007911AE" w:rsidRPr="001F49E7" w14:paraId="19F50340" w14:textId="77777777" w:rsidTr="001F49E7">
        <w:trPr>
          <w:trHeight w:val="900"/>
        </w:trPr>
        <w:tc>
          <w:tcPr>
            <w:tcW w:w="840" w:type="pct"/>
            <w:tcMar>
              <w:top w:w="30" w:type="dxa"/>
              <w:left w:w="45" w:type="dxa"/>
              <w:bottom w:w="30" w:type="dxa"/>
              <w:right w:w="45" w:type="dxa"/>
            </w:tcMar>
            <w:vAlign w:val="center"/>
            <w:hideMark/>
          </w:tcPr>
          <w:p w14:paraId="41A393C5" w14:textId="2337C5D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 Taherifard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{"citationID":"qlkg7E83","properties":{"formattedCitation":"(27)","plainCitation":"(27)","noteIndex":0},"citationItems":[{"id":"ulROLKvl/1TBQ7Xlo","uris":["http://zotero.org/users/16072611/items/BZMCCFAI"],"itemData":{"id":305,"type":"article-journal","abstract":"BACKGROUND AND AIMS: Obesity is considered a major growing threat to public health which could negatively affect the quality of life. The current cross-sectional study was conducted to investigate the population-based prevalence of metabolically healthy obesity (MHO) and healthy overweight (MHOW) and associated factors in southern Iran.\nMETHODS: Baseline data from the Pars Cohort Study was analyzed. Metabolically healthy participants were identified based on the definition of the American Heart Association for the metabolic syndrome. The prevalence of MHOW and MHO and their 95% confidence intervals were estimated. Poisson regression was applied for the calculation of prevalence ratios (PRs).\nRESULTS: Gender- and age-standardized prevalences of MHOW and MHO were 6.3% (6.0%-6.6%) and 2.3% (2.1%-2.5%), respectively. The following factors were associated with being MHOW compared with those with normal weight: Being younger, female gender (1.31, 1.20-1.43), higher socioeconomic status, being noncurrent cigarette smoker (1.27, 1.11-1.45), low level of physical activity (1.14, 1.03-1.25), having normal overweight during adolescence, and overweight (1.35, 1.24-1.48) or obesity (1.68, 1.53-1.86) during young adulthood. We also found strong associations between MHO and younger age groups, female gender (2.87, 2.40-3.42), being married (1.57, 1.08-2.27), Fars ethnicity (1.25, 1.10-1.43), higher socioeconomic status, ever use of tobacco (1.14, 1.00-1.30), never use of opium (1.85, 1.19-2.86), lower physical activity (1.45, 1.20-1.72), being normal weight in 15-year body pictogram and being overweight (1.87, 1.59-2.20) or obese (3.20, 2.74-3.72) in 30-year body pictogram when considering those with normal weight or MHO.\nCONCLUSION: Potentially modifiable factors including physical activity should be more emphasized. Furthermore, our study issued that it would be more reasonable that the prevention of unhealthy obesity be initiated before the development of MHO, where there are more protective factors and they could be more effective.","container-title":"Health Science Reports","DOI":"10.1002/hsr2.1909","ISSN":"2398-8835","issue":"2","journalAbbreviation":"Health Sci Rep","language":"eng","page":"e1909","PMID":"38361808","PMCID":"PMC10867705","source":"PubMed","title":"Prevalence of metabolically healthy obesity and healthy overweight and the associated factors in southern Iran: A population-based cross-sectional study","title-short":"Prevalence of metabolically healthy obesity and healthy overweight and the associated factors in southern Iran","volume":"7","author":[{"family":"Taherifard","given":"Erfan"},{"family":"Taherifard","given":"Ehsan"},{"family":"Jeddi","given":"Marjan"},{"family":"Ahmadkhani","given":"Alireza"},{"family":"Kelishadi","given":"Roya"},{"family":"Poustchi","given":"Hossein"},{"family":"Gandomkar","given":"Abdullah"},{"family":"Malekzadeh","given":"Fatemeh"},{"family":"Mohammadi","given":"Zahra"},{"family":"Molavi Vardanjani","given":"Hossein"}],"issued":{"date-parts":[["2024",2]]}}}],"schema":"https://github.com/citation-style-language/schema/raw/master/csl-citation.json"}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(27)</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3B68C5E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Valashahr district (Urban &amp; rural)</w:t>
            </w:r>
          </w:p>
        </w:tc>
        <w:tc>
          <w:tcPr>
            <w:tcW w:w="769" w:type="pct"/>
            <w:tcMar>
              <w:top w:w="30" w:type="dxa"/>
              <w:left w:w="45" w:type="dxa"/>
              <w:bottom w:w="30" w:type="dxa"/>
              <w:right w:w="45" w:type="dxa"/>
            </w:tcMar>
            <w:vAlign w:val="center"/>
            <w:hideMark/>
          </w:tcPr>
          <w:p w14:paraId="2ADC2A37" w14:textId="0085E33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40-75</w:t>
            </w:r>
          </w:p>
        </w:tc>
        <w:tc>
          <w:tcPr>
            <w:tcW w:w="992" w:type="pct"/>
            <w:tcMar>
              <w:top w:w="30" w:type="dxa"/>
              <w:left w:w="45" w:type="dxa"/>
              <w:bottom w:w="30" w:type="dxa"/>
              <w:right w:w="45" w:type="dxa"/>
            </w:tcMar>
            <w:vAlign w:val="center"/>
            <w:hideMark/>
          </w:tcPr>
          <w:p w14:paraId="5B4C3E0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16F42EF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9,264</w:t>
            </w:r>
          </w:p>
        </w:tc>
        <w:tc>
          <w:tcPr>
            <w:tcW w:w="570" w:type="pct"/>
            <w:tcMar>
              <w:top w:w="30" w:type="dxa"/>
              <w:left w:w="45" w:type="dxa"/>
              <w:bottom w:w="30" w:type="dxa"/>
              <w:right w:w="45" w:type="dxa"/>
            </w:tcMar>
            <w:vAlign w:val="center"/>
            <w:hideMark/>
          </w:tcPr>
          <w:p w14:paraId="30B9A75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52.6 ± 9.6</w:t>
            </w:r>
          </w:p>
        </w:tc>
        <w:tc>
          <w:tcPr>
            <w:tcW w:w="610" w:type="pct"/>
            <w:tcMar>
              <w:top w:w="30" w:type="dxa"/>
              <w:left w:w="45" w:type="dxa"/>
              <w:bottom w:w="30" w:type="dxa"/>
              <w:right w:w="45" w:type="dxa"/>
            </w:tcMar>
            <w:vAlign w:val="center"/>
            <w:hideMark/>
          </w:tcPr>
          <w:p w14:paraId="5D54D17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53%</w:t>
            </w:r>
          </w:p>
        </w:tc>
      </w:tr>
      <w:tr w:rsidR="007911AE" w:rsidRPr="001F49E7" w14:paraId="55448E08" w14:textId="77777777" w:rsidTr="001F49E7">
        <w:trPr>
          <w:trHeight w:val="900"/>
        </w:trPr>
        <w:tc>
          <w:tcPr>
            <w:tcW w:w="840" w:type="pct"/>
            <w:tcMar>
              <w:top w:w="30" w:type="dxa"/>
              <w:left w:w="45" w:type="dxa"/>
              <w:bottom w:w="30" w:type="dxa"/>
              <w:right w:w="45" w:type="dxa"/>
            </w:tcMar>
            <w:vAlign w:val="center"/>
            <w:hideMark/>
          </w:tcPr>
          <w:p w14:paraId="4249F473" w14:textId="5674D9B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Sarebanhassanabadi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{"citationID":"zFI2ILCG","properties":{"formattedCitation":"(28)","plainCitation":"(28)","noteIndex":0},"citationItems":[{"id":"ulROLKvl/aYaf5Wbw","uris":["http://zotero.org/users/16072611/items/TE6FCGHB"],"itemData":{"id":315,"type":"article-journal","abstract":"BACKGROUND: There is a substantial disparity in coronary artery disease (CAD) burden between Iran and other nations that place a strong emphasis on the assessment of CAD risk factors and individuals' awareness and ability to control them.\nMETHODS: Two thousand participants of a community-based Iranian population aged 20-74 years were investigated with a mean follow-up of 9.9 years (range: 7.6 to 12.2). An analysis of Cox regression was conducted to determine the association between CAD development and classic risk factors such as age, sex, smoking, physical activity, education, obesity, dyslipidemia, hypertension, and diabetes mellitus. Furthermore, we computed the population attributable fraction for these risk factors.\nRESULTS: After a follow-up period of nearly 10 years, 225 CAD events were reported, constituting 14.5% of the overall incidence. Nighty three percent of participants had more than one risk factor. Age was the most predictive risk factor, with a hazard ratio (HR) and confidence interval (CI) of 5.56 (3.87-7.97,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in men older than 45 and females older than 55 compared to lower ages. In comparison to females, males had an HR of 1.45 (CI: 1.11-1.90, p value</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0.006) for developing CAD. Nearly 80% of the patients had dyslipidemia, with a hazard ratio of 2.19 (CI: 1.40-3.44,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0.01). Among the participants, 28.9% had hypertension, and 52% had prehypertension, which had HRs of 4.1 (2.4-7.2,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2.4 (1.4-4.2,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respectively. Diabetes, with a prevalence of 17%, had an HR of 2.63 (CI: 2 -3.47,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0.001), but prediabetes was not significantly associated with CAD. Awareness of diabetes, dyslipidemia, and hypertension was 81%, 27.9%, and 48.1%, respectively. Regarding medication usage, the corresponding percentages were 51% for diabetes, 13.2% for dyslipidemia, and 41% for hypertension.\nCONCLUSIONS: Compared to previous studies in Iran and neighboring countries, the current study found a higher incidence of CAD, more prevalent risk factors, and a lower awareness and ability to control these risk factors. Thus, an effective preventive strategy is needed to reduce the CAD burden in Iran.","container-title":"BMC cardiovascular disorders","DOI":"10.1186/s12872-024-03769-3","ISSN":"1471-2261","issue":"1","journalAbbreviation":"BMC Cardiovasc Disord","language":"eng","page":"101","PMID":"38347457","PMCID":"PMC10863377","source":"PubMed","title":"Coronary artery disease incidence, risk factors, awareness, and medication utilization in a 10-year cohort study","volume":"24","author":[{"family":"Sarebanhassanabadi","given":"Mohammadtaghi"},{"family":"Mirjalili","given":"Seyed Reza"},{"family":"Marques-Vidal","given":"Pedro"},{"family":"Kraemer","given":"Alexander"},{"family":"Namayandeh","given":"Seyedeh Mahdieh"}],"issued":{"date-parts":[["2024",2,12]]}}}],"schema":"https://github.com/citation-style-language/schema/raw/master/csl-citation.json"}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(28)</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2A33BF2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Yazd (Urban)</w:t>
            </w:r>
          </w:p>
        </w:tc>
        <w:tc>
          <w:tcPr>
            <w:tcW w:w="769" w:type="pct"/>
            <w:tcMar>
              <w:top w:w="30" w:type="dxa"/>
              <w:left w:w="45" w:type="dxa"/>
              <w:bottom w:w="30" w:type="dxa"/>
              <w:right w:w="45" w:type="dxa"/>
            </w:tcMar>
            <w:vAlign w:val="center"/>
            <w:hideMark/>
          </w:tcPr>
          <w:p w14:paraId="6B7C7AB0" w14:textId="2B69876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20–74</w:t>
            </w:r>
          </w:p>
        </w:tc>
        <w:tc>
          <w:tcPr>
            <w:tcW w:w="992" w:type="pct"/>
            <w:tcMar>
              <w:top w:w="30" w:type="dxa"/>
              <w:left w:w="45" w:type="dxa"/>
              <w:bottom w:w="30" w:type="dxa"/>
              <w:right w:w="45" w:type="dxa"/>
            </w:tcMar>
            <w:vAlign w:val="center"/>
            <w:hideMark/>
          </w:tcPr>
          <w:p w14:paraId="217BABF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20822B6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1,552</w:t>
            </w:r>
          </w:p>
        </w:tc>
        <w:tc>
          <w:tcPr>
            <w:tcW w:w="570" w:type="pct"/>
            <w:tcMar>
              <w:top w:w="30" w:type="dxa"/>
              <w:left w:w="45" w:type="dxa"/>
              <w:bottom w:w="30" w:type="dxa"/>
              <w:right w:w="45" w:type="dxa"/>
            </w:tcMar>
            <w:vAlign w:val="center"/>
            <w:hideMark/>
          </w:tcPr>
          <w:p w14:paraId="3CC8F3F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48.6 ± 14.7</w:t>
            </w:r>
          </w:p>
        </w:tc>
        <w:tc>
          <w:tcPr>
            <w:tcW w:w="610" w:type="pct"/>
            <w:tcMar>
              <w:top w:w="30" w:type="dxa"/>
              <w:left w:w="45" w:type="dxa"/>
              <w:bottom w:w="30" w:type="dxa"/>
              <w:right w:w="45" w:type="dxa"/>
            </w:tcMar>
            <w:vAlign w:val="center"/>
            <w:hideMark/>
          </w:tcPr>
          <w:p w14:paraId="04448F9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48.1%</w:t>
            </w:r>
          </w:p>
        </w:tc>
      </w:tr>
      <w:tr w:rsidR="007911AE" w:rsidRPr="001F49E7" w14:paraId="010D5809" w14:textId="77777777" w:rsidTr="001F49E7">
        <w:trPr>
          <w:trHeight w:val="900"/>
        </w:trPr>
        <w:tc>
          <w:tcPr>
            <w:tcW w:w="840" w:type="pct"/>
            <w:tcMar>
              <w:top w:w="30" w:type="dxa"/>
              <w:left w:w="45" w:type="dxa"/>
              <w:bottom w:w="30" w:type="dxa"/>
              <w:right w:w="45" w:type="dxa"/>
            </w:tcMar>
            <w:vAlign w:val="center"/>
          </w:tcPr>
          <w:p w14:paraId="0A196401" w14:textId="0CEE539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Ranjbar 2025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CsQNf0Jn","properties":{"unsorted":false,"formattedCitation":"(29)","plainCitation":"(29)","noteIndex":0},"citationItems":[{"id":237,"uris":["http://zotero.org/users/local/SBvLfXY8/items/GPPH7NUA"],"itemData":{"id":237,"type":"article-journal","abstract":"BACKGROUND: Ultra-process foods (UPF) were suspected to induce many diseases and threaten consumers' health. The aim of this study was to examine the association  between the consumption of highly processed foods and adiposity indexes in  Tehranian adults. METHOD: In a cross-sectional design, 850 Tehranian adults were  included. NOVA classification was used to assess the intake of UPF in  participants. The amount of calorie intake through processed foods was assessed.  Adiposity indexes outcomes include body mass index (BMI), waist circumference  (WC), waist-to-hip ratio (WHR), waist-to-height ratio (WHtR), visceral adiposity  index (VAI), body roundness index (BRI), and body adiposity index (BAI). Lipid  accumulation product (LAP) and triglyceride-glucose index (TyG) were also  assessed. Binary logistic regression was used to evaluate the association between  the intake of UPF and adiposity indexes measurements. RESULT: there was a higher  intake of UPF in men than women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&lt;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0.001). The results of logistic regression  revealed that there is a significant association between intake of UPF with WHR  (odds ratio (OR): 1.09, 95% confidence interval (CI): 0.73-1.61) and BRI (OR:  2.10, 95% CI: 1.38-3.19) in the crude model. Nevertheless, after adjusting for  confounders, the results were insignificant (WHR: OR, 0.77, 95% CI, 0.46-1.27,  and BRI: OR, 1.70, 95% CI, 1.05-2.73). No significant association was seen for  other outcomes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&gt;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 xml:space="preserve">0.001 for all). The results of dose-response analyses  revealed a substantial association between UPF intake and BMI, WHrT, WC, VAI,  BRI, BAI, LAP, and TyG. CONCLUSION: UPF consumption was significantly related to  increased risk of high-risk adiposity indexes in the dose-response analysis. More  studies are needed to strengthen the results of this study.","container-title":"BMC public health","DOI":"10.1186/s12889-025-22812-2","ISSN":"1471-2458","issue":"1","journalAbbreviation":"BMC Public Health","language":"eng","license":"© 2025. The Author(s).","page":"1548","PMID":"40281568","PMCID":"PMC12023585","publisher-place":"England","title":"The association between ultra-processed food consumption and adiposity indexes in adults living in Tehran: a dose-response analysis within a cross-sectional study.","volume":"25","author":[{"family":"Ranjbar","given":"Mahsa"},{"family":"Avini","given":"Neda Asgari"},{"family":"Shab-Bidar","given":"Sakineh"}],"issued":{"date-parts":[["2025",4,25]]}}}],"schema":"https://github.com/citation-style-language/schema/raw/master/csl-citation.json"}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(29)</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0B1E42D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tcPr>
          <w:p w14:paraId="1940D194" w14:textId="1E6A3D5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20-59</w:t>
            </w:r>
          </w:p>
        </w:tc>
        <w:tc>
          <w:tcPr>
            <w:tcW w:w="992" w:type="pct"/>
            <w:tcMar>
              <w:top w:w="30" w:type="dxa"/>
              <w:left w:w="45" w:type="dxa"/>
              <w:bottom w:w="30" w:type="dxa"/>
              <w:right w:w="45" w:type="dxa"/>
            </w:tcMar>
            <w:vAlign w:val="center"/>
          </w:tcPr>
          <w:p w14:paraId="66B4CB8B" w14:textId="51ED8D9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Excluded if having diseases such as diabetes, cancer and cardiovascular diseases, Alzheimer’s, Parkinson’s, chronic liver and kidney diseases, or a </w:t>
            </w:r>
            <w:r w:rsidRPr="001F49E7">
              <w:rPr>
                <w:rFonts w:eastAsia="Times New Roman" w:cstheme="minorHAnsi"/>
                <w:kern w:val="0"/>
                <w:sz w:val="16"/>
                <w:szCs w:val="16"/>
                <w14:ligatures w14:val="none"/>
              </w:rPr>
              <w:lastRenderedPageBreak/>
              <w:t xml:space="preserve">history of stroke, brain and heart attack, rheumatoid arthritis, and other chronic diseases </w:t>
            </w:r>
          </w:p>
        </w:tc>
        <w:tc>
          <w:tcPr>
            <w:tcW w:w="533" w:type="pct"/>
            <w:tcMar>
              <w:top w:w="30" w:type="dxa"/>
              <w:left w:w="45" w:type="dxa"/>
              <w:bottom w:w="30" w:type="dxa"/>
              <w:right w:w="45" w:type="dxa"/>
            </w:tcMar>
            <w:vAlign w:val="center"/>
          </w:tcPr>
          <w:p w14:paraId="40F176D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850</w:t>
            </w:r>
          </w:p>
        </w:tc>
        <w:tc>
          <w:tcPr>
            <w:tcW w:w="570" w:type="pct"/>
            <w:tcMar>
              <w:top w:w="30" w:type="dxa"/>
              <w:left w:w="45" w:type="dxa"/>
              <w:bottom w:w="30" w:type="dxa"/>
              <w:right w:w="45" w:type="dxa"/>
            </w:tcMar>
            <w:vAlign w:val="center"/>
          </w:tcPr>
          <w:p w14:paraId="0A695D7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610" w:type="pct"/>
            <w:tcMar>
              <w:top w:w="30" w:type="dxa"/>
              <w:left w:w="45" w:type="dxa"/>
              <w:bottom w:w="30" w:type="dxa"/>
              <w:right w:w="45" w:type="dxa"/>
            </w:tcMar>
            <w:vAlign w:val="center"/>
          </w:tcPr>
          <w:p w14:paraId="07346B8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68.71%</w:t>
            </w:r>
          </w:p>
        </w:tc>
      </w:tr>
      <w:tr w:rsidR="007911AE" w:rsidRPr="001F49E7" w14:paraId="278127C3" w14:textId="77777777" w:rsidTr="001F49E7">
        <w:trPr>
          <w:trHeight w:val="900"/>
        </w:trPr>
        <w:tc>
          <w:tcPr>
            <w:tcW w:w="840" w:type="pct"/>
            <w:tcMar>
              <w:top w:w="30" w:type="dxa"/>
              <w:left w:w="45" w:type="dxa"/>
              <w:bottom w:w="30" w:type="dxa"/>
              <w:right w:w="45" w:type="dxa"/>
            </w:tcMar>
            <w:vAlign w:val="center"/>
          </w:tcPr>
          <w:p w14:paraId="5A5886BD" w14:textId="7C2B3A7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Lesani 2025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WJLAoFF6","properties":{"unsorted":false,"formattedCitation":"(30)","plainCitation":"(30)","noteIndex":0},"citationItems":[{"id":236,"uris":["http://zotero.org/users/local/SBvLfXY8/items/P7HF2TI5"],"itemData":{"id":236,"type":"article-journal","abstract":"Chrono-nutrition is an emerging field that examines how the frequency and timing of meals impact health. Previous research shows inconsistency in the relationship  between chrono-nutritional components and cardiometabolic health. We investigated  cross-sectional associations between these components and cardiometabolic health  in 825 Iranian adults aged 20-59 years. Dietary data, including the number of  eating occasions, meal timing and meal irregularity of energy intake, were  collected using three 24-h dietary recalls. Anthropometric measurements, blood  pressure and laboratory tests (fasting plasma glucose, lipid profile, insulin,  uric acid and C-reactive protein) were conducted. Insulin resistance and  sensitivity (homeostatic model assessment for insulin resistance, homeostatic  model assessment for insulin sensitivity), the TAG-glucose, the lipid  accommodation product and BMI were calculated. The demographic and  morning-evening questionnaire was completed. General linear regression was used  to assess associations between chrono-nutritional components and outcomes.  Interactions with age and BMI were examined in all associations. Chrono-nutrition  components were not significantly related to cardiometabolic risk factors in the  total population. However, a lower number of eating occasions was associated with  an increased LDL-cholesterol:HDL-cholesterol ratio (β (95 % CI): 0·26 (0·06,  0·48)) among overweight and obese participants. Additionally, less irregularity  in breakfast energy intake was associated with a lower total  cholesterol:HDL-cholesterol ratio (-0·37 (-0·95, -0·18)) and a lower  LDL-cholesterol:HDL-cholesterol ratio (-0·32 (-0·79, -0·13)) among participants  with a normal BMI (all P&lt; 0·05). The study concluded that more frequent meals and  regular energy intake might enhance cardiometabolic health cross-sectionally,  highlighting the need for prospective studies to further investigate these  associations and the mediating role of BMI.","container-title":"The British journal of nutrition","DOI":"10.1017/S0007114524002745","ISSN":"1475-2662 0007-1145","issue":"1","journalAbbreviation":"Br J Nutr","language":"eng","license":"© The Author(s), 2024. Published by Cambridge University Press on behalf of The Nutrition Society","page":"94-106","PMID":"39562331","publisher-place":"England","title":"Association of chrono-nutrition components with cardiometabolic health in a sample of Iranian adults: a cross-sectional study.","volume":"133","author":[{"family":"Lesani","given":"Azadeh"},{"family":"Zeraattalab-Motlagh","given":"Sheida"},{"family":"Djafarian","given":"Kurosh"},{"family":"Majdi","given":"Maryam"},{"family":"Akbarzade","given":"Zahra"},{"family":"Shab-Bidar","given":"Sakineh"}],"issued":{"date-parts":[["2025",1,14]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(30)</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1135F4E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tcPr>
          <w:p w14:paraId="5F5CC779" w14:textId="550814C0"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20–59</w:t>
            </w:r>
          </w:p>
        </w:tc>
        <w:tc>
          <w:tcPr>
            <w:tcW w:w="992" w:type="pct"/>
            <w:tcMar>
              <w:top w:w="30" w:type="dxa"/>
              <w:left w:w="45" w:type="dxa"/>
              <w:bottom w:w="30" w:type="dxa"/>
              <w:right w:w="45" w:type="dxa"/>
            </w:tcMar>
            <w:vAlign w:val="center"/>
          </w:tcPr>
          <w:p w14:paraId="055D5317" w14:textId="4687864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 between 18.5 and 39.9 kg/m2, excluded if diagnosed with any acute or chronic diseases pregnancy, lactation, individuals with under- or overreporting of total energy intake</w:t>
            </w:r>
          </w:p>
        </w:tc>
        <w:tc>
          <w:tcPr>
            <w:tcW w:w="533" w:type="pct"/>
            <w:tcMar>
              <w:top w:w="30" w:type="dxa"/>
              <w:left w:w="45" w:type="dxa"/>
              <w:bottom w:w="30" w:type="dxa"/>
              <w:right w:w="45" w:type="dxa"/>
            </w:tcMar>
            <w:vAlign w:val="center"/>
          </w:tcPr>
          <w:p w14:paraId="68493C9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825</w:t>
            </w:r>
          </w:p>
        </w:tc>
        <w:tc>
          <w:tcPr>
            <w:tcW w:w="570" w:type="pct"/>
            <w:tcMar>
              <w:top w:w="30" w:type="dxa"/>
              <w:left w:w="45" w:type="dxa"/>
              <w:bottom w:w="30" w:type="dxa"/>
              <w:right w:w="45" w:type="dxa"/>
            </w:tcMar>
            <w:vAlign w:val="center"/>
          </w:tcPr>
          <w:p w14:paraId="5CA5951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42.17 ± 10.5</w:t>
            </w:r>
          </w:p>
        </w:tc>
        <w:tc>
          <w:tcPr>
            <w:tcW w:w="610" w:type="pct"/>
            <w:tcMar>
              <w:top w:w="30" w:type="dxa"/>
              <w:left w:w="45" w:type="dxa"/>
              <w:bottom w:w="30" w:type="dxa"/>
              <w:right w:w="45" w:type="dxa"/>
            </w:tcMar>
            <w:vAlign w:val="center"/>
          </w:tcPr>
          <w:p w14:paraId="57565ED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83.03%</w:t>
            </w:r>
          </w:p>
        </w:tc>
      </w:tr>
      <w:tr w:rsidR="007911AE" w:rsidRPr="001F49E7" w14:paraId="786A4A27" w14:textId="77777777" w:rsidTr="001F49E7">
        <w:trPr>
          <w:trHeight w:val="900"/>
        </w:trPr>
        <w:tc>
          <w:tcPr>
            <w:tcW w:w="840" w:type="pct"/>
            <w:tcMar>
              <w:top w:w="30" w:type="dxa"/>
              <w:left w:w="45" w:type="dxa"/>
              <w:bottom w:w="30" w:type="dxa"/>
              <w:right w:w="45" w:type="dxa"/>
            </w:tcMar>
            <w:vAlign w:val="center"/>
          </w:tcPr>
          <w:p w14:paraId="2CBBCB80" w14:textId="32CD5FC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 Kazemi 2026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XR5lUlia","properties":{"unsorted":false,"formattedCitation":"(31)","plainCitation":"(31)","noteIndex":0},"citationItems":[{"id":231,"uris":["http://zotero.org/users/local/SBvLfXY8/items/HVNEBG9H"],"itemData":{"id":231,"type":"article-journal","abstract":"BACKGROUND: Cardiovascular health (CVH) is a critical public health concern, with notable biological sex disparities impacting health outcomes. This study  evaluates CVH status using the Life’s Essential 8 (LE8) metric among an employee  of a government office of men and women in Birjand, Iran. METHODS: A  cross-sectional study design was employed to assess CVH among employee of a  government office in Birjand, Iran, from July 23 to September 27, 2023.  Demographic information and the eight health factors were collected using  standardized methods. The LE8 metric encompasses four health behaviors (smoking  status, physical activity, diet, and sleep) and four health factors (body mass  index, blood glucose levels, blood lipid levels, and blood pressure). Data were  entered into SPSS, and analyses were conducted at a significance level of  P</w:instrText>
            </w:r>
            <w:r w:rsidR="00FA7458" w:rsidRPr="001F49E7">
              <w:rPr>
                <w:rFonts w:ascii="Arial" w:eastAsia="Times New Roman" w:hAnsi="Arial" w:cs="Arial"/>
                <w:kern w:val="0"/>
                <w:sz w:val="16"/>
                <w:szCs w:val="16"/>
                <w14:ligatures w14:val="none"/>
              </w:rPr>
              <w:instrText> </w:instrText>
            </w:r>
            <w:r w:rsidR="00FA7458" w:rsidRPr="001F49E7">
              <w:rPr>
                <w:rFonts w:ascii="Aptos" w:eastAsia="Times New Roman" w:hAnsi="Aptos" w:cs="Aptos"/>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 xml:space="preserve">0.05 to compare LE8 scores and associated cardiovascular risk factors between  biological sex. Data analysis was conducted using SPSS version 20. RESULTS: Of  the total 319 individuals enrolled in the study, 251 (78.7%) were male and 68  (21.3%) were female. About 98.1% of the participants scored below the ideal CVH  status, with significant biological sex differences observed. Women exhibited  higher mean scores than men across most components of LE8, except for body mass  index and physical activity. Women had more favorable levels of non-HDL  cholesterol, blood pressure, blood glucose, and smoking prevalence, resulting in  mean LE8 scores of 64.27 for women and 59 for men. CONCLUSION: The study’s  results indicated that less than 2% of the participants had an ideal  cardiovascular health status. Most components of the 8 CVH factors were found to  be in worse condition in men than in women. These findings highlight the critical  necessity for focused, gender-sensitive interventions and strategic health  planning aimed at enhancing cardiovascular health among both Iranian women and  men. Therefore, further research in larger, more diverse populations is essential  to address this pressing issue effectively. SUPPLEMENTARY INFORMATION: The online  version contains supplementary material available at 10.1186/s12872-025-05201-w.","container-title":"BMC cardiovascular disorders","DOI":"10.1186/s12872-025-05201-w","ISSN":"1471-2261","issue":"1","journalAbbreviation":"BMC Cardiovasc Disord","language":"eng","page":"170","PMID":"41593512","PMCID":"PMC12918101","publisher-place":"England","title":"Cardiovascular health metrics among an Iranian population: insights from life's essential 8.","volume":"26","author":[{"family":"Kazemi","given":"Toba"},{"family":"Jafarizadeh","given":"Razie"},{"family":"Bizhaem","given":"Saeede Khosravi"},{"family":"Bijari","given":"Bita"},{"family":"Karbasi","given":"Samira"}],"issued":{"date-parts":[["2026",1,27]]}}}],"schema":"https://github.com/citation-style-language/schema/raw/master/csl-citation.json"}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(31)</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3B7AB78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Birjand (Urban)</w:t>
            </w:r>
          </w:p>
        </w:tc>
        <w:tc>
          <w:tcPr>
            <w:tcW w:w="769" w:type="pct"/>
            <w:tcMar>
              <w:top w:w="30" w:type="dxa"/>
              <w:left w:w="45" w:type="dxa"/>
              <w:bottom w:w="30" w:type="dxa"/>
              <w:right w:w="45" w:type="dxa"/>
            </w:tcMar>
            <w:vAlign w:val="center"/>
          </w:tcPr>
          <w:p w14:paraId="5D994A9B" w14:textId="2EF09AC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92" w:type="pct"/>
            <w:tcMar>
              <w:top w:w="30" w:type="dxa"/>
              <w:left w:w="45" w:type="dxa"/>
              <w:bottom w:w="30" w:type="dxa"/>
              <w:right w:w="45" w:type="dxa"/>
            </w:tcMar>
            <w:vAlign w:val="center"/>
          </w:tcPr>
          <w:p w14:paraId="2B6854F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Employees from a </w:t>
            </w:r>
          </w:p>
          <w:p w14:paraId="5CD01312" w14:textId="5C8F3FD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government office</w:t>
            </w:r>
          </w:p>
        </w:tc>
        <w:tc>
          <w:tcPr>
            <w:tcW w:w="533" w:type="pct"/>
            <w:tcMar>
              <w:top w:w="30" w:type="dxa"/>
              <w:left w:w="45" w:type="dxa"/>
              <w:bottom w:w="30" w:type="dxa"/>
              <w:right w:w="45" w:type="dxa"/>
            </w:tcMar>
            <w:vAlign w:val="center"/>
          </w:tcPr>
          <w:p w14:paraId="35786F8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319</w:t>
            </w:r>
          </w:p>
        </w:tc>
        <w:tc>
          <w:tcPr>
            <w:tcW w:w="570" w:type="pct"/>
            <w:tcMar>
              <w:top w:w="30" w:type="dxa"/>
              <w:left w:w="45" w:type="dxa"/>
              <w:bottom w:w="30" w:type="dxa"/>
              <w:right w:w="45" w:type="dxa"/>
            </w:tcMar>
            <w:vAlign w:val="center"/>
          </w:tcPr>
          <w:p w14:paraId="685C888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43.14 ± 7.47</w:t>
            </w:r>
          </w:p>
        </w:tc>
        <w:tc>
          <w:tcPr>
            <w:tcW w:w="610" w:type="pct"/>
            <w:tcMar>
              <w:top w:w="30" w:type="dxa"/>
              <w:left w:w="45" w:type="dxa"/>
              <w:bottom w:w="30" w:type="dxa"/>
              <w:right w:w="45" w:type="dxa"/>
            </w:tcMar>
            <w:vAlign w:val="center"/>
          </w:tcPr>
          <w:p w14:paraId="40EDA89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21.3%</w:t>
            </w:r>
          </w:p>
        </w:tc>
      </w:tr>
      <w:tr w:rsidR="007911AE" w:rsidRPr="001F49E7" w14:paraId="282FF9A6" w14:textId="77777777" w:rsidTr="001F49E7">
        <w:trPr>
          <w:trHeight w:val="900"/>
        </w:trPr>
        <w:tc>
          <w:tcPr>
            <w:tcW w:w="840" w:type="pct"/>
            <w:tcMar>
              <w:top w:w="30" w:type="dxa"/>
              <w:left w:w="45" w:type="dxa"/>
              <w:bottom w:w="30" w:type="dxa"/>
              <w:right w:w="45" w:type="dxa"/>
            </w:tcMar>
            <w:vAlign w:val="center"/>
          </w:tcPr>
          <w:p w14:paraId="7328AD93" w14:textId="41A0574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Jabbari 2026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{"citationID":"cv6D4cH6","properties":{"unsorted":false,"formattedCitation":"(32)","plainCitation":"(32)","noteIndex":0},"citationItems":[{"id":240,"uris":["http://zotero.org/users/local/SBvLfXY8/items/5JT32MG3"],"itemData":{"id":240,"type":"article-journal","abstract":"Optimal sleep, as a vital part of life, has significant impacts on various aspects of social health. Dietary intake, particularly through its influence on oxidative stress and inflammation, is a crucial modifiable factor for sleep health. Given the high prevalence of sleep disorders in the Iranian population, we investigated the association of the intake of legumes and nuts with their sleep quality and quantity and inflammation and oxidative stress levels. Our cross-sectional study comprised 535 participants (46% female, aged 20–65 years), selected via a multistage cluster random sampling approach. Their dietary intake was evaluated using a validated food frequency questionnaire. Sleep metrics were assessed through the Pittsburgh Sleep Quality Index. Fasting blood samples were gathered to assess the levels of oxidative stress and inflammation biomarkers. Our analyses revealed significant negative relations between the consumption of legumes and nuts and the odds of short sleep (fully adjusted OR = 0.56, 95% CI: 0.33–0.94) and poor sleep quality (fully adjusted OR = 0.51, 95% CI: 0.31–0.85); these associations were in a dose–response manner and more pronounced in females. Moreover, a U-shaped association was observed between glutathione peroxidase levels and the odds of poor sleep quality. These findings highlighted the significant association of enhancing the consumption of legumes and nuts with sleep quality and quantity improvement among Iranian adults.","container-title":"Food Funct.","DOI":"10.1039/D5FO04053A","issue":"4","page":"2081-2093","publisher":"The Royal Society of Chemistry","title":"Legumes and nuts intake in relation to sleep duration and quality, oxidative stress and inflammation in Iranian adults","volume":"17","author":[{"family":"Jabbari","given":"Maedeh"},{"family":"Poursalehi","given":"Donya"},{"family":"Moradmand","given":"Zahra"},{"family":"Rashki","given":"Alireza"},{"family":"Shahdadian","given":"Farnaz"},{"family":"Rouhani","given":"Parisa"},{"family":"Saneei","given":"Parvane"}],"issued":{"date-parts":[["2026"]]}}}],"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(32)</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7A97D4D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Isfahan (Urban)</w:t>
            </w:r>
          </w:p>
        </w:tc>
        <w:tc>
          <w:tcPr>
            <w:tcW w:w="769" w:type="pct"/>
            <w:tcMar>
              <w:top w:w="30" w:type="dxa"/>
              <w:left w:w="45" w:type="dxa"/>
              <w:bottom w:w="30" w:type="dxa"/>
              <w:right w:w="45" w:type="dxa"/>
            </w:tcMar>
            <w:vAlign w:val="center"/>
          </w:tcPr>
          <w:p w14:paraId="1D213A73" w14:textId="08E3658B"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20-65</w:t>
            </w:r>
          </w:p>
        </w:tc>
        <w:tc>
          <w:tcPr>
            <w:tcW w:w="992" w:type="pct"/>
            <w:tcMar>
              <w:top w:w="30" w:type="dxa"/>
              <w:left w:w="45" w:type="dxa"/>
              <w:bottom w:w="30" w:type="dxa"/>
              <w:right w:w="45" w:type="dxa"/>
            </w:tcMar>
            <w:vAlign w:val="center"/>
          </w:tcPr>
          <w:p w14:paraId="1ECBFF9B" w14:textId="70E9163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Excluded if pregnant or lactating, having a medical history of cancer, type 1 DM, CVD, or cerebrovascular events, adhering to a specific diet; having left more than 70 items of the food frequency questionnaire unanswered, reporting energy intake below or above the established range of 800–4200 kcal/day (either under-reporters or over-reporters), declining to provide a blood sample </w:t>
            </w:r>
          </w:p>
        </w:tc>
        <w:tc>
          <w:tcPr>
            <w:tcW w:w="533" w:type="pct"/>
            <w:tcMar>
              <w:top w:w="30" w:type="dxa"/>
              <w:left w:w="45" w:type="dxa"/>
              <w:bottom w:w="30" w:type="dxa"/>
              <w:right w:w="45" w:type="dxa"/>
            </w:tcMar>
            <w:vAlign w:val="center"/>
          </w:tcPr>
          <w:p w14:paraId="1319AF2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535</w:t>
            </w:r>
          </w:p>
        </w:tc>
        <w:tc>
          <w:tcPr>
            <w:tcW w:w="570" w:type="pct"/>
            <w:tcMar>
              <w:top w:w="30" w:type="dxa"/>
              <w:left w:w="45" w:type="dxa"/>
              <w:bottom w:w="30" w:type="dxa"/>
              <w:right w:w="45" w:type="dxa"/>
            </w:tcMar>
            <w:vAlign w:val="center"/>
          </w:tcPr>
          <w:p w14:paraId="5B606C5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42.6 ± 11.1</w:t>
            </w:r>
          </w:p>
        </w:tc>
        <w:tc>
          <w:tcPr>
            <w:tcW w:w="610" w:type="pct"/>
            <w:tcMar>
              <w:top w:w="30" w:type="dxa"/>
              <w:left w:w="45" w:type="dxa"/>
              <w:bottom w:w="30" w:type="dxa"/>
              <w:right w:w="45" w:type="dxa"/>
            </w:tcMar>
            <w:vAlign w:val="center"/>
          </w:tcPr>
          <w:p w14:paraId="1D28256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46%</w:t>
            </w:r>
          </w:p>
        </w:tc>
      </w:tr>
      <w:tr w:rsidR="007911AE" w:rsidRPr="001F49E7" w14:paraId="0E0ACFA9" w14:textId="77777777" w:rsidTr="001F49E7">
        <w:trPr>
          <w:trHeight w:val="900"/>
        </w:trPr>
        <w:tc>
          <w:tcPr>
            <w:tcW w:w="840" w:type="pct"/>
            <w:tcMar>
              <w:top w:w="30" w:type="dxa"/>
              <w:left w:w="45" w:type="dxa"/>
              <w:bottom w:w="30" w:type="dxa"/>
              <w:right w:w="45" w:type="dxa"/>
            </w:tcMar>
            <w:vAlign w:val="center"/>
          </w:tcPr>
          <w:p w14:paraId="4DC07432" w14:textId="2AF637D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Jabbarzadeh-Ganjeh 2026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{"citationID":"sN3Jti0v","properties":{"unsorted":false,"formattedCitation":"(33)","plainCitation":"(33)","noteIndex":0},"citationItems":[{"id":238,"uris":["http://zotero.org/users/local/SBvLfXY8/items/3EQKQU27"],"itemData":{"id":238,"type":"article-journal","abstract":"We aimed to investigate the association of chrono-nutrition components with anthropometric measures and body composition in adults living in Tehran. This  cross-sectional study was conducted on 450 healthy adults. The exposures of the  study were meal frequency, meal timing, meal irregularity, breakfast skipping,  night fasting duration, time of the first and last eating occasion and the time  interval from the last meal to bed. The outcomes were BMI, waist circumference,  neck circumference (NC), waist:hip ratio, waist:height ratio (WHtR), body  adiposity index (BAI), body roundness index (BRI), a body shape index, percentage  of body fat (PBF), fat mass (FM), fat-free mass and muscle mass. Bonferroni  correction was applied, and the significance level was less than 0·004. Using  ANCOVA, after adjusting for confounders, late lunch eating was associated with a  lower PBF. There was a positive trend across the tertiles of dinner time with  greater WHtR (mean difference = 0·019; P(trend) = 0·025) and BRI (mean difference  = 0·24; P(trend) = 0·022). Moreover, increased irregularity at dinner time was  associated with higher levels of PBF (P(trend) = 0·026) and FM (P(trend) =  0·025). Also, longer overnight fasting was associated with lower NC (P(trend) =  0·049) and a greater BRI (P(trend) = 0·050). We found differences across the time  interval from the last meal to bed with greater means of BAI (P(trend) = 0·026),  PBF (P(trend) = 0·014) and FM (P(trend) = 0·020). However, after applying the  Bonferroni correction, we found no significant association between  chrono-nutrition components and anthropometric measures and body composition in  adults living in Tehran. Further studies are necessary to confirm the results.","container-title":"The British journal of nutrition","DOI":"10.1017/S0007114525105047","ISSN":"1475-2662 0007-1145","issue":"3","journalAbbreviation":"Br J Nutr","language":"eng","page":"335-348","PMID":"41347499","publisher-place":"England","title":"Association of chrono-nutrition components with anthropometric measures and body composition in adults living in Tehran.","volume":"135","author":[{"family":"Jabbarzadeh-Ganjeh","given":"Bahareh"},{"family":"Mirrafiei","given":"Amin"},{"family":"Norouziasl","given":"Reyhane"},{"family":"Ghaemi","given":"Shadi"},{"family":"Bafkar","given":"Negar"},{"family":"Firouzi","given":"Mahsa"},{"family":"Tijani Jibril","given":"Aliyu"},{"family":"Djafarian","given":"Kurosh"},{"family":"Bahrami","given":"Alireza"},{"family":"Shab-Bidar","given":"Sakineh"}],"issued":{"date-parts":[["2026",2,14]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(33)</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6B367A6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tcPr>
          <w:p w14:paraId="7AB1BB3B" w14:textId="09CB972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20–59</w:t>
            </w:r>
          </w:p>
        </w:tc>
        <w:tc>
          <w:tcPr>
            <w:tcW w:w="992" w:type="pct"/>
            <w:tcMar>
              <w:top w:w="30" w:type="dxa"/>
              <w:left w:w="45" w:type="dxa"/>
              <w:bottom w:w="30" w:type="dxa"/>
              <w:right w:w="45" w:type="dxa"/>
            </w:tcMar>
            <w:vAlign w:val="center"/>
          </w:tcPr>
          <w:p w14:paraId="0F68B1A9" w14:textId="68C886A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BMI between 17 and 40 and residing in Tehran; excluded if pregnant, lactating, following a specific dietary plan and having a specific disease such as Alzheimer’s, Parkinson’s, chronic liver or kidney diseases, insulin therapy, rheumatoid arthritis or a history of stroke </w:t>
            </w:r>
          </w:p>
        </w:tc>
        <w:tc>
          <w:tcPr>
            <w:tcW w:w="533" w:type="pct"/>
            <w:tcMar>
              <w:top w:w="30" w:type="dxa"/>
              <w:left w:w="45" w:type="dxa"/>
              <w:bottom w:w="30" w:type="dxa"/>
              <w:right w:w="45" w:type="dxa"/>
            </w:tcMar>
            <w:vAlign w:val="center"/>
          </w:tcPr>
          <w:p w14:paraId="3E74512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444</w:t>
            </w:r>
          </w:p>
        </w:tc>
        <w:tc>
          <w:tcPr>
            <w:tcW w:w="570" w:type="pct"/>
            <w:tcMar>
              <w:top w:w="30" w:type="dxa"/>
              <w:left w:w="45" w:type="dxa"/>
              <w:bottom w:w="30" w:type="dxa"/>
              <w:right w:w="45" w:type="dxa"/>
            </w:tcMar>
            <w:vAlign w:val="center"/>
          </w:tcPr>
          <w:p w14:paraId="0F5AE85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38.24 ± 9.67</w:t>
            </w:r>
          </w:p>
        </w:tc>
        <w:tc>
          <w:tcPr>
            <w:tcW w:w="610" w:type="pct"/>
            <w:tcMar>
              <w:top w:w="30" w:type="dxa"/>
              <w:left w:w="45" w:type="dxa"/>
              <w:bottom w:w="30" w:type="dxa"/>
              <w:right w:w="45" w:type="dxa"/>
            </w:tcMar>
            <w:vAlign w:val="center"/>
          </w:tcPr>
          <w:p w14:paraId="2D9025E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54.05%</w:t>
            </w:r>
          </w:p>
        </w:tc>
      </w:tr>
      <w:tr w:rsidR="007911AE" w:rsidRPr="001F49E7" w14:paraId="5CF2F146" w14:textId="77777777" w:rsidTr="001F49E7">
        <w:trPr>
          <w:trHeight w:val="414"/>
        </w:trPr>
        <w:tc>
          <w:tcPr>
            <w:tcW w:w="5000" w:type="pct"/>
            <w:gridSpan w:val="7"/>
            <w:tcMar>
              <w:top w:w="30" w:type="dxa"/>
              <w:left w:w="45" w:type="dxa"/>
              <w:bottom w:w="30" w:type="dxa"/>
              <w:right w:w="45" w:type="dxa"/>
            </w:tcMar>
            <w:vAlign w:val="center"/>
          </w:tcPr>
          <w:p w14:paraId="362FA5A8" w14:textId="56A8078B" w:rsidR="007911AE" w:rsidRPr="001F49E7" w:rsidRDefault="007911AE" w:rsidP="001F49E7">
            <w:pPr>
              <w:spacing w:after="0" w:line="240" w:lineRule="auto"/>
              <w:jc w:val="center"/>
              <w:rPr>
                <w:rFonts w:eastAsia="Times New Roman" w:cstheme="minorHAnsi"/>
                <w:b/>
                <w:bCs/>
                <w:kern w:val="0"/>
                <w:sz w:val="16"/>
                <w:szCs w:val="16"/>
                <w14:ligatures w14:val="none"/>
              </w:rPr>
            </w:pPr>
            <w:r w:rsidRPr="001F49E7">
              <w:rPr>
                <w:rFonts w:eastAsia="Times New Roman" w:cstheme="minorHAnsi"/>
                <w:b/>
                <w:bCs/>
                <w:kern w:val="0"/>
                <w:sz w:val="16"/>
                <w:szCs w:val="16"/>
                <w14:ligatures w14:val="none"/>
              </w:rPr>
              <w:t>Children &amp; Adolescents</w:t>
            </w:r>
          </w:p>
        </w:tc>
      </w:tr>
      <w:tr w:rsidR="007911AE" w:rsidRPr="001F49E7" w14:paraId="659F7314" w14:textId="77777777" w:rsidTr="001F49E7">
        <w:trPr>
          <w:trHeight w:val="900"/>
        </w:trPr>
        <w:tc>
          <w:tcPr>
            <w:tcW w:w="840" w:type="pct"/>
            <w:tcMar>
              <w:top w:w="30" w:type="dxa"/>
              <w:left w:w="45" w:type="dxa"/>
              <w:bottom w:w="30" w:type="dxa"/>
              <w:right w:w="45" w:type="dxa"/>
            </w:tcMar>
            <w:vAlign w:val="center"/>
            <w:hideMark/>
          </w:tcPr>
          <w:p w14:paraId="587F1E26" w14:textId="18D7B4A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Mostafavi 2019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BuxFNmp7","properties":{"unsorted":false,"formattedCitation":"(34)","plainCitation":"(34)","noteIndex":0},"citationItems":[{"id":203,"uris":["http://zotero.org/users/local/SBvLfXY8/items/VJZ4DFM2"],"itemData":{"id":203,"type":"article-journal","abstract":"BACKGROUND: Low physical activity (PA) is increasing public health problem. The present study aimed to determine socioeconomic inequality in PA among children aged 10-12 years old in Kurdistan, west of Iran in 2015.\nMETHODS: The present cross-sectional study was conducted on 2506 children aged 10-12 in Sanandaj, Iran, in 2015. Data on the children's level of PA were collected using the Modifiable Activity Questionnaire. The concentration index was used to measure inequality and the Oaxaca decomposition to examine the different determinants of the inequality. The data were analyzed in Stata 13 and SPSS 20.\nRESULTS: Of the 2506 participants, 40.90% (38.97-42.82) had insufficient PA. Girls had a lower level of PA than boys (odds ratio [OR] = 0.34; 95% confidence intervals [CI]: 0.28-0.41) and it is directly related to maternal education (OR = 1.71; 95% CI: 1.18-2.47), the family's Socioeconomic status (SES) (OR = 2.18; 95% CI: 1.56-3.05), and the place of residence (OR = 1.68; 95% CI: 1.16-2.44). The concentration index for insufficient PA was -0.25 (95 CI: -0.30 to -0.21), revealing an insufficient PA in the group with a low SES. The prevalence of insufficient PA is 51.38% (95% CI: 48.45-54.31) in poor group and 28.40% (95% CI: 22.80-33.99) in the wealthier group. The Oaxaca decomposition showed maternal education and the place of residence was the most important determinants of inequality.\nCONCLUSIONS: According to the findings, most of the children especially in the poor groups didn't have sufficient PA and socioeconomic factors could have the important role.","container-title":"International Journal of Preventive Medicine","DOI":"10.4103/ijpvm.IJPVM_222_17","ISSN":"2008-7802","journalAbbreviation":"Int J Prev Med","language":"eng","page":"83","PMID":"31198518","PMCID":"PMC6547781","source":"PubMed","title":"Using Oaxaca Decomposition to Study Socioeconomic Inequity of Physical Activity among Children Aged 10-12 Years: A Study in West of Iran","title-short":"Using Oaxaca Decomposition to Study Socioeconomic Inequity of Physical Activity among Children Aged 10-12 Years","volume":"10","author":[{"family":"Mostafavi","given":"Farideh"},{"family":"Moradi","given":"Ghobad"},{"family":"Azadi","given":"Namamali"},{"family":"Esmaeilnasab","given":"Nader"},{"family":"Roshani","given":"Daem"}],"issued":{"date-parts":[["2019"]]}}}],"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(34)</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1FB46EB9"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Sanandaj (Urban)</w:t>
            </w:r>
          </w:p>
        </w:tc>
        <w:tc>
          <w:tcPr>
            <w:tcW w:w="769" w:type="pct"/>
            <w:tcMar>
              <w:top w:w="30" w:type="dxa"/>
              <w:left w:w="45" w:type="dxa"/>
              <w:bottom w:w="30" w:type="dxa"/>
              <w:right w:w="45" w:type="dxa"/>
            </w:tcMar>
            <w:vAlign w:val="center"/>
            <w:hideMark/>
          </w:tcPr>
          <w:p w14:paraId="53DB23EA" w14:textId="5D06117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10–12</w:t>
            </w:r>
          </w:p>
        </w:tc>
        <w:tc>
          <w:tcPr>
            <w:tcW w:w="992" w:type="pct"/>
            <w:tcMar>
              <w:top w:w="30" w:type="dxa"/>
              <w:left w:w="45" w:type="dxa"/>
              <w:bottom w:w="30" w:type="dxa"/>
              <w:right w:w="45" w:type="dxa"/>
            </w:tcMar>
            <w:vAlign w:val="center"/>
            <w:hideMark/>
          </w:tcPr>
          <w:p w14:paraId="18FDAA0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5670256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2,506</w:t>
            </w:r>
          </w:p>
        </w:tc>
        <w:tc>
          <w:tcPr>
            <w:tcW w:w="570" w:type="pct"/>
            <w:tcMar>
              <w:top w:w="30" w:type="dxa"/>
              <w:left w:w="45" w:type="dxa"/>
              <w:bottom w:w="30" w:type="dxa"/>
              <w:right w:w="45" w:type="dxa"/>
            </w:tcMar>
            <w:vAlign w:val="center"/>
            <w:hideMark/>
          </w:tcPr>
          <w:p w14:paraId="2757EB5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10-12</w:t>
            </w:r>
          </w:p>
        </w:tc>
        <w:tc>
          <w:tcPr>
            <w:tcW w:w="610" w:type="pct"/>
            <w:tcMar>
              <w:top w:w="30" w:type="dxa"/>
              <w:left w:w="45" w:type="dxa"/>
              <w:bottom w:w="30" w:type="dxa"/>
              <w:right w:w="45" w:type="dxa"/>
            </w:tcMar>
            <w:vAlign w:val="center"/>
            <w:hideMark/>
          </w:tcPr>
          <w:p w14:paraId="72EC12F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62.93%</w:t>
            </w:r>
          </w:p>
        </w:tc>
      </w:tr>
      <w:tr w:rsidR="007911AE" w:rsidRPr="001F49E7" w14:paraId="14454735" w14:textId="77777777" w:rsidTr="001F49E7">
        <w:trPr>
          <w:trHeight w:val="900"/>
        </w:trPr>
        <w:tc>
          <w:tcPr>
            <w:tcW w:w="840" w:type="pct"/>
            <w:tcMar>
              <w:top w:w="30" w:type="dxa"/>
              <w:left w:w="45" w:type="dxa"/>
              <w:bottom w:w="30" w:type="dxa"/>
              <w:right w:w="45" w:type="dxa"/>
            </w:tcMar>
            <w:vAlign w:val="center"/>
            <w:hideMark/>
          </w:tcPr>
          <w:p w14:paraId="19AAF747" w14:textId="511A01A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G. Moradi 2020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LJNo1U70","properties":{"unsorted":false,"formattedCitation":"(35)","plainCitation":"(35)","noteIndex":0},"citationItems":[{"id":206,"uris":["http://zotero.org/users/local/SBvLfXY8/items/IWP5UYP6"],"itemData":{"id":206,"type":"article-journal","abstract":"BACKGROUND: This study aims to determine the prevalence of physical inactivity in Iranian adolescents aged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and the impact of socioeconomic inequality on it.\nMETHODS: In this descriptive study, the study population consisted of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old adolescents from an Iranian population from Kurdistan, Fars and Markazi provinces in 2018. The sample size was 1590 individuals. The sampling method was cluster sampling. Data was collected using demographic questionnaire, modifiable activity questionnaire (MAQ) and socioeconomic questionnaire. Cut points on the MAQ for light activity, moderate activity and heavy activity were MET&lt;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 MET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3-6 and MET&gt;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6, respectively. Linear and logistic regression were used to estimate the final model and the Oaxaca analysis method was applied. All analyses were performed in Stata/SE 14.0.\nRESULTS: Of the 1590 participants, 52.82% were male. The results showed that 25.79% of the subjects were physically inactive and 7.30% engaged in moderate physical activity during the week. The average physical activity during 1 week was more in boys than in girls (P-value&lt;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 xml:space="preserve">0.05). Adolescents of mothers with secondary and high school education were more likely to have physical inactivity than mothers with a high school diploma or higher (AOR: 1.35, 95% CI: 1.02-1.77). The concentration index was -.11, indicating a greater concentration of physical inactivity in adolescents with low socioeconomic levels.\nCONCLUSION: One-fourth of the study population had physical inactivity in this age group. Socioeconomic levels, parental literacy, and sex of adolescents were associated with the level of physical activity.","container-title":"BMC public health","DOI":"10.1186/s12889-020-09618-0","ISSN":"1471-2458","issue":"1","journalAbbreviation":"BMC Public Health","language":"eng","page":"1499","PMID":"33008338","PMCID":"PMC7532599","source":"PubMed","title":"The prevalence of physical inactivity in Iranian adolescents and the impact of economic and social inequalities on it: results of a National Study in 2018","title-short":"The prevalence of physical inactivity in Iranian adolescents and the impact of economic and social inequalities on it","volume":"20","author":[{"family":"Moradi","given":"Ghobad"},{"family":"Mostafavi","given":"Farideh"},{"family":"Piroozi","given":"Bakhtiar"},{"family":"Zareie","given":"Bushra"},{"family":"Mahboobi","given":"Marzieh"},{"family":"Rasouli","given":"Mohammad Aziz"}],"issued":{"date-parts":[["2020",10,2]]}}}],"schema":"https://github.com/citation-style-language/schema/raw/master/csl-citation.json"}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(35)</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4EDD0BD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Kurdistan, Fars, and Markazi (Urban &amp; rural)</w:t>
            </w:r>
          </w:p>
        </w:tc>
        <w:tc>
          <w:tcPr>
            <w:tcW w:w="769" w:type="pct"/>
            <w:tcMar>
              <w:top w:w="30" w:type="dxa"/>
              <w:left w:w="45" w:type="dxa"/>
              <w:bottom w:w="30" w:type="dxa"/>
              <w:right w:w="45" w:type="dxa"/>
            </w:tcMar>
            <w:vAlign w:val="center"/>
            <w:hideMark/>
          </w:tcPr>
          <w:p w14:paraId="46008D83" w14:textId="7E09792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10–12</w:t>
            </w:r>
          </w:p>
        </w:tc>
        <w:tc>
          <w:tcPr>
            <w:tcW w:w="992" w:type="pct"/>
            <w:tcMar>
              <w:top w:w="30" w:type="dxa"/>
              <w:left w:w="45" w:type="dxa"/>
              <w:bottom w:w="30" w:type="dxa"/>
              <w:right w:w="45" w:type="dxa"/>
            </w:tcMar>
            <w:vAlign w:val="center"/>
            <w:hideMark/>
          </w:tcPr>
          <w:p w14:paraId="1E41A24C" w14:textId="24AF3653"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children in fourth, fifth, and sixth grades of elementary school</w:t>
            </w:r>
          </w:p>
        </w:tc>
        <w:tc>
          <w:tcPr>
            <w:tcW w:w="533" w:type="pct"/>
            <w:tcMar>
              <w:top w:w="30" w:type="dxa"/>
              <w:left w:w="45" w:type="dxa"/>
              <w:bottom w:w="30" w:type="dxa"/>
              <w:right w:w="45" w:type="dxa"/>
            </w:tcMar>
            <w:vAlign w:val="center"/>
            <w:hideMark/>
          </w:tcPr>
          <w:p w14:paraId="56FC10E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1,590</w:t>
            </w:r>
          </w:p>
        </w:tc>
        <w:tc>
          <w:tcPr>
            <w:tcW w:w="570" w:type="pct"/>
            <w:tcMar>
              <w:top w:w="30" w:type="dxa"/>
              <w:left w:w="45" w:type="dxa"/>
              <w:bottom w:w="30" w:type="dxa"/>
              <w:right w:w="45" w:type="dxa"/>
            </w:tcMar>
            <w:vAlign w:val="center"/>
            <w:hideMark/>
          </w:tcPr>
          <w:p w14:paraId="1F2253B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10-12</w:t>
            </w:r>
          </w:p>
        </w:tc>
        <w:tc>
          <w:tcPr>
            <w:tcW w:w="610" w:type="pct"/>
            <w:tcMar>
              <w:top w:w="30" w:type="dxa"/>
              <w:left w:w="45" w:type="dxa"/>
              <w:bottom w:w="30" w:type="dxa"/>
              <w:right w:w="45" w:type="dxa"/>
            </w:tcMar>
            <w:vAlign w:val="center"/>
            <w:hideMark/>
          </w:tcPr>
          <w:p w14:paraId="02F1E0A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47.42%</w:t>
            </w:r>
          </w:p>
        </w:tc>
      </w:tr>
      <w:tr w:rsidR="007911AE" w:rsidRPr="001F49E7" w14:paraId="21A50517" w14:textId="77777777" w:rsidTr="001F49E7">
        <w:trPr>
          <w:trHeight w:val="900"/>
        </w:trPr>
        <w:tc>
          <w:tcPr>
            <w:tcW w:w="840" w:type="pct"/>
            <w:tcMar>
              <w:top w:w="30" w:type="dxa"/>
              <w:left w:w="45" w:type="dxa"/>
              <w:bottom w:w="30" w:type="dxa"/>
              <w:right w:w="45" w:type="dxa"/>
            </w:tcMar>
            <w:vAlign w:val="center"/>
          </w:tcPr>
          <w:p w14:paraId="0E5F789E" w14:textId="3C46F93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P. Amiri 2020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{"citationID":"3KWoGH9v","properties":{"unsorted":false,"formattedCitation":"(36)","plainCitation":"(36)","noteIndex":0},"citationItems":[{"id":235,"uris":["http://zotero.org/users/local/SBvLfXY8/items/MQUG2HJ9"],"itemData":{"id":235,"type":"article-journal","abstract":"It is well documented that physical inactivity is related to weight gain and a whole host of chronic diseases. This study investigated trends of low physical  activity among Iranian adolescents in urban and rural areas between 2006-2011. A  total of 12,178 adolescents, aged between 15 and 19 years, participated in  National Surveys of Risk Factors for Non-Communicable Diseases. Data on physical  activity was obtained using the global physical activity questionnaire. A complex  sample survey and multinomial logistic regression were used to model physical  activity levels. The percentage of adolescents who had low levels of physical  activity increased from 2006 to 2011 in both urban and rural areas. Low and  moderate levels of physical activity were lower in rural girls as compared with  urban girls, with a prevalence ratio of 0.59 (95% CI 0.47-0.74) and 0.59 (95% CI  0.47-0.74), respectively. The corresponding values for boys residing in rural  areas compared with boys in urban areas were 0.56 (95% CI 0.43-0.75) and 0.60  (95% CI 0.48-0.74), respectively. The adolescents' lifestyles showed an  increasing trend for physical inactivity in both genders; however, in rural  areas, only girls had a rising affinity for a sedentary lifestyle throughout the  2006-2011 years.","container-title":"Scientific reports","DOI":"10.1038/s41598-020-78048-0","ISSN":"2045-2322","issue":"1","journalAbbreviation":"Sci Rep","language":"eng","page":"21318","PMID":"33288806","PMCID":"PMC7721745","publisher-place":"England","title":"Trends of low physical activity among Iranian adolescents across urban and rural areas during 2006-2011.","volume":"10","author":[{"family":"Amiri","given":"Parisa"},{"family":"Naseri","given":"Parisa"},{"family":"Vahedi-Notash","given":"Golnaz"},{"family":"Jalali-Farahani","given":"Sara"},{"family":"Mehrabi","given":"Yadollah"},{"family":"Hamzavi-Zarghani","given":"Najmeh"},{"family":"Azizi","given":"Fereidoun"},{"family":"Hadaegh","given":"Farzad"},{"family":"Khalili","given":"Davood"}],"issued":{"date-parts":[["2020",12,7]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7FA2ED5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National</w:t>
            </w:r>
          </w:p>
        </w:tc>
        <w:tc>
          <w:tcPr>
            <w:tcW w:w="769" w:type="pct"/>
            <w:tcMar>
              <w:top w:w="30" w:type="dxa"/>
              <w:left w:w="45" w:type="dxa"/>
              <w:bottom w:w="30" w:type="dxa"/>
              <w:right w:w="45" w:type="dxa"/>
            </w:tcMar>
            <w:vAlign w:val="center"/>
          </w:tcPr>
          <w:p w14:paraId="4B82D8C0" w14:textId="69C55FEE"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15–19</w:t>
            </w:r>
          </w:p>
        </w:tc>
        <w:tc>
          <w:tcPr>
            <w:tcW w:w="992" w:type="pct"/>
            <w:tcMar>
              <w:top w:w="30" w:type="dxa"/>
              <w:left w:w="45" w:type="dxa"/>
              <w:bottom w:w="30" w:type="dxa"/>
              <w:right w:w="45" w:type="dxa"/>
            </w:tcMar>
            <w:vAlign w:val="center"/>
          </w:tcPr>
          <w:p w14:paraId="75C20EB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tcPr>
          <w:p w14:paraId="30BC9CC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12178;</w:t>
            </w:r>
          </w:p>
          <w:p w14:paraId="4ED7BE5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2006: 2595 (Urban: 1580/ Rural: 1015);</w:t>
            </w:r>
          </w:p>
          <w:p w14:paraId="45ADB19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2007: 2897 (Urban: 1688/ Rural: 1209);</w:t>
            </w:r>
          </w:p>
          <w:p w14:paraId="33840C6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2008: 2950 (Urban: 1797 / Rural: 1153);</w:t>
            </w:r>
          </w:p>
          <w:p w14:paraId="6BDDD8D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2009: 2827 (Urban: 1523 / Rural: 1304);</w:t>
            </w:r>
          </w:p>
          <w:p w14:paraId="38D473C4" w14:textId="6FC0A1F8"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2011: 909 (Urban: 601/ Rural: </w:t>
            </w:r>
            <w:r w:rsidR="00A22249" w:rsidRPr="001F49E7">
              <w:rPr>
                <w:rFonts w:eastAsia="Times New Roman" w:cstheme="minorHAnsi"/>
                <w:kern w:val="0"/>
                <w:sz w:val="16"/>
                <w:szCs w:val="16"/>
                <w14:ligatures w14:val="none"/>
              </w:rPr>
              <w:t>308)</w:t>
            </w:r>
          </w:p>
        </w:tc>
        <w:tc>
          <w:tcPr>
            <w:tcW w:w="570" w:type="pct"/>
            <w:tcMar>
              <w:top w:w="30" w:type="dxa"/>
              <w:left w:w="45" w:type="dxa"/>
              <w:bottom w:w="30" w:type="dxa"/>
              <w:right w:w="45" w:type="dxa"/>
            </w:tcMar>
            <w:vAlign w:val="center"/>
          </w:tcPr>
          <w:p w14:paraId="496A00F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2006: Urban: 17.76 ± 0.02 / Rural: 17.83 ± 0.03; </w:t>
            </w:r>
          </w:p>
          <w:p w14:paraId="02B2F61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2007: Urban: 17.60 ± 0.03 / Rural: 17.55 ± 0.03; </w:t>
            </w:r>
          </w:p>
          <w:p w14:paraId="2698AB3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2008: Urban: 17.58 ± 0.03 / Rural: 17.55 ± 0.04; </w:t>
            </w:r>
          </w:p>
          <w:p w14:paraId="49EC964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2009: Urban: 17.58 ± 0.04 / Rural: 17.60 ± 0.03; </w:t>
            </w:r>
          </w:p>
          <w:p w14:paraId="144CF41D"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2011: Urban: 17.74 ± 0.05 / Rural: 17.61 ± 0.08</w:t>
            </w:r>
          </w:p>
        </w:tc>
        <w:tc>
          <w:tcPr>
            <w:tcW w:w="610" w:type="pct"/>
            <w:tcMar>
              <w:top w:w="30" w:type="dxa"/>
              <w:left w:w="45" w:type="dxa"/>
              <w:bottom w:w="30" w:type="dxa"/>
              <w:right w:w="45" w:type="dxa"/>
            </w:tcMar>
            <w:vAlign w:val="center"/>
          </w:tcPr>
          <w:p w14:paraId="673DAE5C"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45.9%;</w:t>
            </w:r>
          </w:p>
          <w:p w14:paraId="4456F79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2006: 45.78% (Urban: 43.9%/ Rural: 48.8%);</w:t>
            </w:r>
          </w:p>
          <w:p w14:paraId="5765DCA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2007: 44.36% (Urban: 43.7%/ Rural: 45.2%); </w:t>
            </w:r>
          </w:p>
          <w:p w14:paraId="79CE1F32"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2008: 44.61% (Urban: 44.5% / Rural: 44.8%); </w:t>
            </w:r>
          </w:p>
          <w:p w14:paraId="738FB407"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2009: 46.30% (Urban: 46.6% / Rural: 46%); </w:t>
            </w:r>
          </w:p>
          <w:p w14:paraId="6AFA5BEA"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Year 2011: 53.91% (Urban: 54.4%/ Rural: 52.9% )</w:t>
            </w:r>
          </w:p>
        </w:tc>
      </w:tr>
      <w:tr w:rsidR="007911AE" w:rsidRPr="001F49E7" w14:paraId="309BA27A" w14:textId="77777777" w:rsidTr="001F49E7">
        <w:trPr>
          <w:trHeight w:val="324"/>
        </w:trPr>
        <w:tc>
          <w:tcPr>
            <w:tcW w:w="5000" w:type="pct"/>
            <w:gridSpan w:val="7"/>
            <w:tcMar>
              <w:top w:w="30" w:type="dxa"/>
              <w:left w:w="45" w:type="dxa"/>
              <w:bottom w:w="30" w:type="dxa"/>
              <w:right w:w="45" w:type="dxa"/>
            </w:tcMar>
            <w:vAlign w:val="center"/>
          </w:tcPr>
          <w:p w14:paraId="085E9C37" w14:textId="1D49E82E" w:rsidR="007911AE" w:rsidRPr="001F49E7" w:rsidRDefault="007911AE" w:rsidP="001F49E7">
            <w:pPr>
              <w:spacing w:after="0" w:line="240" w:lineRule="auto"/>
              <w:jc w:val="center"/>
              <w:rPr>
                <w:rFonts w:eastAsia="Times New Roman" w:cstheme="minorHAnsi"/>
                <w:b/>
                <w:bCs/>
                <w:kern w:val="0"/>
                <w:sz w:val="16"/>
                <w:szCs w:val="16"/>
                <w14:ligatures w14:val="none"/>
              </w:rPr>
            </w:pPr>
            <w:r w:rsidRPr="001F49E7">
              <w:rPr>
                <w:rFonts w:eastAsia="Times New Roman" w:cstheme="minorHAnsi"/>
                <w:b/>
                <w:bCs/>
                <w:kern w:val="0"/>
                <w:sz w:val="16"/>
                <w:szCs w:val="16"/>
                <w14:ligatures w14:val="none"/>
              </w:rPr>
              <w:t>Older Adults</w:t>
            </w:r>
          </w:p>
        </w:tc>
      </w:tr>
      <w:tr w:rsidR="007911AE" w:rsidRPr="001F49E7" w14:paraId="6EBC2888" w14:textId="77777777" w:rsidTr="001F49E7">
        <w:trPr>
          <w:trHeight w:val="900"/>
        </w:trPr>
        <w:tc>
          <w:tcPr>
            <w:tcW w:w="840" w:type="pct"/>
            <w:tcMar>
              <w:top w:w="30" w:type="dxa"/>
              <w:left w:w="45" w:type="dxa"/>
              <w:bottom w:w="30" w:type="dxa"/>
              <w:right w:w="45" w:type="dxa"/>
            </w:tcMar>
            <w:vAlign w:val="center"/>
            <w:hideMark/>
          </w:tcPr>
          <w:p w14:paraId="39BEEB2D" w14:textId="6E33E89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A. Momenan 2011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{"citationID":"axVL3i03","properties":{"unsorted":false,"formattedCitation":"(1)","plainCitation":"(1)","noteIndex":0},"citationItems":[{"id":74,"uris":["http://zotero.org/users/local/SBvLfXY8/items/RIHBE8Y3"],"itemData":{"id":74,"type":"article-journal","abstract":"The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6C50DF4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Tehran (Urban)</w:t>
            </w:r>
          </w:p>
        </w:tc>
        <w:tc>
          <w:tcPr>
            <w:tcW w:w="769" w:type="pct"/>
            <w:tcMar>
              <w:top w:w="30" w:type="dxa"/>
              <w:left w:w="45" w:type="dxa"/>
              <w:bottom w:w="30" w:type="dxa"/>
              <w:right w:w="45" w:type="dxa"/>
            </w:tcMar>
            <w:vAlign w:val="center"/>
            <w:hideMark/>
          </w:tcPr>
          <w:p w14:paraId="155A7ECE" w14:textId="0E6CF944"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60</w:t>
            </w:r>
          </w:p>
        </w:tc>
        <w:tc>
          <w:tcPr>
            <w:tcW w:w="992" w:type="pct"/>
            <w:tcMar>
              <w:top w:w="30" w:type="dxa"/>
              <w:left w:w="45" w:type="dxa"/>
              <w:bottom w:w="30" w:type="dxa"/>
              <w:right w:w="45" w:type="dxa"/>
            </w:tcMar>
            <w:vAlign w:val="center"/>
            <w:hideMark/>
          </w:tcPr>
          <w:p w14:paraId="4BBF57F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069D6763" w14:textId="07C4C9B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7,285; </w:t>
            </w:r>
            <w:r w:rsidRPr="001F49E7">
              <w:rPr>
                <w:rFonts w:eastAsia="Times New Roman" w:cstheme="minorHAnsi"/>
                <w:kern w:val="0"/>
                <w:sz w:val="16"/>
                <w:szCs w:val="16"/>
                <w14:ligatures w14:val="none"/>
              </w:rPr>
              <w:br/>
              <w:t>Older adults: 847</w:t>
            </w:r>
          </w:p>
        </w:tc>
        <w:tc>
          <w:tcPr>
            <w:tcW w:w="570" w:type="pct"/>
            <w:tcMar>
              <w:top w:w="30" w:type="dxa"/>
              <w:left w:w="45" w:type="dxa"/>
              <w:bottom w:w="30" w:type="dxa"/>
              <w:right w:w="45" w:type="dxa"/>
            </w:tcMar>
            <w:vAlign w:val="center"/>
            <w:hideMark/>
          </w:tcPr>
          <w:p w14:paraId="5F93E23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w:t>
            </w:r>
          </w:p>
          <w:p w14:paraId="475AE426"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42.1 ± 14.3;</w:t>
            </w:r>
            <w:r w:rsidRPr="001F49E7">
              <w:rPr>
                <w:rFonts w:eastAsia="Times New Roman" w:cstheme="minorHAnsi"/>
                <w:kern w:val="0"/>
                <w:sz w:val="16"/>
                <w:szCs w:val="16"/>
                <w14:ligatures w14:val="none"/>
              </w:rPr>
              <w:br/>
              <w:t>Female: 40.6 ± 13.2</w:t>
            </w:r>
          </w:p>
        </w:tc>
        <w:tc>
          <w:tcPr>
            <w:tcW w:w="610" w:type="pct"/>
            <w:tcMar>
              <w:top w:w="30" w:type="dxa"/>
              <w:left w:w="45" w:type="dxa"/>
              <w:bottom w:w="30" w:type="dxa"/>
              <w:right w:w="45" w:type="dxa"/>
            </w:tcMar>
            <w:vAlign w:val="center"/>
            <w:hideMark/>
          </w:tcPr>
          <w:p w14:paraId="04EF632B" w14:textId="66686A8B"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Older adults: 47.7%</w:t>
            </w:r>
          </w:p>
        </w:tc>
      </w:tr>
      <w:tr w:rsidR="007911AE" w:rsidRPr="001F49E7" w14:paraId="1F983F24" w14:textId="77777777" w:rsidTr="001F49E7">
        <w:trPr>
          <w:trHeight w:val="900"/>
        </w:trPr>
        <w:tc>
          <w:tcPr>
            <w:tcW w:w="840" w:type="pct"/>
            <w:tcMar>
              <w:top w:w="30" w:type="dxa"/>
              <w:left w:w="45" w:type="dxa"/>
              <w:bottom w:w="30" w:type="dxa"/>
              <w:right w:w="45" w:type="dxa"/>
            </w:tcMar>
            <w:vAlign w:val="center"/>
          </w:tcPr>
          <w:p w14:paraId="1D94BB5B" w14:textId="74D7857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Khademi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{"citationID":"pGuwUpG3","properties":{"unsorted":false,"formattedCitation":"(6)","plainCitation":"(6)","noteIndex":0},"citationItems":[{"id":79,"uris":["http://zotero.org/users/local/SBvLfXY8/items/9FYTWKNS"],"itemData":{"id":79,"type":"article-journal","abstract":"The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6DE451B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Kermanshah (Urban)</w:t>
            </w:r>
          </w:p>
        </w:tc>
        <w:tc>
          <w:tcPr>
            <w:tcW w:w="769" w:type="pct"/>
            <w:tcMar>
              <w:top w:w="30" w:type="dxa"/>
              <w:left w:w="45" w:type="dxa"/>
              <w:bottom w:w="30" w:type="dxa"/>
              <w:right w:w="45" w:type="dxa"/>
            </w:tcMar>
            <w:vAlign w:val="center"/>
          </w:tcPr>
          <w:p w14:paraId="277A9046" w14:textId="0449FCD2"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55-83 </w:t>
            </w:r>
          </w:p>
        </w:tc>
        <w:tc>
          <w:tcPr>
            <w:tcW w:w="992" w:type="pct"/>
            <w:tcMar>
              <w:top w:w="30" w:type="dxa"/>
              <w:left w:w="45" w:type="dxa"/>
              <w:bottom w:w="30" w:type="dxa"/>
              <w:right w:w="45" w:type="dxa"/>
            </w:tcMar>
            <w:vAlign w:val="center"/>
          </w:tcPr>
          <w:p w14:paraId="23FD9D75" w14:textId="3A06418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Employed in governmental/nongovernmental organizations, excluded if working in workplaces with a low population</w:t>
            </w:r>
          </w:p>
        </w:tc>
        <w:tc>
          <w:tcPr>
            <w:tcW w:w="533" w:type="pct"/>
            <w:tcMar>
              <w:top w:w="30" w:type="dxa"/>
              <w:left w:w="45" w:type="dxa"/>
              <w:bottom w:w="30" w:type="dxa"/>
              <w:right w:w="45" w:type="dxa"/>
            </w:tcMar>
            <w:vAlign w:val="center"/>
          </w:tcPr>
          <w:p w14:paraId="538E44A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5,219</w:t>
            </w:r>
          </w:p>
          <w:p w14:paraId="13EDA360" w14:textId="0D8C00B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Older adults: 375</w:t>
            </w:r>
          </w:p>
        </w:tc>
        <w:tc>
          <w:tcPr>
            <w:tcW w:w="570" w:type="pct"/>
            <w:tcMar>
              <w:top w:w="30" w:type="dxa"/>
              <w:left w:w="45" w:type="dxa"/>
              <w:bottom w:w="30" w:type="dxa"/>
              <w:right w:w="45" w:type="dxa"/>
            </w:tcMar>
            <w:vAlign w:val="center"/>
          </w:tcPr>
          <w:p w14:paraId="1EA15D6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41.5 ± 8.5 </w:t>
            </w:r>
          </w:p>
        </w:tc>
        <w:tc>
          <w:tcPr>
            <w:tcW w:w="610" w:type="pct"/>
            <w:tcMar>
              <w:top w:w="30" w:type="dxa"/>
              <w:left w:w="45" w:type="dxa"/>
              <w:bottom w:w="30" w:type="dxa"/>
              <w:right w:w="45" w:type="dxa"/>
            </w:tcMar>
            <w:vAlign w:val="center"/>
          </w:tcPr>
          <w:p w14:paraId="2F886BB1"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26.8%</w:t>
            </w:r>
          </w:p>
        </w:tc>
      </w:tr>
      <w:tr w:rsidR="007911AE" w:rsidRPr="001F49E7" w14:paraId="222E8721" w14:textId="77777777" w:rsidTr="001F49E7">
        <w:trPr>
          <w:trHeight w:val="900"/>
        </w:trPr>
        <w:tc>
          <w:tcPr>
            <w:tcW w:w="840" w:type="pct"/>
            <w:tcMar>
              <w:top w:w="30" w:type="dxa"/>
              <w:left w:w="45" w:type="dxa"/>
              <w:bottom w:w="30" w:type="dxa"/>
              <w:right w:w="45" w:type="dxa"/>
            </w:tcMar>
            <w:vAlign w:val="center"/>
            <w:hideMark/>
          </w:tcPr>
          <w:p w14:paraId="5AD7B423" w14:textId="2C608AAA"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H. Najafipour 2020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FZo3y0Ye","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(14)</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2026974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Kerman (Urban)</w:t>
            </w:r>
          </w:p>
        </w:tc>
        <w:tc>
          <w:tcPr>
            <w:tcW w:w="769" w:type="pct"/>
            <w:tcMar>
              <w:top w:w="30" w:type="dxa"/>
              <w:left w:w="45" w:type="dxa"/>
              <w:bottom w:w="30" w:type="dxa"/>
              <w:right w:w="45" w:type="dxa"/>
            </w:tcMar>
            <w:vAlign w:val="center"/>
            <w:hideMark/>
          </w:tcPr>
          <w:p w14:paraId="72B272C2" w14:textId="26191439"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65-80</w:t>
            </w:r>
          </w:p>
        </w:tc>
        <w:tc>
          <w:tcPr>
            <w:tcW w:w="992" w:type="pct"/>
            <w:tcMar>
              <w:top w:w="30" w:type="dxa"/>
              <w:left w:w="45" w:type="dxa"/>
              <w:bottom w:w="30" w:type="dxa"/>
              <w:right w:w="45" w:type="dxa"/>
            </w:tcMar>
            <w:vAlign w:val="center"/>
            <w:hideMark/>
          </w:tcPr>
          <w:p w14:paraId="42E9776F"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533" w:type="pct"/>
            <w:tcMar>
              <w:top w:w="30" w:type="dxa"/>
              <w:left w:w="45" w:type="dxa"/>
              <w:bottom w:w="30" w:type="dxa"/>
              <w:right w:w="45" w:type="dxa"/>
            </w:tcMar>
            <w:vAlign w:val="center"/>
            <w:hideMark/>
          </w:tcPr>
          <w:p w14:paraId="1197BA04" w14:textId="6047160E"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Total: 9,891; </w:t>
            </w:r>
            <w:r w:rsidRPr="001F49E7">
              <w:rPr>
                <w:rFonts w:eastAsia="Times New Roman" w:cstheme="minorHAnsi"/>
                <w:kern w:val="0"/>
                <w:sz w:val="16"/>
                <w:szCs w:val="16"/>
                <w14:ligatures w14:val="none"/>
              </w:rPr>
              <w:br/>
              <w:t>Older adults: 1,186</w:t>
            </w:r>
          </w:p>
        </w:tc>
        <w:tc>
          <w:tcPr>
            <w:tcW w:w="570" w:type="pct"/>
            <w:tcMar>
              <w:top w:w="30" w:type="dxa"/>
              <w:left w:w="45" w:type="dxa"/>
              <w:bottom w:w="30" w:type="dxa"/>
              <w:right w:w="45" w:type="dxa"/>
            </w:tcMar>
            <w:vAlign w:val="center"/>
            <w:hideMark/>
          </w:tcPr>
          <w:p w14:paraId="04C7D30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46.2 ± 15.7</w:t>
            </w:r>
          </w:p>
        </w:tc>
        <w:tc>
          <w:tcPr>
            <w:tcW w:w="610" w:type="pct"/>
            <w:tcMar>
              <w:top w:w="30" w:type="dxa"/>
              <w:left w:w="45" w:type="dxa"/>
              <w:bottom w:w="30" w:type="dxa"/>
              <w:right w:w="45" w:type="dxa"/>
            </w:tcMar>
            <w:vAlign w:val="center"/>
            <w:hideMark/>
          </w:tcPr>
          <w:p w14:paraId="00F716B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59.4%</w:t>
            </w:r>
          </w:p>
        </w:tc>
      </w:tr>
      <w:tr w:rsidR="007911AE" w:rsidRPr="001F49E7" w14:paraId="4D4795F9" w14:textId="77777777" w:rsidTr="001F49E7">
        <w:trPr>
          <w:trHeight w:val="900"/>
        </w:trPr>
        <w:tc>
          <w:tcPr>
            <w:tcW w:w="840" w:type="pct"/>
            <w:tcMar>
              <w:top w:w="30" w:type="dxa"/>
              <w:left w:w="45" w:type="dxa"/>
              <w:bottom w:w="30" w:type="dxa"/>
              <w:right w:w="45" w:type="dxa"/>
            </w:tcMar>
            <w:vAlign w:val="center"/>
            <w:hideMark/>
          </w:tcPr>
          <w:p w14:paraId="790D58D5" w14:textId="11B4ED21"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Mohammadi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{"citationID":"CNVxu1on","properties":{"unsorted":false,"formattedCitation":"(26)","plainCitation":"(26)","noteIndex":0},"citationItems":[{"id":61,"uris":["http://zotero.org/users/local/SBvLfXY8/items/582LZXER"],"itemData":{"id":61,"type":"article-journal","abstract":"We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(26)</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1015CD68"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Hamedan (Urban)</w:t>
            </w:r>
          </w:p>
        </w:tc>
        <w:tc>
          <w:tcPr>
            <w:tcW w:w="769" w:type="pct"/>
            <w:tcMar>
              <w:top w:w="30" w:type="dxa"/>
              <w:left w:w="45" w:type="dxa"/>
              <w:bottom w:w="30" w:type="dxa"/>
              <w:right w:w="45" w:type="dxa"/>
            </w:tcMar>
            <w:vAlign w:val="center"/>
            <w:hideMark/>
          </w:tcPr>
          <w:p w14:paraId="6E3FC361" w14:textId="0F0AB9AC"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60-64</w:t>
            </w:r>
          </w:p>
        </w:tc>
        <w:tc>
          <w:tcPr>
            <w:tcW w:w="992" w:type="pct"/>
            <w:tcMar>
              <w:top w:w="30" w:type="dxa"/>
              <w:left w:w="45" w:type="dxa"/>
              <w:bottom w:w="30" w:type="dxa"/>
              <w:right w:w="45" w:type="dxa"/>
            </w:tcMar>
            <w:vAlign w:val="center"/>
            <w:hideMark/>
          </w:tcPr>
          <w:p w14:paraId="1F375953" w14:textId="1A74FFC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Excluded if pregnant women, physical or mental disabilities, or mobility-limiting diseases</w:t>
            </w:r>
          </w:p>
        </w:tc>
        <w:tc>
          <w:tcPr>
            <w:tcW w:w="533" w:type="pct"/>
            <w:tcMar>
              <w:top w:w="30" w:type="dxa"/>
              <w:left w:w="45" w:type="dxa"/>
              <w:bottom w:w="30" w:type="dxa"/>
              <w:right w:w="45" w:type="dxa"/>
            </w:tcMar>
            <w:vAlign w:val="center"/>
            <w:hideMark/>
          </w:tcPr>
          <w:p w14:paraId="296A8D03" w14:textId="24310A6D"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591;</w:t>
            </w:r>
            <w:r w:rsidRPr="001F49E7">
              <w:rPr>
                <w:rFonts w:eastAsia="Times New Roman" w:cstheme="minorHAnsi"/>
                <w:kern w:val="0"/>
                <w:sz w:val="16"/>
                <w:szCs w:val="16"/>
                <w14:ligatures w14:val="none"/>
              </w:rPr>
              <w:br/>
              <w:t>Older adults: 26</w:t>
            </w:r>
          </w:p>
        </w:tc>
        <w:tc>
          <w:tcPr>
            <w:tcW w:w="570" w:type="pct"/>
            <w:tcMar>
              <w:top w:w="30" w:type="dxa"/>
              <w:left w:w="45" w:type="dxa"/>
              <w:bottom w:w="30" w:type="dxa"/>
              <w:right w:w="45" w:type="dxa"/>
            </w:tcMar>
            <w:vAlign w:val="center"/>
            <w:hideMark/>
          </w:tcPr>
          <w:p w14:paraId="77B066F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38.11 ± 11.06</w:t>
            </w:r>
          </w:p>
        </w:tc>
        <w:tc>
          <w:tcPr>
            <w:tcW w:w="610" w:type="pct"/>
            <w:tcMar>
              <w:top w:w="30" w:type="dxa"/>
              <w:left w:w="45" w:type="dxa"/>
              <w:bottom w:w="30" w:type="dxa"/>
              <w:right w:w="45" w:type="dxa"/>
            </w:tcMar>
            <w:vAlign w:val="center"/>
            <w:hideMark/>
          </w:tcPr>
          <w:p w14:paraId="456BA28B"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Total: 62.44%</w:t>
            </w:r>
          </w:p>
        </w:tc>
      </w:tr>
      <w:tr w:rsidR="007911AE" w:rsidRPr="001F49E7" w14:paraId="5C5EC3C1" w14:textId="77777777" w:rsidTr="001F49E7">
        <w:trPr>
          <w:trHeight w:val="900"/>
        </w:trPr>
        <w:tc>
          <w:tcPr>
            <w:tcW w:w="840" w:type="pct"/>
            <w:tcMar>
              <w:top w:w="30" w:type="dxa"/>
              <w:left w:w="45" w:type="dxa"/>
              <w:bottom w:w="30" w:type="dxa"/>
              <w:right w:w="45" w:type="dxa"/>
            </w:tcMar>
            <w:vAlign w:val="center"/>
            <w:hideMark/>
          </w:tcPr>
          <w:p w14:paraId="1EDF5E80" w14:textId="7C2F0EE5"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M. Marzban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F30xzip","properties":{"unsorted":false,"formattedCitation":"(37)","plainCitation":"(37)","noteIndex":0},"citationItems":[{"id":103,"uris":["http://zotero.org/users/local/SBvLfXY8/items/VFXK5J4A"],"itemData":{"id":103,"type":"article-journal","abstract":"Multimorbidity, defined as the presence of two or more long-term health conditions in an individual, is one of the most significant challenges facing health systems worldwide. This study aimed to identify determinants of classes of multimorbidity among older adults in Iran.","container-title":"BMC Geriatrics","DOI":"10.1186/s12877-024-04848-y","ISSN":"1471-2318","issue":"1","journalAbbreviation":"BMC Geriatrics","page":"247","source":"BioMed Central","title":"Determinants of multimorbidity in older adults in Iran: a cross-sectional study using latent class analysis on the Bushehr Elderly Health (BEH) program","title-short":"Determinants of multimorbidity in older adults in Iran","volume":"24","author":[{"family":"Marzban","given":"Maryam"},{"family":"Jamshidi","given":"Ali"},{"family":"Khorrami","given":"Zahra"},{"family":"Hall","given":"Marlous"},{"family":"Batty","given":"Jonathan A."},{"family":"Farhadi","given":"Akram"},{"family":"Mahmudpour","given":"Mehdi"},{"family":"Gholizade","given":"Mohamad"},{"family":"Nabipour","given":"Iraj"},{"family":"Larijani","given":"Bagher"},{"family":"Afrashteh","given":"Sima"}],"issued":{"date-parts":[["2024",3,11]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(37)</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hideMark/>
          </w:tcPr>
          <w:p w14:paraId="7A391A2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Bushehr (Urban)</w:t>
            </w:r>
          </w:p>
        </w:tc>
        <w:tc>
          <w:tcPr>
            <w:tcW w:w="769" w:type="pct"/>
            <w:tcMar>
              <w:top w:w="30" w:type="dxa"/>
              <w:left w:w="45" w:type="dxa"/>
              <w:bottom w:w="30" w:type="dxa"/>
              <w:right w:w="45" w:type="dxa"/>
            </w:tcMar>
            <w:vAlign w:val="center"/>
            <w:hideMark/>
          </w:tcPr>
          <w:p w14:paraId="3406B4B4" w14:textId="63B8089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≥60</w:t>
            </w:r>
          </w:p>
        </w:tc>
        <w:tc>
          <w:tcPr>
            <w:tcW w:w="992" w:type="pct"/>
            <w:tcMar>
              <w:top w:w="30" w:type="dxa"/>
              <w:left w:w="45" w:type="dxa"/>
              <w:bottom w:w="30" w:type="dxa"/>
              <w:right w:w="45" w:type="dxa"/>
            </w:tcMar>
            <w:vAlign w:val="center"/>
            <w:hideMark/>
          </w:tcPr>
          <w:p w14:paraId="004F203B" w14:textId="694AAF9B"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Bushehr resident for &gt;1 year before the study, planning to stay in the city for two years following their involvement in the investigation</w:t>
            </w:r>
          </w:p>
        </w:tc>
        <w:tc>
          <w:tcPr>
            <w:tcW w:w="533" w:type="pct"/>
            <w:tcMar>
              <w:top w:w="30" w:type="dxa"/>
              <w:left w:w="45" w:type="dxa"/>
              <w:bottom w:w="30" w:type="dxa"/>
              <w:right w:w="45" w:type="dxa"/>
            </w:tcMar>
            <w:vAlign w:val="center"/>
            <w:hideMark/>
          </w:tcPr>
          <w:p w14:paraId="76942BCE"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2,419</w:t>
            </w:r>
          </w:p>
        </w:tc>
        <w:tc>
          <w:tcPr>
            <w:tcW w:w="570" w:type="pct"/>
            <w:tcMar>
              <w:top w:w="30" w:type="dxa"/>
              <w:left w:w="45" w:type="dxa"/>
              <w:bottom w:w="30" w:type="dxa"/>
              <w:right w:w="45" w:type="dxa"/>
            </w:tcMar>
            <w:vAlign w:val="center"/>
            <w:hideMark/>
          </w:tcPr>
          <w:p w14:paraId="2D617CC4"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69 ± 6</w:t>
            </w:r>
          </w:p>
        </w:tc>
        <w:tc>
          <w:tcPr>
            <w:tcW w:w="610" w:type="pct"/>
            <w:tcMar>
              <w:top w:w="30" w:type="dxa"/>
              <w:left w:w="45" w:type="dxa"/>
              <w:bottom w:w="30" w:type="dxa"/>
              <w:right w:w="45" w:type="dxa"/>
            </w:tcMar>
            <w:vAlign w:val="center"/>
            <w:hideMark/>
          </w:tcPr>
          <w:p w14:paraId="0FFC47E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52.1%</w:t>
            </w:r>
          </w:p>
        </w:tc>
      </w:tr>
      <w:tr w:rsidR="007911AE" w:rsidRPr="001F49E7" w14:paraId="5232E6D2" w14:textId="77777777" w:rsidTr="001F49E7">
        <w:trPr>
          <w:trHeight w:val="900"/>
        </w:trPr>
        <w:tc>
          <w:tcPr>
            <w:tcW w:w="840" w:type="pct"/>
            <w:tcMar>
              <w:top w:w="30" w:type="dxa"/>
              <w:left w:w="45" w:type="dxa"/>
              <w:bottom w:w="30" w:type="dxa"/>
              <w:right w:w="45" w:type="dxa"/>
            </w:tcMar>
            <w:vAlign w:val="center"/>
          </w:tcPr>
          <w:p w14:paraId="25701486" w14:textId="1038B576"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J. Hallajzadeh 2026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{"citationID":"xX6x3lIB","properties":{"unsorted":false,"formattedCitation":"(38)","plainCitation":"(38)","noteIndex":0},"citationItems":[{"id":232,"uris":["http://zotero.org/users/local/SBvLfXY8/items/CUMWN2AA"],"itemData":{"id":232,"type":"article-journal","abstract":"AIM: A community-based cross-sectional study was conducted to explore the association between Ultra-Processed Foods (UPFs) intake and the risk of frailty  among community-dwelling older adults. METHODS: The current study was conducted  on 368 community-dwelling older adults (with a mean age of 67.11</w:instrText>
            </w:r>
            <w:r w:rsidR="00FA7458" w:rsidRPr="001F49E7">
              <w:rPr>
                <w:rFonts w:ascii="Arial" w:eastAsia="Times New Roman" w:hAnsi="Arial" w:cs="Arial"/>
                <w:kern w:val="0"/>
                <w:sz w:val="16"/>
                <w:szCs w:val="16"/>
                <w14:ligatures w14:val="none"/>
              </w:rPr>
              <w:instrText> </w:instrText>
            </w:r>
            <w:r w:rsidR="00FA7458" w:rsidRPr="001F49E7">
              <w:rPr>
                <w:rFonts w:ascii="Aptos" w:eastAsia="Times New Roman" w:hAnsi="Aptos" w:cs="Aptos"/>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6.21 years, of  whom 55.2% were women) at health centers of Maragheh city in Iran. Body  composition was measured by a body composition analyzer and physical activity by  the short-form physical activity questionnaire. The UPFs intake were determined  using NOVA classification, based on a self-administered 147-item  semi-quantitative FFQ. Blood samples were derived for the evaluation of blood  parameters. Raw and adjusted logistic regression models were used to examine the  relationship between UPFs intake tertiles and the risk of frailty. RESULTS:  Outcomes showed that the overall prevalence of frailty was 96 (26.1%). Results  from the multivariable adjusted logistic regression model indicated that higher  UPFs intake was significantly associated with higher odds of frailty (OR</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2.15,  95% CI: 1.13-4.09,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0.019). Subgroup analysis also indicated that among men,  higher UPF intake was significantly related to higher odds of frailty (OR</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3.55,  95% CI: 1.20-10.51,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0.022), but not for women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&gt;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0.05). Additionally, the  results revealed that higher UPF intake was significantly associated with the  risk of exhaustion (OR</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3.97, 95% CI: 1.89-8.34,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&lt;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0.001), especially among  men (OR</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9.89, 95% CI: 3.10-31.60,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&lt;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0.001), unlike women (P</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&gt;</w:instrText>
            </w:r>
            <w:r w:rsidR="00FA7458" w:rsidRPr="001F49E7">
              <w:rPr>
                <w:rFonts w:ascii="Arial" w:eastAsia="Times New Roman" w:hAnsi="Arial" w:cs="Arial"/>
                <w:kern w:val="0"/>
                <w:sz w:val="16"/>
                <w:szCs w:val="16"/>
                <w14:ligatures w14:val="none"/>
              </w:rPr>
              <w:instrText> </w:instrText>
            </w:r>
            <w:r w:rsidR="00FA7458" w:rsidRPr="001F49E7">
              <w:rPr>
                <w:rFonts w:eastAsia="Times New Roman" w:cstheme="minorHAnsi"/>
                <w:kern w:val="0"/>
                <w:sz w:val="16"/>
                <w:szCs w:val="16"/>
                <w14:ligatures w14:val="none"/>
              </w:rPr>
              <w:instrText xml:space="preserve">0.05). However,  there were no significant associations between UPFs intake and other components  of frailty, including the risk of weight loss, slowness, dominant hand grip  strength and low physical activity. CONCLUSIONS: The results highlighted that  higher UPFs intake was significantly associated with the risk of frailty and  exhaustion among community-dwelling older adults, especially for men. Future  large-scale prospective and interventional studies are warranted to validate  these associations and elucidate underlying biological mechanisms.","container-title":"Journal of health, population, and nutrition","DOI":"10.1186/s41043-025-01209-2","ISSN":"2072-1315 1606-0997","issue":"1","journalAbbreviation":"J Health Popul Nutr","language":"eng","license":"© 2025. The Author(s).","page":"30","PMID":"41449480","PMCID":"PMC12849376","publisher-place":"Bangladesh","title":"Association between ultra-processed foods intake and frailty risk in community-dwelling older adults.","volume":"45","author":[{"family":"Hallajzadeh","given":"Jamal"},{"family":"Yousefi Tanha","given":"Parasto"},{"family":"Azadnia","given":"Arian"},{"family":"Wong","given":"Alexei"},{"family":"Moradi","given":"Sajjad"}],"issued":{"date-parts":[["2025",12,25]]}}}],"schema":"https://github.com/citation-style-language/schema/raw/master/csl-citation.json"}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(38)</w:t>
            </w:r>
            <w:r w:rsidRPr="001F49E7">
              <w:rPr>
                <w:rFonts w:eastAsia="Times New Roman" w:cstheme="minorHAnsi"/>
                <w:kern w:val="0"/>
                <w:sz w:val="16"/>
                <w:szCs w:val="16"/>
                <w14:ligatures w14:val="none"/>
              </w:rPr>
              <w:fldChar w:fldCharType="end"/>
            </w:r>
          </w:p>
        </w:tc>
        <w:tc>
          <w:tcPr>
            <w:tcW w:w="686" w:type="pct"/>
            <w:tcMar>
              <w:top w:w="30" w:type="dxa"/>
              <w:left w:w="45" w:type="dxa"/>
              <w:bottom w:w="30" w:type="dxa"/>
              <w:right w:w="45" w:type="dxa"/>
            </w:tcMar>
            <w:vAlign w:val="center"/>
          </w:tcPr>
          <w:p w14:paraId="57D011B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Maragheh (Urban)</w:t>
            </w:r>
          </w:p>
        </w:tc>
        <w:tc>
          <w:tcPr>
            <w:tcW w:w="769" w:type="pct"/>
            <w:tcMar>
              <w:top w:w="30" w:type="dxa"/>
              <w:left w:w="45" w:type="dxa"/>
              <w:bottom w:w="30" w:type="dxa"/>
              <w:right w:w="45" w:type="dxa"/>
            </w:tcMar>
            <w:vAlign w:val="center"/>
          </w:tcPr>
          <w:p w14:paraId="6FC3E762" w14:textId="63F4226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≥60</w:t>
            </w:r>
          </w:p>
        </w:tc>
        <w:tc>
          <w:tcPr>
            <w:tcW w:w="992" w:type="pct"/>
            <w:tcMar>
              <w:top w:w="30" w:type="dxa"/>
              <w:left w:w="45" w:type="dxa"/>
              <w:bottom w:w="30" w:type="dxa"/>
              <w:right w:w="45" w:type="dxa"/>
            </w:tcMar>
            <w:vAlign w:val="center"/>
          </w:tcPr>
          <w:p w14:paraId="499094A9" w14:textId="4F344ADF"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Community-dwelling older adults able and willing to participate; excluded if unable to move independently and dependent on a walker, wheelchair or bed, having an artificial limb or prosthesis, having severe muscle-related and debilitating effects such as CHF, COPD, CRF, cirrhosis and liver failure, and inflammatory and joint diseases including arthritis, rheumatoid arthritis, bursitis, inflammatory bowel disease, Guillain-Barré syndrome and cancer </w:t>
            </w:r>
          </w:p>
        </w:tc>
        <w:tc>
          <w:tcPr>
            <w:tcW w:w="533" w:type="pct"/>
            <w:tcMar>
              <w:top w:w="30" w:type="dxa"/>
              <w:left w:w="45" w:type="dxa"/>
              <w:bottom w:w="30" w:type="dxa"/>
              <w:right w:w="45" w:type="dxa"/>
            </w:tcMar>
            <w:vAlign w:val="center"/>
          </w:tcPr>
          <w:p w14:paraId="4AA3ED30"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368</w:t>
            </w:r>
          </w:p>
        </w:tc>
        <w:tc>
          <w:tcPr>
            <w:tcW w:w="570" w:type="pct"/>
            <w:tcMar>
              <w:top w:w="30" w:type="dxa"/>
              <w:left w:w="45" w:type="dxa"/>
              <w:bottom w:w="30" w:type="dxa"/>
              <w:right w:w="45" w:type="dxa"/>
            </w:tcMar>
            <w:vAlign w:val="center"/>
          </w:tcPr>
          <w:p w14:paraId="0DCF2375"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67.11 ± 6.21</w:t>
            </w:r>
          </w:p>
        </w:tc>
        <w:tc>
          <w:tcPr>
            <w:tcW w:w="610" w:type="pct"/>
            <w:tcMar>
              <w:top w:w="30" w:type="dxa"/>
              <w:left w:w="45" w:type="dxa"/>
              <w:bottom w:w="30" w:type="dxa"/>
              <w:right w:w="45" w:type="dxa"/>
            </w:tcMar>
            <w:vAlign w:val="center"/>
          </w:tcPr>
          <w:p w14:paraId="5E8FEAE3" w14:textId="77777777" w:rsidR="007911AE" w:rsidRPr="001F49E7" w:rsidRDefault="007911AE"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55.2%</w:t>
            </w:r>
          </w:p>
        </w:tc>
      </w:tr>
    </w:tbl>
    <w:p w14:paraId="2448A8F0" w14:textId="2FF33142" w:rsidR="001655DF" w:rsidRPr="001F49E7" w:rsidRDefault="006D162A" w:rsidP="001F49E7">
      <w:pPr>
        <w:spacing w:line="240" w:lineRule="auto"/>
        <w:jc w:val="both"/>
        <w:rPr>
          <w:i/>
          <w:iCs/>
          <w:sz w:val="18"/>
          <w:szCs w:val="18"/>
        </w:rPr>
      </w:pPr>
      <w:r w:rsidRPr="001F49E7">
        <w:rPr>
          <w:i/>
          <w:iCs/>
          <w:sz w:val="18"/>
          <w:szCs w:val="18"/>
        </w:rPr>
        <w:t>CHF: congestive heart failure; COPD: chronic obstructive pulmonary disorder; CRF: chronic renal failure; CVD: cardiovascular disease; DM: diabetes mellitus; DVT: deep vein thrombosis; ESCC: esophageal squamous cell carcinoma; HTN: hypertension; MHNW: metabolically healthy normal weight; MHO: metabolically healthy obese; MHOW: metabolically healthy overweight; PA: physical activity; PCOS: polycystic ovarian syndrome</w:t>
      </w:r>
    </w:p>
    <w:p w14:paraId="0F1D4DD2" w14:textId="77777777" w:rsidR="001655DF" w:rsidRPr="001F49E7" w:rsidRDefault="001655DF" w:rsidP="001F49E7">
      <w:pPr>
        <w:spacing w:line="240" w:lineRule="auto"/>
        <w:jc w:val="both"/>
        <w:rPr>
          <w:rFonts w:asciiTheme="majorBidi" w:hAnsiTheme="majorBidi" w:cstheme="majorBidi"/>
        </w:rPr>
      </w:pPr>
    </w:p>
    <w:p w14:paraId="20DBEBD6" w14:textId="77777777" w:rsidR="001655DF" w:rsidRPr="001F49E7" w:rsidRDefault="001655DF" w:rsidP="001F49E7">
      <w:pPr>
        <w:pStyle w:val="Caption"/>
        <w:keepNext/>
      </w:pPr>
    </w:p>
    <w:p w14:paraId="7DB9CA9E" w14:textId="77777777" w:rsidR="001655DF" w:rsidRPr="001F49E7" w:rsidRDefault="001655DF" w:rsidP="001F49E7"/>
    <w:p w14:paraId="6A9C18FE" w14:textId="65018ED6" w:rsidR="002B0ADD" w:rsidRPr="001F49E7" w:rsidRDefault="002B0ADD" w:rsidP="001F49E7">
      <w:pPr>
        <w:pStyle w:val="Caption"/>
        <w:keepNext/>
      </w:pPr>
      <w:r w:rsidRPr="001F49E7">
        <w:t xml:space="preserve">Table </w:t>
      </w:r>
      <w:r w:rsidR="00F40F16" w:rsidRPr="001F49E7">
        <w:t>S</w:t>
      </w:r>
      <w:r w:rsidR="008E1AD3" w:rsidRPr="001F49E7">
        <w:t>3</w:t>
      </w:r>
      <w:r w:rsidRPr="001F49E7">
        <w:t>- Prevalence of HEPA in the adult population of the included studies</w:t>
      </w:r>
    </w:p>
    <w:tbl>
      <w:tblPr>
        <w:tblW w:w="14850" w:type="dxa"/>
        <w:tblInd w:w="-8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700"/>
        <w:gridCol w:w="1242"/>
        <w:gridCol w:w="1330"/>
        <w:gridCol w:w="1238"/>
        <w:gridCol w:w="1240"/>
        <w:gridCol w:w="1521"/>
        <w:gridCol w:w="2287"/>
        <w:gridCol w:w="1975"/>
        <w:gridCol w:w="2317"/>
      </w:tblGrid>
      <w:tr w:rsidR="000B1E20" w:rsidRPr="001F49E7" w14:paraId="6DCD4E92" w14:textId="77777777" w:rsidTr="00587EC3">
        <w:trPr>
          <w:trHeight w:val="900"/>
        </w:trPr>
        <w:tc>
          <w:tcPr>
            <w:tcW w:w="1700" w:type="dxa"/>
            <w:vMerge w:val="restart"/>
            <w:tcMar>
              <w:top w:w="30" w:type="dxa"/>
              <w:left w:w="45" w:type="dxa"/>
              <w:bottom w:w="30" w:type="dxa"/>
              <w:right w:w="45" w:type="dxa"/>
            </w:tcMar>
            <w:vAlign w:val="center"/>
            <w:hideMark/>
          </w:tcPr>
          <w:p w14:paraId="12E43961"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Author &amp; Year</w:t>
            </w:r>
          </w:p>
        </w:tc>
        <w:tc>
          <w:tcPr>
            <w:tcW w:w="1242" w:type="dxa"/>
            <w:vMerge w:val="restart"/>
            <w:tcMar>
              <w:top w:w="30" w:type="dxa"/>
              <w:left w:w="45" w:type="dxa"/>
              <w:bottom w:w="30" w:type="dxa"/>
              <w:right w:w="45" w:type="dxa"/>
            </w:tcMar>
            <w:vAlign w:val="center"/>
            <w:hideMark/>
          </w:tcPr>
          <w:p w14:paraId="5879F84E" w14:textId="7EE395CA" w:rsidR="000B1E20" w:rsidRPr="001F49E7" w:rsidRDefault="000B1E20" w:rsidP="001F49E7">
            <w:pPr>
              <w:spacing w:after="0" w:line="240" w:lineRule="auto"/>
              <w:jc w:val="center"/>
              <w:rPr>
                <w:rFonts w:eastAsia="Times New Roman" w:cstheme="minorHAnsi"/>
                <w:b/>
                <w:bCs/>
                <w:kern w:val="0"/>
                <w:sz w:val="18"/>
                <w:szCs w:val="18"/>
                <w:vertAlign w:val="superscript"/>
                <w14:ligatures w14:val="none"/>
              </w:rPr>
            </w:pPr>
            <w:r w:rsidRPr="001F49E7">
              <w:rPr>
                <w:rFonts w:eastAsia="Times New Roman" w:cstheme="minorHAnsi"/>
                <w:b/>
                <w:bCs/>
                <w:kern w:val="0"/>
                <w:sz w:val="18"/>
                <w:szCs w:val="18"/>
                <w14:ligatures w14:val="none"/>
              </w:rPr>
              <w:t>PA measurement tool</w:t>
            </w:r>
            <w:r w:rsidR="001507C7" w:rsidRPr="001F49E7">
              <w:rPr>
                <w:rFonts w:eastAsia="Times New Roman" w:cstheme="minorHAnsi"/>
                <w:b/>
                <w:bCs/>
                <w:kern w:val="0"/>
                <w:sz w:val="18"/>
                <w:szCs w:val="18"/>
                <w:vertAlign w:val="superscript"/>
                <w14:ligatures w14:val="none"/>
              </w:rPr>
              <w:t>1</w:t>
            </w:r>
          </w:p>
        </w:tc>
        <w:tc>
          <w:tcPr>
            <w:tcW w:w="3808" w:type="dxa"/>
            <w:gridSpan w:val="3"/>
            <w:tcMar>
              <w:top w:w="30" w:type="dxa"/>
              <w:left w:w="45" w:type="dxa"/>
              <w:bottom w:w="30" w:type="dxa"/>
              <w:right w:w="45" w:type="dxa"/>
            </w:tcMar>
            <w:vAlign w:val="center"/>
            <w:hideMark/>
          </w:tcPr>
          <w:p w14:paraId="5A37BFC5"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prevalence (total)</w:t>
            </w:r>
          </w:p>
        </w:tc>
        <w:tc>
          <w:tcPr>
            <w:tcW w:w="1521" w:type="dxa"/>
            <w:vMerge w:val="restart"/>
            <w:tcMar>
              <w:top w:w="30" w:type="dxa"/>
              <w:left w:w="45" w:type="dxa"/>
              <w:bottom w:w="30" w:type="dxa"/>
              <w:right w:w="45" w:type="dxa"/>
            </w:tcMar>
            <w:vAlign w:val="center"/>
            <w:hideMark/>
          </w:tcPr>
          <w:p w14:paraId="27C4D6F0"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grouping rationale</w:t>
            </w:r>
          </w:p>
        </w:tc>
        <w:tc>
          <w:tcPr>
            <w:tcW w:w="6579" w:type="dxa"/>
            <w:gridSpan w:val="3"/>
            <w:tcMar>
              <w:top w:w="30" w:type="dxa"/>
              <w:left w:w="45" w:type="dxa"/>
              <w:bottom w:w="30" w:type="dxa"/>
              <w:right w:w="45" w:type="dxa"/>
            </w:tcMar>
            <w:vAlign w:val="center"/>
            <w:hideMark/>
          </w:tcPr>
          <w:p w14:paraId="45767E05"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prevalence (by subgroups)</w:t>
            </w:r>
          </w:p>
        </w:tc>
      </w:tr>
      <w:tr w:rsidR="000B1E20" w:rsidRPr="001F49E7" w14:paraId="63D7B10B" w14:textId="77777777" w:rsidTr="00587EC3">
        <w:trPr>
          <w:trHeight w:val="900"/>
        </w:trPr>
        <w:tc>
          <w:tcPr>
            <w:tcW w:w="1700" w:type="dxa"/>
            <w:vMerge/>
            <w:vAlign w:val="center"/>
            <w:hideMark/>
          </w:tcPr>
          <w:p w14:paraId="1B5560DC"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p>
        </w:tc>
        <w:tc>
          <w:tcPr>
            <w:tcW w:w="1242" w:type="dxa"/>
            <w:vMerge/>
            <w:vAlign w:val="center"/>
            <w:hideMark/>
          </w:tcPr>
          <w:p w14:paraId="3571AB78"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p>
        </w:tc>
        <w:tc>
          <w:tcPr>
            <w:tcW w:w="1330" w:type="dxa"/>
            <w:tcMar>
              <w:top w:w="30" w:type="dxa"/>
              <w:left w:w="45" w:type="dxa"/>
              <w:bottom w:w="30" w:type="dxa"/>
              <w:right w:w="45" w:type="dxa"/>
            </w:tcMar>
            <w:vAlign w:val="center"/>
            <w:hideMark/>
          </w:tcPr>
          <w:p w14:paraId="64CBE260"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Low / Mild</w:t>
            </w:r>
          </w:p>
        </w:tc>
        <w:tc>
          <w:tcPr>
            <w:tcW w:w="1238" w:type="dxa"/>
            <w:tcMar>
              <w:top w:w="30" w:type="dxa"/>
              <w:left w:w="45" w:type="dxa"/>
              <w:bottom w:w="30" w:type="dxa"/>
              <w:right w:w="45" w:type="dxa"/>
            </w:tcMar>
            <w:vAlign w:val="center"/>
            <w:hideMark/>
          </w:tcPr>
          <w:p w14:paraId="7CB85729"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Moderate</w:t>
            </w:r>
          </w:p>
        </w:tc>
        <w:tc>
          <w:tcPr>
            <w:tcW w:w="1240" w:type="dxa"/>
            <w:tcMar>
              <w:top w:w="30" w:type="dxa"/>
              <w:left w:w="45" w:type="dxa"/>
              <w:bottom w:w="30" w:type="dxa"/>
              <w:right w:w="45" w:type="dxa"/>
            </w:tcMar>
            <w:vAlign w:val="center"/>
            <w:hideMark/>
          </w:tcPr>
          <w:p w14:paraId="46F4BB60"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High</w:t>
            </w:r>
          </w:p>
        </w:tc>
        <w:tc>
          <w:tcPr>
            <w:tcW w:w="1521" w:type="dxa"/>
            <w:vMerge/>
            <w:vAlign w:val="center"/>
            <w:hideMark/>
          </w:tcPr>
          <w:p w14:paraId="35C538E7"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p>
        </w:tc>
        <w:tc>
          <w:tcPr>
            <w:tcW w:w="2287" w:type="dxa"/>
            <w:tcMar>
              <w:top w:w="30" w:type="dxa"/>
              <w:left w:w="45" w:type="dxa"/>
              <w:bottom w:w="30" w:type="dxa"/>
              <w:right w:w="45" w:type="dxa"/>
            </w:tcMar>
            <w:vAlign w:val="center"/>
            <w:hideMark/>
          </w:tcPr>
          <w:p w14:paraId="6A24C664"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Low / Mild</w:t>
            </w:r>
          </w:p>
        </w:tc>
        <w:tc>
          <w:tcPr>
            <w:tcW w:w="1975" w:type="dxa"/>
            <w:tcMar>
              <w:top w:w="30" w:type="dxa"/>
              <w:left w:w="45" w:type="dxa"/>
              <w:bottom w:w="30" w:type="dxa"/>
              <w:right w:w="45" w:type="dxa"/>
            </w:tcMar>
            <w:vAlign w:val="center"/>
            <w:hideMark/>
          </w:tcPr>
          <w:p w14:paraId="1FDBC751"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Moderate</w:t>
            </w:r>
          </w:p>
        </w:tc>
        <w:tc>
          <w:tcPr>
            <w:tcW w:w="2317" w:type="dxa"/>
            <w:tcMar>
              <w:top w:w="30" w:type="dxa"/>
              <w:left w:w="45" w:type="dxa"/>
              <w:bottom w:w="30" w:type="dxa"/>
              <w:right w:w="45" w:type="dxa"/>
            </w:tcMar>
            <w:vAlign w:val="center"/>
            <w:hideMark/>
          </w:tcPr>
          <w:p w14:paraId="4D7A31DC" w14:textId="77777777" w:rsidR="000B1E20" w:rsidRPr="001F49E7" w:rsidRDefault="000B1E20"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High</w:t>
            </w:r>
          </w:p>
        </w:tc>
      </w:tr>
      <w:tr w:rsidR="000B1E20" w:rsidRPr="001F49E7" w14:paraId="0D459007" w14:textId="77777777" w:rsidTr="000B1E20">
        <w:trPr>
          <w:trHeight w:val="315"/>
        </w:trPr>
        <w:tc>
          <w:tcPr>
            <w:tcW w:w="1700" w:type="dxa"/>
            <w:shd w:val="clear" w:color="auto" w:fill="FFFFFF"/>
            <w:tcMar>
              <w:top w:w="30" w:type="dxa"/>
              <w:left w:w="45" w:type="dxa"/>
              <w:bottom w:w="30" w:type="dxa"/>
              <w:right w:w="45" w:type="dxa"/>
            </w:tcMar>
            <w:vAlign w:val="center"/>
            <w:hideMark/>
          </w:tcPr>
          <w:p w14:paraId="47F0184D" w14:textId="5DBE94CA"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A. A. Momenan 2011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{"citationID":"jGidr2pD","properties":{"unsorted":false,"formattedCitation":"(1)","plainCitation":"(1)","noteIndex":0},"citationItems":[{"id":74,"uris":["http://zotero.org/users/local/SBvLfXY8/items/RIHBE8Y3"],"itemData":{"id":74,"type":"article-journal","abstract":"The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60E11EE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MAQ</w:t>
            </w:r>
          </w:p>
        </w:tc>
        <w:tc>
          <w:tcPr>
            <w:tcW w:w="1330" w:type="dxa"/>
            <w:shd w:val="clear" w:color="auto" w:fill="FFFFFF"/>
            <w:tcMar>
              <w:top w:w="30" w:type="dxa"/>
              <w:left w:w="45" w:type="dxa"/>
              <w:bottom w:w="30" w:type="dxa"/>
              <w:right w:w="45" w:type="dxa"/>
            </w:tcMar>
            <w:vAlign w:val="center"/>
          </w:tcPr>
          <w:p w14:paraId="376AA6E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4,556 (70.8%)</w:t>
            </w:r>
          </w:p>
        </w:tc>
        <w:tc>
          <w:tcPr>
            <w:tcW w:w="1238" w:type="dxa"/>
            <w:shd w:val="clear" w:color="auto" w:fill="FFFFFF"/>
            <w:tcMar>
              <w:top w:w="30" w:type="dxa"/>
              <w:left w:w="45" w:type="dxa"/>
              <w:bottom w:w="30" w:type="dxa"/>
              <w:right w:w="45" w:type="dxa"/>
            </w:tcMar>
            <w:vAlign w:val="center"/>
          </w:tcPr>
          <w:p w14:paraId="1192E8B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4BF61EF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1,182 (29.2%)</w:t>
            </w:r>
          </w:p>
        </w:tc>
        <w:tc>
          <w:tcPr>
            <w:tcW w:w="1521" w:type="dxa"/>
            <w:shd w:val="clear" w:color="auto" w:fill="FFFFFF"/>
            <w:tcMar>
              <w:top w:w="30" w:type="dxa"/>
              <w:left w:w="45" w:type="dxa"/>
              <w:bottom w:w="30" w:type="dxa"/>
              <w:right w:w="45" w:type="dxa"/>
            </w:tcMar>
            <w:vAlign w:val="center"/>
          </w:tcPr>
          <w:p w14:paraId="3C0F31A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2DF02BB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71CA85E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017F575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17DFBE3B" w14:textId="77777777" w:rsidTr="000B1E20">
        <w:trPr>
          <w:trHeight w:val="315"/>
        </w:trPr>
        <w:tc>
          <w:tcPr>
            <w:tcW w:w="1700" w:type="dxa"/>
            <w:shd w:val="clear" w:color="auto" w:fill="FFFFFF"/>
            <w:tcMar>
              <w:top w:w="30" w:type="dxa"/>
              <w:left w:w="45" w:type="dxa"/>
              <w:bottom w:w="30" w:type="dxa"/>
              <w:right w:w="45" w:type="dxa"/>
            </w:tcMar>
            <w:vAlign w:val="center"/>
            <w:hideMark/>
          </w:tcPr>
          <w:p w14:paraId="2F5DD9CB" w14:textId="52EFF64D"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M. Jessri 2011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{"citationID":"emvgjkwU","properties":{"formattedCitation":"(2)","plainCitation":"(2)","noteIndex":0},"citationItems":[{"id":"ulROLKvl/6YRPMA5h","uris":["http://zotero.org/users/16072611/items/9DRMCNCQ"],"itemData":{"id":474,"type":"article-journal","abstract":"BACKGROUND: Although Iran is a high-risk region for esophageal squamous cell carcinoma (ESCC), dietary factors that may contribute to this high incidence have not been thoroughly studied. The aim of this study was to evaluate the effect of macronutrients, vitamins and minerals on the risk of ESCC.\nMETHODS: In this hospital-based case-control study, 47 cases with incident ESCC and 96 controls were interviewed and usual dietary intakes were collected using a validated food frequency questionnaire. Data were modeled through unconditional multiple logistic regression to estimate odds ratios (OR) and 95% confidence intervals (CI), controlling for age, sex, gastrointestinal reflux, body mass index, smoking history (status, intensity and duration), physical activity, and education.\nRESULTS: ESCC cases consumed significantly more hot foods and beverages and fried and barbecued meals, compared to the controls (p &lt; 0.05). After adjusting for potential confounders, the risk of ESCC increased significantly in the highest tertiles of saturated fat [OR:2.88,95%CI:1.15-3.08], cholesterol [OR:1.53, 95%CI: 1.41-4.13], discretionary calorie [OR:1.51, 95%CI: 1.06-3.84], sodium [OR:1.49,95%CI:1.12-2.89] and total fat intakes [OR:1.48, 95%CI:1.09-3.04]. In contrast, being in the highest tertile of carbohydrate, dietary fiber and (n-3) fatty acid intake reduced the ESCC risk by 78%, 71% and 68%, respectively. The most cancer-protective effect was observed for the combination of high folate and vitamin E intakes (OR: 0.02, 95%CI: 0.00-0.87; p &lt; 0.001). Controls consumed 623.5 times higher selenium, 5.48 times as much β-carotene and 1.98 times as much α-tocopherol as the amount ESCC cases consumed.\nCONCLUSION: This study suggests that high intake of nutrients primarily found in plant-based foods is associated with a reduced esophageal cancer risk. Some nutrients such as folate, vitamin E and selenium might play major roles in the etiology of ESCC and their status may eventually be used as an epidemiological marker for esophageal cancer in Iran, and perhaps other high-risk regions.","container-title":"Nutrition Journal","DOI":"10.1186/1475-2891-10-137","ISSN":"1475-2891","journalAbbreviation":"Nutr J","language":"eng","page":"137","PMID":"22185224","PMCID":"PMC3260093","source":"PubMed","title":"Macronutrients, vitamins and minerals intake and risk of esophageal squamous cell carcinoma: a case-control study in Iran","title-short":"Macronutrients, vitamins and minerals intake and risk of esophageal squamous cell carcinoma","volume":"10","author":[{"family":"Jessri","given":"Mahsa"},{"family":"Rashidkhani","given":"Bahram"},{"family":"Hajizadeh","given":"Bahareh"},{"family":"Jessri","given":"Maryam"},{"family":"Gotay","given":"Carolyn"}],"issued":{"date-parts":[["2011",12,20]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3E791ACF" w14:textId="15EAA5C0"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 Danish MET-based questionnaire</w:t>
            </w:r>
            <w:r w:rsidR="001507C7" w:rsidRPr="001F49E7">
              <w:rPr>
                <w:rFonts w:eastAsia="Times New Roman" w:cstheme="minorHAnsi"/>
                <w:kern w:val="0"/>
                <w:sz w:val="16"/>
                <w:szCs w:val="16"/>
                <w:vertAlign w:val="superscript"/>
                <w14:ligatures w14:val="none"/>
              </w:rPr>
              <w:t>2</w:t>
            </w:r>
          </w:p>
        </w:tc>
        <w:tc>
          <w:tcPr>
            <w:tcW w:w="1330" w:type="dxa"/>
            <w:shd w:val="clear" w:color="auto" w:fill="FFFFFF"/>
            <w:tcMar>
              <w:top w:w="30" w:type="dxa"/>
              <w:left w:w="45" w:type="dxa"/>
              <w:bottom w:w="30" w:type="dxa"/>
              <w:right w:w="45" w:type="dxa"/>
            </w:tcMar>
            <w:vAlign w:val="center"/>
          </w:tcPr>
          <w:p w14:paraId="47065DC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38" w:type="dxa"/>
            <w:shd w:val="clear" w:color="auto" w:fill="FFFFFF"/>
            <w:tcMar>
              <w:top w:w="30" w:type="dxa"/>
              <w:left w:w="45" w:type="dxa"/>
              <w:bottom w:w="30" w:type="dxa"/>
              <w:right w:w="45" w:type="dxa"/>
            </w:tcMar>
            <w:vAlign w:val="center"/>
          </w:tcPr>
          <w:p w14:paraId="5A48685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26D6E12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1C87E34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2426829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21 (55.3%);</w:t>
            </w:r>
            <w:r w:rsidRPr="001F49E7">
              <w:rPr>
                <w:rFonts w:eastAsia="Times New Roman" w:cstheme="minorHAnsi"/>
                <w:kern w:val="0"/>
                <w:sz w:val="16"/>
                <w:szCs w:val="16"/>
                <w14:ligatures w14:val="none"/>
              </w:rPr>
              <w:br/>
              <w:t>Female: 35 (60.4%)</w:t>
            </w:r>
          </w:p>
        </w:tc>
        <w:tc>
          <w:tcPr>
            <w:tcW w:w="1975" w:type="dxa"/>
            <w:shd w:val="clear" w:color="auto" w:fill="FFFFFF"/>
            <w:tcMar>
              <w:top w:w="30" w:type="dxa"/>
              <w:left w:w="45" w:type="dxa"/>
              <w:bottom w:w="30" w:type="dxa"/>
              <w:right w:w="45" w:type="dxa"/>
            </w:tcMar>
            <w:vAlign w:val="center"/>
          </w:tcPr>
          <w:p w14:paraId="746CC15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0B42AC7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17 (44.7%);</w:t>
            </w:r>
            <w:r w:rsidRPr="001F49E7">
              <w:rPr>
                <w:rFonts w:eastAsia="Times New Roman" w:cstheme="minorHAnsi"/>
                <w:kern w:val="0"/>
                <w:sz w:val="16"/>
                <w:szCs w:val="16"/>
                <w14:ligatures w14:val="none"/>
              </w:rPr>
              <w:br/>
              <w:t>Female: 23 (39.6%)</w:t>
            </w:r>
          </w:p>
        </w:tc>
      </w:tr>
      <w:tr w:rsidR="000B1E20" w:rsidRPr="001F49E7" w14:paraId="3AF503DE" w14:textId="77777777" w:rsidTr="000B1E20">
        <w:trPr>
          <w:trHeight w:val="315"/>
        </w:trPr>
        <w:tc>
          <w:tcPr>
            <w:tcW w:w="1700" w:type="dxa"/>
            <w:shd w:val="clear" w:color="auto" w:fill="FFFFFF"/>
            <w:tcMar>
              <w:top w:w="30" w:type="dxa"/>
              <w:left w:w="45" w:type="dxa"/>
              <w:bottom w:w="30" w:type="dxa"/>
              <w:right w:w="45" w:type="dxa"/>
            </w:tcMar>
            <w:vAlign w:val="center"/>
            <w:hideMark/>
          </w:tcPr>
          <w:p w14:paraId="577C0945" w14:textId="494C81F9"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S. Esmaeilzadeh 2013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{"citationID":"MIRqt2Be","properties":{"formattedCitation":"(3)","plainCitation":"(3)","noteIndex":0},"citationItems":[{"id":"ulROLKvl/POMc7oym","uris":["http://zotero.org/users/16072611/items/VAYI5YWZ"],"itemData":{"id":471,"type":"article-journal","abstract":"INTRODUCTION: The experience of infertility is a common medical condition in the developing countries. The aim of this retrospective epidemiologic study was to determine fertility status and parity in Babol, Iran and then identify physical activity and body mass index (BMI) among women who have experienced infertility.\nMATERIAL AND METHODS: A total of 1,081 women aged 20-45 years were selected using cluster sampling. The current physical activity was measured using the original International Physical Activity Questionnaire short form. Lifestyle factors were compared between those who had experienced infertility (n = 168) and the rest of the women. A face-to-face household interview was conducted using a specially designed interview questionnaire.\nRESULTS: After adjusting for suspected confounding factors, women with infertility experience had a 4.8-fold increased risk of obesity (OR = 2.02, CI = 0.70, 5.84) and almost a 3.8-fold increased risk of being overweight (OR = 2.11, CI = 0.72, 6.17) compared to women without infertility. No significant differences were found in Met-minutes of sedentary activity, intensity of walking, moderate, vigorous, and total physical activity, self-reported dietary intake, exercise, and level of physical activity between women with and without experience of infertility.\nCONCLUSIONS: Since both obesity and infertility are increasing public health issues in Iranian women, more attention should be paid to lifestyle behaviors, especially gaining weight in women who have experienced infertility.","container-title":"Archives of medical science: AMS","DOI":"10.5114/aoms.2013.35342","ISSN":"1734-1922","issue":"3","journalAbbreviation":"Arch Med Sci","language":"eng","page":"499-505","PMID":"23847673","PMCID":"PMC3701979","source":"PubMed","title":"Physical activity and body mass index among women who have experienced infertility","volume":"9","author":[{"family":"Esmaeilzadeh","given":"Seddigheh"},{"family":"Delavar","given":"Mouloud Agajani"},{"family":"Basirat","given":"Zahra"},{"family":"Shafi","given":"Hamid"}],"issued":{"date-parts":[["2013",6,20]]}}}],"schema":"https://github.com/citation-style-language/schema/raw/master/csl-citation.json"}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(3)</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4C7C714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5D11DEF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38" w:type="dxa"/>
            <w:shd w:val="clear" w:color="auto" w:fill="FFFFFF"/>
            <w:tcMar>
              <w:top w:w="30" w:type="dxa"/>
              <w:left w:w="45" w:type="dxa"/>
              <w:bottom w:w="30" w:type="dxa"/>
              <w:right w:w="45" w:type="dxa"/>
            </w:tcMar>
            <w:vAlign w:val="center"/>
          </w:tcPr>
          <w:p w14:paraId="11A3C2D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52755C8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7B6CC03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Fertility</w:t>
            </w:r>
          </w:p>
        </w:tc>
        <w:tc>
          <w:tcPr>
            <w:tcW w:w="2287" w:type="dxa"/>
            <w:shd w:val="clear" w:color="auto" w:fill="FFFFFF"/>
            <w:tcMar>
              <w:top w:w="30" w:type="dxa"/>
              <w:left w:w="45" w:type="dxa"/>
              <w:bottom w:w="30" w:type="dxa"/>
              <w:right w:w="45" w:type="dxa"/>
            </w:tcMar>
            <w:vAlign w:val="center"/>
          </w:tcPr>
          <w:p w14:paraId="1617489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Infertility: 49 (29.2%)</w:t>
            </w:r>
            <w:r w:rsidRPr="001F49E7">
              <w:rPr>
                <w:rFonts w:eastAsia="Times New Roman" w:cstheme="minorHAnsi"/>
                <w:kern w:val="0"/>
                <w:sz w:val="16"/>
                <w:szCs w:val="16"/>
                <w14:ligatures w14:val="none"/>
              </w:rPr>
              <w:br/>
              <w:t>No infertility: 229 (25.1%)</w:t>
            </w:r>
          </w:p>
        </w:tc>
        <w:tc>
          <w:tcPr>
            <w:tcW w:w="1975" w:type="dxa"/>
            <w:shd w:val="clear" w:color="auto" w:fill="FFFFFF"/>
            <w:tcMar>
              <w:top w:w="30" w:type="dxa"/>
              <w:left w:w="45" w:type="dxa"/>
              <w:bottom w:w="30" w:type="dxa"/>
              <w:right w:w="45" w:type="dxa"/>
            </w:tcMar>
            <w:vAlign w:val="center"/>
          </w:tcPr>
          <w:p w14:paraId="1648825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Infertility: 28 (16.7%);</w:t>
            </w:r>
            <w:r w:rsidRPr="001F49E7">
              <w:rPr>
                <w:rFonts w:eastAsia="Times New Roman" w:cstheme="minorHAnsi"/>
                <w:kern w:val="0"/>
                <w:sz w:val="16"/>
                <w:szCs w:val="16"/>
                <w14:ligatures w14:val="none"/>
              </w:rPr>
              <w:br/>
              <w:t>No infertility: 147 (16.1%)</w:t>
            </w:r>
          </w:p>
        </w:tc>
        <w:tc>
          <w:tcPr>
            <w:tcW w:w="2317" w:type="dxa"/>
            <w:shd w:val="clear" w:color="auto" w:fill="FFFFFF"/>
            <w:tcMar>
              <w:top w:w="30" w:type="dxa"/>
              <w:left w:w="45" w:type="dxa"/>
              <w:bottom w:w="30" w:type="dxa"/>
              <w:right w:w="45" w:type="dxa"/>
            </w:tcMar>
            <w:vAlign w:val="center"/>
          </w:tcPr>
          <w:p w14:paraId="76BC903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infertility: 91 (54.2%)</w:t>
            </w:r>
            <w:r w:rsidRPr="001F49E7">
              <w:rPr>
                <w:rFonts w:eastAsia="Times New Roman" w:cstheme="minorHAnsi"/>
                <w:kern w:val="0"/>
                <w:sz w:val="16"/>
                <w:szCs w:val="16"/>
                <w14:ligatures w14:val="none"/>
              </w:rPr>
              <w:br/>
              <w:t>No infertility: 537 (58.8%)</w:t>
            </w:r>
          </w:p>
        </w:tc>
      </w:tr>
      <w:tr w:rsidR="000B1E20" w:rsidRPr="001F49E7" w14:paraId="6C3FAE56" w14:textId="77777777" w:rsidTr="000B1E20">
        <w:trPr>
          <w:trHeight w:val="315"/>
        </w:trPr>
        <w:tc>
          <w:tcPr>
            <w:tcW w:w="1700" w:type="dxa"/>
            <w:shd w:val="clear" w:color="auto" w:fill="FFFFFF"/>
            <w:tcMar>
              <w:top w:w="30" w:type="dxa"/>
              <w:left w:w="45" w:type="dxa"/>
              <w:bottom w:w="30" w:type="dxa"/>
              <w:right w:w="45" w:type="dxa"/>
            </w:tcMar>
            <w:vAlign w:val="center"/>
          </w:tcPr>
          <w:p w14:paraId="3AEE307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Sadeghi 2015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I93bRozz","properties":{"unsorted":false,"formattedCitation":"(4)","plainCitation":"(4)","noteIndex":0},"citationItems":[{"id":233,"uris":["http://zotero.org/users/local/SBvLfXY8/items/W8ED7XA3"],"itemData":{"id":233,"type":"article-journal","abstract":"Introduction: Infertility is one of the major health problem in different communities. A considerable part of infertility is related to environmental factors and is preventable. According to the prevalence of infertility in iran, and the role of life-style related factors such as: dietary pattern, exercise and weight management in causing reproductive problems, this study was performed with aim to compare food intake, physical activity and weight of infertile women and healthy women aged 25-40 years. Methods: This descriptive and analytic study was performed on 144 infertile women and 144 healthy women referred to Vali-Asr Fertility Research Center, Tehran Gynecology Hospital, and Health Center of East Tehran during 2013 to 2014. General information, dietary intake and physical activity were collected through interviews. Anthropometric measurements were recorded. Data were analyzed by SPSS software (version 16) and using T- test, Chi-square test and logistic regression. PResults: Mean weight was 69.01±11.29 kg and 64.48±7.95 kg in infertile and healthy women, respectively. Mean weight (P= 0.007) and body mass index (P = 0.009) were significantly different between two groups. The duration of daily physical activity in infertile women was less than healthy women, and mainly had light activity, but, there was no significant difference between two groups (P&gt;0.05). Intake of calorie (P= 0.027), protein (P=0.008), carbohydrate (P&lt; 0.001), selenium (P = 0.004), zinc (P&lt;0.001), and vitamin C (P=0.019) were more in infertile women than healthy women. Total fat (P= 0.04), vitamin E (P=0.038) and iron (P&lt;0.001) intake was higher in healthy women than infertile women. After adjusting for confounding factor (consumed energy), only carbohydrate intake was significant between two groups (P&lt;0.05). Conclusion: lack of physical activity and extra calorie intake are of the causes of obesity. Since the frequency of overweight and obesity in infertile women was 2.2 times more than healthy women, it seems that proper nutrition and exercise can play a role in the prevention and treatment of infertility.","container-title":"The Iranian Journal of Obstetrics, Gynecology and Infertility","DOI":"10.22038/ijogi.2015.6367","ISSN":"1680-2993","issue":"173","note":"_eprint: https://ijogi.mums.ac.ir/article_6367_103b49ded984bee7ecf4430d3984a8c3.pdf","page":"32-40","publisher":"Mashhad University of Medical Sciences","title":"Comparison of Food intake, physical activity and weight in infertile and healthy women aged 25-40 years","volume":"18","author":[{"family":"Sadeghi","given":"Fargol"},{"family":"Miri","given":"Nastaran"},{"family":"Barikani","given":"Ameneh"},{"family":"Hossein Rashidi","given":"Batool"},{"family":"Ghasemi Nejad","given":"Azizeh"},{"family":"Hojaji","given":"Elham"},{"family":"Javadi","given":"Maryam"}],"issued":{"date-parts":[["2015"]]}}}],"schema":"https://github.com/citation-style-language/schema/raw/master/csl-citation.json"}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(4)</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5EC6CE1A" w14:textId="65E58366"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 Danish MET-based questionnaire</w:t>
            </w:r>
            <w:r w:rsidR="001507C7" w:rsidRPr="001F49E7">
              <w:rPr>
                <w:rFonts w:eastAsia="Times New Roman" w:cstheme="minorHAnsi"/>
                <w:kern w:val="0"/>
                <w:sz w:val="16"/>
                <w:szCs w:val="16"/>
                <w:vertAlign w:val="superscript"/>
                <w14:ligatures w14:val="none"/>
              </w:rPr>
              <w:t>2</w:t>
            </w:r>
          </w:p>
        </w:tc>
        <w:tc>
          <w:tcPr>
            <w:tcW w:w="1330" w:type="dxa"/>
            <w:shd w:val="clear" w:color="auto" w:fill="FFFFFF"/>
            <w:tcMar>
              <w:top w:w="30" w:type="dxa"/>
              <w:left w:w="45" w:type="dxa"/>
              <w:bottom w:w="30" w:type="dxa"/>
              <w:right w:w="45" w:type="dxa"/>
            </w:tcMar>
            <w:vAlign w:val="center"/>
          </w:tcPr>
          <w:p w14:paraId="0BDD991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111 (42.21%)</w:t>
            </w:r>
          </w:p>
        </w:tc>
        <w:tc>
          <w:tcPr>
            <w:tcW w:w="1238" w:type="dxa"/>
            <w:shd w:val="clear" w:color="auto" w:fill="FFFFFF"/>
            <w:tcMar>
              <w:top w:w="30" w:type="dxa"/>
              <w:left w:w="45" w:type="dxa"/>
              <w:bottom w:w="30" w:type="dxa"/>
              <w:right w:w="45" w:type="dxa"/>
            </w:tcMar>
            <w:vAlign w:val="center"/>
          </w:tcPr>
          <w:p w14:paraId="4F477C9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114 (43.34%)</w:t>
            </w:r>
          </w:p>
        </w:tc>
        <w:tc>
          <w:tcPr>
            <w:tcW w:w="1240" w:type="dxa"/>
            <w:shd w:val="clear" w:color="auto" w:fill="FFFFFF"/>
            <w:tcMar>
              <w:top w:w="30" w:type="dxa"/>
              <w:left w:w="45" w:type="dxa"/>
              <w:bottom w:w="30" w:type="dxa"/>
              <w:right w:w="45" w:type="dxa"/>
            </w:tcMar>
            <w:vAlign w:val="center"/>
          </w:tcPr>
          <w:p w14:paraId="0483C09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38 (14.45%)</w:t>
            </w:r>
          </w:p>
        </w:tc>
        <w:tc>
          <w:tcPr>
            <w:tcW w:w="1521" w:type="dxa"/>
            <w:shd w:val="clear" w:color="auto" w:fill="FFFFFF"/>
            <w:tcMar>
              <w:top w:w="30" w:type="dxa"/>
              <w:left w:w="45" w:type="dxa"/>
              <w:bottom w:w="30" w:type="dxa"/>
              <w:right w:w="45" w:type="dxa"/>
            </w:tcMar>
            <w:vAlign w:val="center"/>
          </w:tcPr>
          <w:p w14:paraId="4D81285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Fertility</w:t>
            </w:r>
          </w:p>
        </w:tc>
        <w:tc>
          <w:tcPr>
            <w:tcW w:w="2287" w:type="dxa"/>
            <w:shd w:val="clear" w:color="auto" w:fill="FFFFFF"/>
            <w:tcMar>
              <w:top w:w="30" w:type="dxa"/>
              <w:left w:w="45" w:type="dxa"/>
              <w:bottom w:w="30" w:type="dxa"/>
              <w:right w:w="45" w:type="dxa"/>
            </w:tcMar>
            <w:vAlign w:val="center"/>
          </w:tcPr>
          <w:p w14:paraId="6EF6761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Normal group: 49 (37.69%); </w:t>
            </w:r>
          </w:p>
          <w:p w14:paraId="001E19D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Infertile group: 62 (46.62%)</w:t>
            </w:r>
          </w:p>
        </w:tc>
        <w:tc>
          <w:tcPr>
            <w:tcW w:w="1975" w:type="dxa"/>
            <w:shd w:val="clear" w:color="auto" w:fill="FFFFFF"/>
            <w:tcMar>
              <w:top w:w="30" w:type="dxa"/>
              <w:left w:w="45" w:type="dxa"/>
              <w:bottom w:w="30" w:type="dxa"/>
              <w:right w:w="45" w:type="dxa"/>
            </w:tcMar>
            <w:vAlign w:val="center"/>
          </w:tcPr>
          <w:p w14:paraId="1DD1345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Normal group: 60 (46.15%); </w:t>
            </w:r>
          </w:p>
          <w:p w14:paraId="7DD1465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Infertile group: 54 (40.60%)</w:t>
            </w:r>
          </w:p>
        </w:tc>
        <w:tc>
          <w:tcPr>
            <w:tcW w:w="2317" w:type="dxa"/>
            <w:shd w:val="clear" w:color="auto" w:fill="FFFFFF"/>
            <w:tcMar>
              <w:top w:w="30" w:type="dxa"/>
              <w:left w:w="45" w:type="dxa"/>
              <w:bottom w:w="30" w:type="dxa"/>
              <w:right w:w="45" w:type="dxa"/>
            </w:tcMar>
            <w:vAlign w:val="center"/>
          </w:tcPr>
          <w:p w14:paraId="60847F4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Normal group: 21 (16.15%);</w:t>
            </w:r>
          </w:p>
          <w:p w14:paraId="5614850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Infertile group: 17 (12.78%)</w:t>
            </w:r>
          </w:p>
        </w:tc>
      </w:tr>
      <w:tr w:rsidR="000B1E20" w:rsidRPr="001F49E7" w14:paraId="0AAFF79A" w14:textId="77777777" w:rsidTr="000B1E20">
        <w:trPr>
          <w:trHeight w:val="315"/>
        </w:trPr>
        <w:tc>
          <w:tcPr>
            <w:tcW w:w="1700" w:type="dxa"/>
            <w:shd w:val="clear" w:color="auto" w:fill="FFFFFF"/>
            <w:tcMar>
              <w:top w:w="30" w:type="dxa"/>
              <w:left w:w="45" w:type="dxa"/>
              <w:bottom w:w="30" w:type="dxa"/>
              <w:right w:w="45" w:type="dxa"/>
            </w:tcMar>
            <w:vAlign w:val="center"/>
            <w:hideMark/>
          </w:tcPr>
          <w:p w14:paraId="1C2ED8E0" w14:textId="4CC9D603"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Y. Pasdar 2016 </w:t>
            </w:r>
            <w:r w:rsidRPr="001F49E7">
              <w:rPr>
                <w:rFonts w:eastAsia="Times New Roman" w:cstheme="minorHAnsi"/>
                <w:color w:val="000000" w:themeColor="text1"/>
                <w:kern w:val="0"/>
                <w:sz w:val="16"/>
                <w:szCs w:val="16"/>
                <w14:ligatures w14:val="none"/>
              </w:rPr>
              <w:fldChar w:fldCharType="begin"/>
            </w:r>
            <w:r w:rsidR="001F7B79" w:rsidRPr="001F49E7">
              <w:rPr>
                <w:rFonts w:eastAsia="Times New Roman" w:cstheme="minorHAnsi"/>
                <w:color w:val="000000" w:themeColor="text1"/>
                <w:kern w:val="0"/>
                <w:sz w:val="16"/>
                <w:szCs w:val="16"/>
                <w14:ligatures w14:val="none"/>
              </w:rPr>
              <w:instrText xml:space="preserve"> ADDIN ZOTERO_ITEM CSL_CITATION {"citationID":"rT8b8LrD","properties":{"unsorted":false,"formattedCitation":"(5)","plainCitation":"(5)","noteIndex":0},"citationItems":[{"id":244,"uris":["http://zotero.org/users/local/SBvLfXY8/items/MWPBQRYT"],"itemData":{"id":244,"type":"article-journal","page":"12837-12846","title":"The relationship between anthropometric indexes and blood biomarkers with fatty liver-a case-control study; Kermanshah, Iran","volume":"8","author":[{"family":"Pasdar","given":"Yahya"},{"family":"Rahimi","given":"Fateme"},{"family":"Salehi","given":"Mohammad"},{"family":"Darbandi","given":"Mitra"},{"family":"Nazar","given":"Mehdi"},{"family":"Niazi","given":"Parisa"},{"family":"Nachvak","given":"Seyed"}],"issued":{"date-parts":[["2016",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1F7B79" w:rsidRPr="001F49E7">
              <w:rPr>
                <w:rFonts w:ascii="Aptos" w:hAnsi="Aptos"/>
                <w:sz w:val="16"/>
              </w:rPr>
              <w:t>(5)</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4C42BD8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376DA7B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64 (53.8%)</w:t>
            </w:r>
          </w:p>
        </w:tc>
        <w:tc>
          <w:tcPr>
            <w:tcW w:w="1238" w:type="dxa"/>
            <w:shd w:val="clear" w:color="auto" w:fill="FFFFFF"/>
            <w:tcMar>
              <w:top w:w="30" w:type="dxa"/>
              <w:left w:w="45" w:type="dxa"/>
              <w:bottom w:w="30" w:type="dxa"/>
              <w:right w:w="45" w:type="dxa"/>
            </w:tcMar>
            <w:vAlign w:val="center"/>
          </w:tcPr>
          <w:p w14:paraId="04C77F0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43 (36.1%)</w:t>
            </w:r>
          </w:p>
        </w:tc>
        <w:tc>
          <w:tcPr>
            <w:tcW w:w="1240" w:type="dxa"/>
            <w:shd w:val="clear" w:color="auto" w:fill="FFFFFF"/>
            <w:tcMar>
              <w:top w:w="30" w:type="dxa"/>
              <w:left w:w="45" w:type="dxa"/>
              <w:bottom w:w="30" w:type="dxa"/>
              <w:right w:w="45" w:type="dxa"/>
            </w:tcMar>
            <w:vAlign w:val="center"/>
          </w:tcPr>
          <w:p w14:paraId="74620DA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12 (10.1%)</w:t>
            </w:r>
          </w:p>
        </w:tc>
        <w:tc>
          <w:tcPr>
            <w:tcW w:w="1521" w:type="dxa"/>
            <w:shd w:val="clear" w:color="auto" w:fill="FFFFFF"/>
            <w:tcMar>
              <w:top w:w="30" w:type="dxa"/>
              <w:left w:w="45" w:type="dxa"/>
              <w:bottom w:w="30" w:type="dxa"/>
              <w:right w:w="45" w:type="dxa"/>
            </w:tcMar>
            <w:vAlign w:val="center"/>
          </w:tcPr>
          <w:p w14:paraId="70B3C4F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3B993CF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00C55B0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2E40E57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1690B1B5" w14:textId="77777777" w:rsidTr="000B1E20">
        <w:trPr>
          <w:trHeight w:val="315"/>
        </w:trPr>
        <w:tc>
          <w:tcPr>
            <w:tcW w:w="1700" w:type="dxa"/>
            <w:shd w:val="clear" w:color="auto" w:fill="FFFFFF"/>
            <w:tcMar>
              <w:top w:w="30" w:type="dxa"/>
              <w:left w:w="45" w:type="dxa"/>
              <w:bottom w:w="30" w:type="dxa"/>
              <w:right w:w="45" w:type="dxa"/>
            </w:tcMar>
            <w:vAlign w:val="center"/>
            <w:hideMark/>
          </w:tcPr>
          <w:p w14:paraId="5DDDE2D2" w14:textId="35ED269A"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N. Khademi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{"citationID":"VnG9raUA","properties":{"unsorted":false,"formattedCitation":"(6)","plainCitation":"(6)","noteIndex":0},"citationItems":[{"id":79,"uris":["http://zotero.org/users/local/SBvLfXY8/items/9FYTWKNS"],"itemData":{"id":79,"type":"article-journal","abstract":"The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(6)</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245389D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33DBBC5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1,383 (28.6%)</w:t>
            </w:r>
          </w:p>
        </w:tc>
        <w:tc>
          <w:tcPr>
            <w:tcW w:w="1238" w:type="dxa"/>
            <w:shd w:val="clear" w:color="auto" w:fill="FFFFFF"/>
            <w:tcMar>
              <w:top w:w="30" w:type="dxa"/>
              <w:left w:w="45" w:type="dxa"/>
              <w:bottom w:w="30" w:type="dxa"/>
              <w:right w:w="45" w:type="dxa"/>
            </w:tcMar>
            <w:vAlign w:val="center"/>
          </w:tcPr>
          <w:p w14:paraId="0FD5618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2,299 (47.5%)</w:t>
            </w:r>
          </w:p>
        </w:tc>
        <w:tc>
          <w:tcPr>
            <w:tcW w:w="1240" w:type="dxa"/>
            <w:shd w:val="clear" w:color="auto" w:fill="FFFFFF"/>
            <w:tcMar>
              <w:top w:w="30" w:type="dxa"/>
              <w:left w:w="45" w:type="dxa"/>
              <w:bottom w:w="30" w:type="dxa"/>
              <w:right w:w="45" w:type="dxa"/>
            </w:tcMar>
            <w:vAlign w:val="center"/>
          </w:tcPr>
          <w:p w14:paraId="080A23B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1,162 (24.0%)</w:t>
            </w:r>
          </w:p>
        </w:tc>
        <w:tc>
          <w:tcPr>
            <w:tcW w:w="1521" w:type="dxa"/>
            <w:shd w:val="clear" w:color="auto" w:fill="FFFFFF"/>
            <w:tcMar>
              <w:top w:w="30" w:type="dxa"/>
              <w:left w:w="45" w:type="dxa"/>
              <w:bottom w:w="30" w:type="dxa"/>
              <w:right w:w="45" w:type="dxa"/>
            </w:tcMar>
            <w:vAlign w:val="center"/>
          </w:tcPr>
          <w:p w14:paraId="0808465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407F804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7668E34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30E32F0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457A6CFF" w14:textId="77777777" w:rsidTr="000B1E20">
        <w:trPr>
          <w:trHeight w:val="315"/>
        </w:trPr>
        <w:tc>
          <w:tcPr>
            <w:tcW w:w="1700" w:type="dxa"/>
            <w:shd w:val="clear" w:color="auto" w:fill="FFFFFF"/>
            <w:tcMar>
              <w:top w:w="30" w:type="dxa"/>
              <w:left w:w="45" w:type="dxa"/>
              <w:bottom w:w="30" w:type="dxa"/>
              <w:right w:w="45" w:type="dxa"/>
            </w:tcMar>
            <w:vAlign w:val="center"/>
            <w:hideMark/>
          </w:tcPr>
          <w:p w14:paraId="7EBC3FD9" w14:textId="3D8D5746"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P. Noormohammadpour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DBQx3sOR","properties":{"formattedCitation":"(7)","plainCitation":"(7)","noteIndex":0},"citationItems":[{"id":"ulROLKvl/sr4fDVOx","uris":["http://zotero.org/users/16072611/items/TCS3IWD3","http://zotero.org/users/16072611/items/GTX3AFRT"],"itemData":{"id":509,"type":"article-journal","abstract":"BACKGROUND: Chronic musculoskeletal pain (CMP) is increasing in prevalence rapidly. Over the past 2 decades low back pain has been ranked globally as the primary cause of years lived with disability. The primary objective of this study was to investigate the prevalence of chronic neck pain (CNP), chronic low back pain (CLBP), and chronic knee pain (CKP) and their related risk factors in the national Iranian population.\nMETHODS: We analyzed data obtained through a cross-sectional, population-based survey of 7889 Iranians who were aged between 30 and 70 years.\nRESULTS: The prevalence of CNP, CLBP, and CKP was 15.34%, 27.18%, and 29.97%, respectively. Female sex, aging, body mass index≥25, Lur or Arab ethnicity, illiteracy, passive smoking, positive osteoporosis history, and low or high physical activity levels were risk factors for CLBP, CNP, and CKP after adjustment for potential confounders. For example, in participants with a body mass index≥30, odds ratios for CNP, CLBP, and CKP adjusted for age, sex, ethnicity, living area, education, employment status, smoking, and physical activity levels were 1.26 (95% confidence interval [CI], 1.04-1.52), 1.37 (95% CI, 1.17-1.59), and 1.64 (95% CI, 1.41-1.91), respectively.\nCONCLUSIONS: This is the first study investigating the prevalence of CNP, CLBP, and CKP in the national population of Iran. It shows some modifiable risk factors for CMP, and suggests that affordable planning for these risk factors can be valuable in preventing CMP globally. However, this is a cross-sectional study and future longitudinal studies in this field are necessary.","container-title":"The Clinical Journal of Pain","DOI":"10.1097/AJP.0000000000000396","ISSN":"1536-5409","issue":"2","journalAbbreviation":"Clin J Pain","language":"eng","page":"181-187","PMID":"27258995","source":"PubMed","title":"Prevalence of Chronic Neck Pain, Low Back Pain, and Knee Pain and Their Related Factors in Community-Dwelling Adults in Iran: A Population-based National Study","title-short":"Prevalence of Chronic Neck Pain, Low Back Pain, and Knee Pain and Their Related Factors in Community-Dwelling Adults in Iran","volume":"33","author":[{"family":"Noormohammadpour","given":"Pardis"},{"family":"Mansournia","given":"Mohammad Ali"},{"family":"Koohpayehzadeh","given":"Jalil"},{"family":"Asgari","given":"Fereshteh"},{"family":"Rostami","given":"Mohsen"},{"family":"Rafei","given":"Ali"},{"family":"Kordi","given":"Ramin"}],"issued":{"date-parts":[["2017",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(7)</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6EA5D5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380AE57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3,153 (44.9%)</w:t>
            </w:r>
          </w:p>
        </w:tc>
        <w:tc>
          <w:tcPr>
            <w:tcW w:w="1238" w:type="dxa"/>
            <w:shd w:val="clear" w:color="auto" w:fill="FFFFFF"/>
            <w:tcMar>
              <w:top w:w="30" w:type="dxa"/>
              <w:left w:w="45" w:type="dxa"/>
              <w:bottom w:w="30" w:type="dxa"/>
              <w:right w:w="45" w:type="dxa"/>
            </w:tcMar>
            <w:vAlign w:val="center"/>
          </w:tcPr>
          <w:p w14:paraId="1510BA9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2,148 (30.6%)</w:t>
            </w:r>
          </w:p>
        </w:tc>
        <w:tc>
          <w:tcPr>
            <w:tcW w:w="1240" w:type="dxa"/>
            <w:shd w:val="clear" w:color="auto" w:fill="FFFFFF"/>
            <w:tcMar>
              <w:top w:w="30" w:type="dxa"/>
              <w:left w:w="45" w:type="dxa"/>
              <w:bottom w:w="30" w:type="dxa"/>
              <w:right w:w="45" w:type="dxa"/>
            </w:tcMar>
            <w:vAlign w:val="center"/>
          </w:tcPr>
          <w:p w14:paraId="3DD27EC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1,722 (24.5%)</w:t>
            </w:r>
          </w:p>
        </w:tc>
        <w:tc>
          <w:tcPr>
            <w:tcW w:w="1521" w:type="dxa"/>
            <w:shd w:val="clear" w:color="auto" w:fill="FFFFFF"/>
            <w:tcMar>
              <w:top w:w="30" w:type="dxa"/>
              <w:left w:w="45" w:type="dxa"/>
              <w:bottom w:w="30" w:type="dxa"/>
              <w:right w:w="45" w:type="dxa"/>
            </w:tcMar>
            <w:vAlign w:val="center"/>
          </w:tcPr>
          <w:p w14:paraId="4F568F4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46C381B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55542B0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1903E52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47219DF1" w14:textId="77777777" w:rsidTr="000B1E20">
        <w:trPr>
          <w:trHeight w:val="315"/>
        </w:trPr>
        <w:tc>
          <w:tcPr>
            <w:tcW w:w="1700" w:type="dxa"/>
            <w:shd w:val="clear" w:color="auto" w:fill="FFFFFF"/>
            <w:tcMar>
              <w:top w:w="30" w:type="dxa"/>
              <w:left w:w="45" w:type="dxa"/>
              <w:bottom w:w="30" w:type="dxa"/>
              <w:right w:w="45" w:type="dxa"/>
            </w:tcMar>
            <w:vAlign w:val="center"/>
            <w:hideMark/>
          </w:tcPr>
          <w:p w14:paraId="1231C9A7" w14:textId="58D7E10C"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E. Shakiba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{"citationID":"BvTu0q6e","properties":{"formattedCitation":"(8)","plainCitation":"(8)","noteIndex":0},"citationItems":[{"id":"ulROLKvl/WXx5GQO9","uris":["http://zotero.org/users/16072611/items/G6D7W4QU"],"itemData":{"id":292,"type":"article-journal","abstract":"Background: There is some evidence suggesting that Body Mass Index (BMI) may increase plasma lipoprotein levels.Objectives: This study aimed to evaluate the possible association between BMI and dyslipidemia among the government staff of Kermanshah.Methods: This descriptive-analytical cross-sectional study was performed on the staff of 13 governmental organizations in Kerman shah (a city located in the west of Iran) in 2012. The staff was recruited using census method. We obtained information of 1496 staff aged 22 - 69 through the standardized stepwise questionnaire for NCDs risk factor surveillance. The staff was then physically examined by trained persons. Finally, their blood samples were obtained.Results: The prevalence of dyslipidemia was 16.6% in the study group, with the prevalence of 18.2% in men and 7.9% in women. There were also 53% (55.8% in men and 7.9% in women) and 17.8% (17.6% in men and 38.1% in women) prevalence rates for overweight and obesity, respectively. Dyslipidemia was significantly associated with factors such as BMI (P value = 0.004), gender (P value &lt; 0.001), marital status (P value = 0.01), cigarette smoking (P value = 0.008), and hookah smoking (P value = 0.002), but not with passive smoking, age, education level, physical activity, FBS (fast blood sugar), WHR (waist to hip ratio), hypertension, waist size, and hip size.In the adjusted model, there was a link merely between obesity and dyslipidemia while no statistically significant association was found between dyslipidemia and overweight. Moreover, a non-linear dose-response association was observed between dyslipidemia and BMI.Conclusions: Since dyslipidemia was significantly prevalent among men, fat people, and smokers, a particular attention is crucial to be paid to these groups.","container-title":"Iranian Red Crescent Medical Journal (IRCMJ)","DOI":"10.5812/ircmj.58335","ISSN":"2074-1804","issue":"8","language":"en","page":"1-6","publisher":"Red Crescent Organization","source":"www.ircmj.com","title":"Association of Body Mass Index with Dyslipidemia among the Government Staff of Kermanshah, Iran: A Cross-Sectional Study","title-short":"Association of Body Mass Index with Dyslipidemia among the Government Staff of Kermanshah, Iran","volume":"19","author":[{"family":"Shakiba","given":"Ebrahim"},{"family":"Khademi","given":"Nahid"},{"family":"Khoramdad","given":"Malihe"},{"family":"Alimohamadi","given":"Yousef"},{"family":"Izadi","given":"Neda"}],"issued":{"date-parts":[["2017",8,1]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(8)</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B11CB4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Not specified</w:t>
            </w:r>
          </w:p>
        </w:tc>
        <w:tc>
          <w:tcPr>
            <w:tcW w:w="1330" w:type="dxa"/>
            <w:shd w:val="clear" w:color="auto" w:fill="FFFFFF"/>
            <w:tcMar>
              <w:top w:w="30" w:type="dxa"/>
              <w:left w:w="45" w:type="dxa"/>
              <w:bottom w:w="30" w:type="dxa"/>
              <w:right w:w="45" w:type="dxa"/>
            </w:tcMar>
            <w:vAlign w:val="center"/>
          </w:tcPr>
          <w:p w14:paraId="14B06B2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555 (44.5%)</w:t>
            </w:r>
          </w:p>
        </w:tc>
        <w:tc>
          <w:tcPr>
            <w:tcW w:w="1238" w:type="dxa"/>
            <w:shd w:val="clear" w:color="auto" w:fill="FFFFFF"/>
            <w:tcMar>
              <w:top w:w="30" w:type="dxa"/>
              <w:left w:w="45" w:type="dxa"/>
              <w:bottom w:w="30" w:type="dxa"/>
              <w:right w:w="45" w:type="dxa"/>
            </w:tcMar>
            <w:vAlign w:val="center"/>
          </w:tcPr>
          <w:p w14:paraId="4F0BF43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18A4A02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693 (55.5%)</w:t>
            </w:r>
          </w:p>
        </w:tc>
        <w:tc>
          <w:tcPr>
            <w:tcW w:w="1521" w:type="dxa"/>
            <w:shd w:val="clear" w:color="auto" w:fill="FFFFFF"/>
            <w:tcMar>
              <w:top w:w="30" w:type="dxa"/>
              <w:left w:w="45" w:type="dxa"/>
              <w:bottom w:w="30" w:type="dxa"/>
              <w:right w:w="45" w:type="dxa"/>
            </w:tcMar>
            <w:vAlign w:val="center"/>
          </w:tcPr>
          <w:p w14:paraId="7EA188A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16056D1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69375BE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0BCCB3F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2D95A6F4" w14:textId="77777777" w:rsidTr="000B1E20">
        <w:trPr>
          <w:trHeight w:val="315"/>
        </w:trPr>
        <w:tc>
          <w:tcPr>
            <w:tcW w:w="1700" w:type="dxa"/>
            <w:shd w:val="clear" w:color="auto" w:fill="FFFFFF"/>
            <w:tcMar>
              <w:top w:w="30" w:type="dxa"/>
              <w:left w:w="45" w:type="dxa"/>
              <w:bottom w:w="30" w:type="dxa"/>
              <w:right w:w="45" w:type="dxa"/>
            </w:tcMar>
            <w:vAlign w:val="center"/>
          </w:tcPr>
          <w:p w14:paraId="0ED12303" w14:textId="1071C3F1"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SM. Mojtahedzadeh 2017 </w:t>
            </w:r>
            <w:r w:rsidRPr="001F49E7">
              <w:rPr>
                <w:rFonts w:eastAsia="Times New Roman" w:cstheme="minorHAnsi"/>
                <w:kern w:val="0"/>
                <w:sz w:val="16"/>
                <w:szCs w:val="16"/>
                <w14:ligatures w14:val="none"/>
              </w:rPr>
              <w:fldChar w:fldCharType="begin"/>
            </w:r>
            <w:r w:rsidR="007A0269" w:rsidRPr="001F49E7">
              <w:rPr>
                <w:rFonts w:eastAsia="Times New Roman" w:cstheme="minorHAnsi"/>
                <w:kern w:val="0"/>
                <w:sz w:val="16"/>
                <w:szCs w:val="16"/>
                <w14:ligatures w14:val="none"/>
              </w:rPr>
              <w:instrText xml:space="preserve"> ADDIN ZOTERO_ITEM CSL_CITATION {"citationID":"38nIx3IK","properties":{"unsorted":false,"formattedCitation":"(9)","plainCitation":"(9)","noteIndex":0},"citationItems":[{"id":241,"uris":["http://zotero.org/users/local/SBvLfXY8/items/QYGARS68"],"itemData":{"id":241,"type":"article-journal","abstract":"</w:instrText>
            </w:r>
            <w:r w:rsidR="007A0269" w:rsidRPr="001F49E7">
              <w:rPr>
                <w:rFonts w:eastAsia="Times New Roman" w:cs="Times New Roman"/>
                <w:kern w:val="0"/>
                <w:sz w:val="16"/>
                <w:szCs w:val="16"/>
                <w:rtl/>
                <w14:ligatures w14:val="none"/>
              </w:rPr>
              <w:instrText>زمینه و هدف: با توجه به صیانت از نیروی کار و مسولیت در حفظ سلامت کارکنان صنایع، این مطالعه با هدف بررسی شیوع چاقی و افزایش وزن در پالایشگاه آبادان بعنوان بزرگترین پالایشگاه ایران بعمل آمد. روش</w:instrText>
            </w:r>
            <w:r w:rsidR="007A0269" w:rsidRPr="001F49E7">
              <w:rPr>
                <w:rFonts w:eastAsia="Times New Roman" w:cstheme="minorHAnsi"/>
                <w:kern w:val="0"/>
                <w:sz w:val="16"/>
                <w:szCs w:val="16"/>
                <w14:ligatures w14:val="none"/>
              </w:rPr>
              <w:instrText xml:space="preserve">&amp;zwnj; </w:instrText>
            </w:r>
            <w:r w:rsidR="007A0269" w:rsidRPr="001F49E7">
              <w:rPr>
                <w:rFonts w:eastAsia="Times New Roman" w:cs="Times New Roman"/>
                <w:kern w:val="0"/>
                <w:sz w:val="16"/>
                <w:szCs w:val="16"/>
                <w:rtl/>
                <w14:ligatures w14:val="none"/>
              </w:rPr>
              <w:instrText>کار: در این مطالعه 721 نفر از پرسنل پالایشگاه آبادان از فهرست پرونده های معاینات سلامت شغلی سالیانه انتخاب، و پس از تن</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سنجی و تکمیل پرسشنامه و اخذ نمونه خون، اطلاعات آنها از طریق پرسشنامه سبک زندگی</w:instrText>
            </w:r>
            <w:r w:rsidR="007A0269" w:rsidRPr="001F49E7">
              <w:rPr>
                <w:rFonts w:eastAsia="Times New Roman" w:cstheme="minorHAnsi"/>
                <w:kern w:val="0"/>
                <w:sz w:val="16"/>
                <w:szCs w:val="16"/>
                <w14:ligatures w14:val="none"/>
              </w:rPr>
              <w:instrText xml:space="preserve"> Breslow </w:instrText>
            </w:r>
            <w:r w:rsidR="007A0269" w:rsidRPr="001F49E7">
              <w:rPr>
                <w:rFonts w:eastAsia="Times New Roman" w:cs="Times New Roman"/>
                <w:kern w:val="0"/>
                <w:sz w:val="16"/>
                <w:szCs w:val="16"/>
                <w:rtl/>
                <w14:ligatures w14:val="none"/>
              </w:rPr>
              <w:instrText>و پرسشنامه استاندارد فعالیت فیزیکی</w:instrText>
            </w:r>
            <w:r w:rsidR="007A0269" w:rsidRPr="001F49E7">
              <w:rPr>
                <w:rFonts w:eastAsia="Times New Roman" w:cstheme="minorHAnsi"/>
                <w:kern w:val="0"/>
                <w:sz w:val="16"/>
                <w:szCs w:val="16"/>
                <w14:ligatures w14:val="none"/>
              </w:rPr>
              <w:instrText xml:space="preserve"> Global Physical Activity Questionnaire (GPAQ) </w:instrText>
            </w:r>
            <w:r w:rsidR="007A0269" w:rsidRPr="001F49E7">
              <w:rPr>
                <w:rFonts w:eastAsia="Times New Roman" w:cs="Times New Roman"/>
                <w:kern w:val="0"/>
                <w:sz w:val="16"/>
                <w:szCs w:val="16"/>
                <w:rtl/>
                <w14:ligatures w14:val="none"/>
              </w:rPr>
              <w:instrText>ثبت و در نهایت تجزیه و تحلیل گردید. نتایج: متوسط نمایه توده بدنی در مردان و زنان به ترتیب2/28 و 5/27 بود. شاخص توده بدنی و شیوع چاقی در این مرکز صنعتی به ترتیب برابر با 8/29 % و 7/48% بود. شیوع افزایش</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وزن و چاقی در مردان به</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ترتیب 6/48% و 24/30% و در زنان به ترتیب50% و 15% بود که با سن، سطح قند خون، چربی خون، و فشارخون بالا دارای ارتباط معنی</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دار بود</w:instrText>
            </w:r>
            <w:r w:rsidR="007A0269" w:rsidRPr="001F49E7">
              <w:rPr>
                <w:rFonts w:eastAsia="Times New Roman" w:cstheme="minorHAnsi"/>
                <w:kern w:val="0"/>
                <w:sz w:val="16"/>
                <w:szCs w:val="16"/>
                <w14:ligatures w14:val="none"/>
              </w:rPr>
              <w:instrText xml:space="preserve"> ( </w:instrText>
            </w:r>
            <w:r w:rsidR="007A0269" w:rsidRPr="001F49E7">
              <w:rPr>
                <w:rFonts w:eastAsia="Times New Roman" w:cs="Times New Roman"/>
                <w:kern w:val="0"/>
                <w:sz w:val="16"/>
                <w:szCs w:val="16"/>
                <w:rtl/>
                <w14:ligatures w14:val="none"/>
              </w:rPr>
              <w:instrText>برای تمام موارد001/0</w:instrText>
            </w:r>
            <w:r w:rsidR="007A0269" w:rsidRPr="001F49E7">
              <w:rPr>
                <w:rFonts w:eastAsia="Times New Roman" w:cstheme="minorHAnsi"/>
                <w:kern w:val="0"/>
                <w:sz w:val="16"/>
                <w:szCs w:val="16"/>
                <w14:ligatures w14:val="none"/>
              </w:rPr>
              <w:instrText xml:space="preserve"> p &amp;lt; ) . </w:instrText>
            </w:r>
            <w:r w:rsidR="007A0269" w:rsidRPr="001F49E7">
              <w:rPr>
                <w:rFonts w:eastAsia="Times New Roman" w:cs="Times New Roman"/>
                <w:kern w:val="0"/>
                <w:sz w:val="16"/>
                <w:szCs w:val="16"/>
                <w:rtl/>
                <w14:ligatures w14:val="none"/>
              </w:rPr>
              <w:instrText>نتیجه گیری: در مجموع شیوع اضافه وزن و چاقی در کارکنان پالایشگاه آبادان بالاتر از میانگین</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کشوری و صنایع مشابه در نقاط دیگر جهان می باشد. توجه به برنامه های ترویج سبک زندگی سالم در مناطق صنعتی با تاکید بر گروه های پرخطر مانند افراد میانسال، با وضعیت اقتصادی-اجتماعی نامناسب، و شاغل در شیفت های غیر صبحکار می تواند بر بهبود وضعیت جسمانی و سلامتی</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کارکنان نقش موثری داشته باشد</w:instrText>
            </w:r>
            <w:r w:rsidR="007A0269" w:rsidRPr="001F49E7">
              <w:rPr>
                <w:rFonts w:eastAsia="Times New Roman" w:cstheme="minorHAnsi"/>
                <w:kern w:val="0"/>
                <w:sz w:val="16"/>
                <w:szCs w:val="16"/>
                <w14:ligatures w14:val="none"/>
              </w:rPr>
              <w:instrText xml:space="preserve">.","container-title":"Journal of School of Public Health and Institute of Public Health Research","issue":"1","note":"_eprint: http://sjsph.tums.ac.ir/article-1-5477-fa.pdf","title":"Prevalence of Overweight and Obesity in the Personnel of Abadan Oil Refinery and Factors Related to It","URL":"http://sjsph.tums.ac.ir/article-1-5477-fa.html","volume":"15","author":[{"family":"Mojtahedzadeh","given":"Seyed Mohammad"},{"family":"Holakouie-Naieni","given":"Kourosh"},{"family":"Nematollahi","given":"Shahrzad"},{"family":"Mazarei","given":"Amir Hossein"}],"issued":{"date-parts":[["2017"]]}}}],"schema":"https://github.com/citation-style-language/schema/raw/master/csl-citation.json"}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(9)</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838D82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07C9DEA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157 (21.78%)</w:t>
            </w:r>
          </w:p>
        </w:tc>
        <w:tc>
          <w:tcPr>
            <w:tcW w:w="1238" w:type="dxa"/>
            <w:shd w:val="clear" w:color="auto" w:fill="FFFFFF"/>
            <w:tcMar>
              <w:top w:w="30" w:type="dxa"/>
              <w:left w:w="45" w:type="dxa"/>
              <w:bottom w:w="30" w:type="dxa"/>
              <w:right w:w="45" w:type="dxa"/>
            </w:tcMar>
            <w:vAlign w:val="center"/>
          </w:tcPr>
          <w:p w14:paraId="666FC89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342 (47.43%)</w:t>
            </w:r>
          </w:p>
        </w:tc>
        <w:tc>
          <w:tcPr>
            <w:tcW w:w="1240" w:type="dxa"/>
            <w:shd w:val="clear" w:color="auto" w:fill="FFFFFF"/>
            <w:tcMar>
              <w:top w:w="30" w:type="dxa"/>
              <w:left w:w="45" w:type="dxa"/>
              <w:bottom w:w="30" w:type="dxa"/>
              <w:right w:w="45" w:type="dxa"/>
            </w:tcMar>
            <w:vAlign w:val="center"/>
          </w:tcPr>
          <w:p w14:paraId="696F48D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222 (30.79%)</w:t>
            </w:r>
          </w:p>
        </w:tc>
        <w:tc>
          <w:tcPr>
            <w:tcW w:w="1521" w:type="dxa"/>
            <w:shd w:val="clear" w:color="auto" w:fill="FFFFFF"/>
            <w:tcMar>
              <w:top w:w="30" w:type="dxa"/>
              <w:left w:w="45" w:type="dxa"/>
              <w:bottom w:w="30" w:type="dxa"/>
              <w:right w:w="45" w:type="dxa"/>
            </w:tcMar>
            <w:vAlign w:val="center"/>
          </w:tcPr>
          <w:p w14:paraId="6D49F68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4982BEF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37E5706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7817369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3F4AA8EA" w14:textId="77777777" w:rsidTr="000B1E20">
        <w:trPr>
          <w:trHeight w:val="315"/>
        </w:trPr>
        <w:tc>
          <w:tcPr>
            <w:tcW w:w="1700" w:type="dxa"/>
            <w:shd w:val="clear" w:color="auto" w:fill="FFFFFF"/>
            <w:tcMar>
              <w:top w:w="30" w:type="dxa"/>
              <w:left w:w="45" w:type="dxa"/>
              <w:bottom w:w="30" w:type="dxa"/>
              <w:right w:w="45" w:type="dxa"/>
            </w:tcMar>
            <w:vAlign w:val="center"/>
            <w:hideMark/>
          </w:tcPr>
          <w:p w14:paraId="72325479" w14:textId="5156E273"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F. Gholizadeh 2018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{"citationID":"JoAlUOiN","properties":{"formattedCitation":"(10)","plainCitation":"(10)","noteIndex":0},"citationItems":[{"id":"ulROLKvl/ztXmzMcm","uris":["http://zotero.org/users/16072611/items/6URRLUPZ"],"itemData":{"id":321,"type":"article-journal","abstract":"INTRODUCTION: Prediabetes is considered as an increased risk factor for cardiovascular disease and overt diabetes and is the precursor stage of diabetes. Dietary Diversity Score (DDS) is recognized as an essential factor of a high-quality diet. However, diets with more varieties of food items might increase calorie intake and body weight. Therefore, this study was carried out to determine the association of DDS with metabolic syndrome features in adults with prediabetes.\nMETHODS: Three hundred subjects were randomly selected from participants who were undergone diabetes test screening program. Dietary intake was assessed by using a validated semi-quantitative food frequency questionnaire. DDS was calculated by scoring food intake as nine food groups. The 18-items USDA household food securities and International Physical Activity (IPAQ) were also measured. The metabolic syndrome was defined according to the Adult Treatment Panel III.\nRESULTS: DDS mean for cases and controls were 4.43 and 4.9, respectively (p&lt;0.005). The prevalence of food insecurity was 67/3% in cases and 55/4% in controls group. The decrease in metabolic syndrome probability was compatible with quartiles of DDS (the quartiles odds ratios: 0.6, 0.5, 0.4, 0.19, P=0.05). A higher DDS was associated with lower level of fasting blood glucose, HDL-cholesterol, TG and Waist circumference.\nCONCLUSION: Lower DDS was associated with high probability of metabolic syndrome and with some features of it, like high fasting blood glucose. Therefore, it seems that increase in dietary diversity scores could prevent the pre diabetes development to overt diabetes.","container-title":"Primary Care Diabetes","DOI":"10.1016/j.pcd.2018.03.003","ISSN":"1878-0210","issue":"4","journalAbbreviation":"Prim Care Diabetes","language":"eng","page":"338-344","PMID":"29650341","source":"PubMed","title":"The relation of Dietary diversity score and food insecurity to metabolic syndrome features and glucose level among pre-diabetes subjects","volume":"12","author":[{"family":"Gholizadeh","given":"Farhad"},{"family":"Moludi","given":"Jalal"},{"family":"Lotfi Yagin","given":"Ned"},{"family":"Alizadeh","given":"Mohammad"},{"family":"Mostafa Nachvak","given":"Seyed"},{"family":"Abdollahzad","given":"Hadi"},{"family":"Mirzaei","given":"Khadijeh"},{"family":"Mostafazadeh","given":"Mostafa"}],"issued":{"date-parts":[["2018",8]]}}}],"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(10)</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FDF9D2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109D542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71 (47.3%)</w:t>
            </w:r>
          </w:p>
        </w:tc>
        <w:tc>
          <w:tcPr>
            <w:tcW w:w="1238" w:type="dxa"/>
            <w:shd w:val="clear" w:color="auto" w:fill="FFFFFF"/>
            <w:tcMar>
              <w:top w:w="30" w:type="dxa"/>
              <w:left w:w="45" w:type="dxa"/>
              <w:bottom w:w="30" w:type="dxa"/>
              <w:right w:w="45" w:type="dxa"/>
            </w:tcMar>
            <w:vAlign w:val="center"/>
          </w:tcPr>
          <w:p w14:paraId="7EB2850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50 (33.3%)</w:t>
            </w:r>
          </w:p>
        </w:tc>
        <w:tc>
          <w:tcPr>
            <w:tcW w:w="1240" w:type="dxa"/>
            <w:shd w:val="clear" w:color="auto" w:fill="FFFFFF"/>
            <w:tcMar>
              <w:top w:w="30" w:type="dxa"/>
              <w:left w:w="45" w:type="dxa"/>
              <w:bottom w:w="30" w:type="dxa"/>
              <w:right w:w="45" w:type="dxa"/>
            </w:tcMar>
            <w:vAlign w:val="center"/>
          </w:tcPr>
          <w:p w14:paraId="21A753F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29 (19.3%)</w:t>
            </w:r>
          </w:p>
        </w:tc>
        <w:tc>
          <w:tcPr>
            <w:tcW w:w="1521" w:type="dxa"/>
            <w:shd w:val="clear" w:color="auto" w:fill="FFFFFF"/>
            <w:tcMar>
              <w:top w:w="30" w:type="dxa"/>
              <w:left w:w="45" w:type="dxa"/>
              <w:bottom w:w="30" w:type="dxa"/>
              <w:right w:w="45" w:type="dxa"/>
            </w:tcMar>
            <w:vAlign w:val="center"/>
          </w:tcPr>
          <w:p w14:paraId="2B4CD12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3D013F6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73EB2C8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2017775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7A419236" w14:textId="77777777" w:rsidTr="000B1E20">
        <w:trPr>
          <w:trHeight w:val="315"/>
        </w:trPr>
        <w:tc>
          <w:tcPr>
            <w:tcW w:w="1700" w:type="dxa"/>
            <w:shd w:val="clear" w:color="auto" w:fill="FFFFFF"/>
            <w:tcMar>
              <w:top w:w="30" w:type="dxa"/>
              <w:left w:w="45" w:type="dxa"/>
              <w:bottom w:w="30" w:type="dxa"/>
              <w:right w:w="45" w:type="dxa"/>
            </w:tcMar>
            <w:vAlign w:val="center"/>
            <w:hideMark/>
          </w:tcPr>
          <w:p w14:paraId="3CDB0454" w14:textId="641BABF3"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K. Hajian-Tilaki 2018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{"citationID":"2ziC9ekO","properties":{"formattedCitation":"(11)","plainCitation":"(11)","noteIndex":0},"citationItems":[{"id":"ulROLKvl/VRd7RIXb","uris":["http://zotero.org/users/16072611/items/PLZSMS6W"],"itemData":{"id":298,"type":"article-journal","abstract":"AIMS: The objective of this study was to determine the prevalence and the associated factors of metabolically unhealthy in normal-weight and metabolically healthy in obese.\nMETHODS: We analyzed the data of a representative sample of 986 participants recruited among adult population of north of Iran. Data were collected regarding demographic characteristics, lifestyle, body mass index, abdominal obesity measures, blood pressure, and lipid profiles. The participants were classified as metabolically healthy obese (MHO) and metabolically unhealthy normal-weight (MUNW). Metabolically unhealthy was defined as the presence of</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 xml:space="preserve"> </w:instrText>
            </w:r>
            <w:r w:rsidR="00207711" w:rsidRPr="001F49E7">
              <w:rPr>
                <w:rFonts w:ascii="Aptos" w:eastAsia="Times New Roman" w:hAnsi="Aptos" w:cs="Aptos"/>
                <w:color w:val="000000" w:themeColor="text1"/>
                <w:kern w:val="0"/>
                <w:sz w:val="16"/>
                <w:szCs w:val="16"/>
                <w14:ligatures w14:val="none"/>
              </w:rPr>
              <w:instrText>≥</w:instrText>
            </w:r>
            <w:r w:rsidR="00207711" w:rsidRPr="001F49E7">
              <w:rPr>
                <w:rFonts w:eastAsia="Times New Roman" w:cstheme="minorHAnsi"/>
                <w:color w:val="000000" w:themeColor="text1"/>
                <w:kern w:val="0"/>
                <w:sz w:val="16"/>
                <w:szCs w:val="16"/>
                <w14:ligatures w14:val="none"/>
              </w:rPr>
              <w:instrText xml:space="preserve">2 non-obese components of metabolic syndrome based on ATP III criteria.\nRESULTS: The prevalence rate of MUNW and MHO accounted for 17.2% and 15.1% respectively. Mean age of participants with metabolically unhealthy was significantly greater than metabolically healthy in both normal weight and overweight/obese (P=0.001). The results of multiple logistic regression analysis showed in normal-weight individuals, a significant association of MUNW was found with age group of 50-59 years(OR=3.83, 95%CI: 1.71-8.57) and 60-70 years by OR=4.74(95%CI:1.79-12.54) as compared with age group of 20-29 years. It was also associated with current smoking. While metabolically healthy state in overweight/obese was inversely associated with age 50-59 years by OR=0.26 (95%CI:0.13-0.54) and age 60-70 years by OR=0.15 (95%CI:0.05- 0.39) and higher WC by OR=0.47 (95%CI:0.31-0.72) but positively associated with female-sex by OR=1.74 (95%CI:1.07-2.82).\nCONCLUSION: Aging and smoking are significantly associated with metabolic abnormalities in normal-weight while aging, abdominal obesity negatively and female positively associated with metabolically healthy in obese.","container-title":"Diabetes &amp; Metabolic Syndrome","DOI":"10.1016/j.dsx.2017.11.005","ISSN":"1878-0334","issue":"2","journalAbbreviation":"Diabetes Metab Syndr","language":"eng","page":"129-134","PMID":"29196231","source":"PubMed","title":"Metabolically healthy obese and unhealthy normal weight in Iranian adult population: Prevalence and the associated factors","title-short":"Metabolically healthy obese and unhealthy normal weight in Iranian adult population","volume":"12","author":[{"family":"Hajian-Tilaki","given":"Karimollah"},{"family":"Heidari","given":"Behzad"}],"issued":{"date-parts":[["2018"]]}}}],"schema":"https://github.com/citation-style-language/schema/raw/master/csl-citation.json"}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(11)</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3941DA8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2E69B9A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345 (35%)</w:t>
            </w:r>
          </w:p>
        </w:tc>
        <w:tc>
          <w:tcPr>
            <w:tcW w:w="1238" w:type="dxa"/>
            <w:shd w:val="clear" w:color="auto" w:fill="FFFFFF"/>
            <w:tcMar>
              <w:top w:w="30" w:type="dxa"/>
              <w:left w:w="45" w:type="dxa"/>
              <w:bottom w:w="30" w:type="dxa"/>
              <w:right w:w="45" w:type="dxa"/>
            </w:tcMar>
            <w:vAlign w:val="center"/>
          </w:tcPr>
          <w:p w14:paraId="2904D7A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515 (52.3%)</w:t>
            </w:r>
          </w:p>
        </w:tc>
        <w:tc>
          <w:tcPr>
            <w:tcW w:w="1240" w:type="dxa"/>
            <w:shd w:val="clear" w:color="auto" w:fill="FFFFFF"/>
            <w:tcMar>
              <w:top w:w="30" w:type="dxa"/>
              <w:left w:w="45" w:type="dxa"/>
              <w:bottom w:w="30" w:type="dxa"/>
              <w:right w:w="45" w:type="dxa"/>
            </w:tcMar>
            <w:vAlign w:val="center"/>
          </w:tcPr>
          <w:p w14:paraId="39D1BED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125 (12.7%)</w:t>
            </w:r>
          </w:p>
        </w:tc>
        <w:tc>
          <w:tcPr>
            <w:tcW w:w="1521" w:type="dxa"/>
            <w:shd w:val="clear" w:color="auto" w:fill="FFFFFF"/>
            <w:tcMar>
              <w:top w:w="30" w:type="dxa"/>
              <w:left w:w="45" w:type="dxa"/>
              <w:bottom w:w="30" w:type="dxa"/>
              <w:right w:w="45" w:type="dxa"/>
            </w:tcMar>
            <w:vAlign w:val="center"/>
          </w:tcPr>
          <w:p w14:paraId="3E9224A7" w14:textId="76CA8F4D" w:rsidR="000B1E20" w:rsidRPr="001F49E7" w:rsidRDefault="005D6C9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Obesity phenotypes</w:t>
            </w:r>
          </w:p>
        </w:tc>
        <w:tc>
          <w:tcPr>
            <w:tcW w:w="2287" w:type="dxa"/>
            <w:shd w:val="clear" w:color="auto" w:fill="FFFFFF"/>
            <w:tcMar>
              <w:top w:w="30" w:type="dxa"/>
              <w:left w:w="45" w:type="dxa"/>
              <w:bottom w:w="30" w:type="dxa"/>
              <w:right w:w="45" w:type="dxa"/>
            </w:tcMar>
            <w:vAlign w:val="center"/>
          </w:tcPr>
          <w:p w14:paraId="5B3D812C" w14:textId="3F9DFF71" w:rsidR="005D6C91" w:rsidRPr="001F49E7" w:rsidRDefault="005D6C9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MHNW: 3</w:t>
            </w:r>
            <w:r w:rsidR="00814F5B" w:rsidRPr="001F49E7">
              <w:rPr>
                <w:rFonts w:eastAsia="Times New Roman" w:cstheme="minorHAnsi"/>
                <w:kern w:val="0"/>
                <w:sz w:val="16"/>
                <w:szCs w:val="16"/>
                <w14:ligatures w14:val="none"/>
              </w:rPr>
              <w:t>9</w:t>
            </w:r>
            <w:r w:rsidRPr="001F49E7">
              <w:rPr>
                <w:rFonts w:eastAsia="Times New Roman" w:cstheme="minorHAnsi"/>
                <w:kern w:val="0"/>
                <w:sz w:val="16"/>
                <w:szCs w:val="16"/>
                <w14:ligatures w14:val="none"/>
              </w:rPr>
              <w:t xml:space="preserve"> (</w:t>
            </w:r>
            <w:r w:rsidR="00005D8C" w:rsidRPr="001F49E7">
              <w:rPr>
                <w:rFonts w:eastAsia="Times New Roman" w:cstheme="minorHAnsi"/>
                <w:kern w:val="0"/>
                <w:sz w:val="16"/>
                <w:szCs w:val="16"/>
                <w14:ligatures w14:val="none"/>
              </w:rPr>
              <w:t>2</w:t>
            </w:r>
            <w:r w:rsidR="00814F5B" w:rsidRPr="001F49E7">
              <w:rPr>
                <w:rFonts w:eastAsia="Times New Roman" w:cstheme="minorHAnsi"/>
                <w:kern w:val="0"/>
                <w:sz w:val="16"/>
                <w:szCs w:val="16"/>
                <w14:ligatures w14:val="none"/>
              </w:rPr>
              <w:t>5.3</w:t>
            </w:r>
            <w:r w:rsidRPr="001F49E7">
              <w:rPr>
                <w:rFonts w:eastAsia="Times New Roman" w:cstheme="minorHAnsi"/>
                <w:kern w:val="0"/>
                <w:sz w:val="16"/>
                <w:szCs w:val="16"/>
                <w14:ligatures w14:val="none"/>
              </w:rPr>
              <w:t>%)</w:t>
            </w:r>
          </w:p>
          <w:p w14:paraId="6F33E14C" w14:textId="7CD7F9C2"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40 (</w:t>
            </w:r>
            <w:r w:rsidR="00005D8C" w:rsidRPr="001F49E7">
              <w:rPr>
                <w:rFonts w:eastAsia="Times New Roman" w:cstheme="minorHAnsi"/>
                <w:kern w:val="0"/>
                <w:sz w:val="16"/>
                <w:szCs w:val="16"/>
                <w14:ligatures w14:val="none"/>
              </w:rPr>
              <w:t>39.6</w:t>
            </w:r>
            <w:r w:rsidRPr="001F49E7">
              <w:rPr>
                <w:rFonts w:eastAsia="Times New Roman" w:cstheme="minorHAnsi"/>
                <w:kern w:val="0"/>
                <w:sz w:val="16"/>
                <w:szCs w:val="16"/>
                <w14:ligatures w14:val="none"/>
              </w:rPr>
              <w:t>%)</w:t>
            </w:r>
          </w:p>
          <w:p w14:paraId="0794F483" w14:textId="5BE21021"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14 (</w:t>
            </w:r>
            <w:r w:rsidR="00005D8C" w:rsidRPr="001F49E7">
              <w:rPr>
                <w:rFonts w:eastAsia="Times New Roman" w:cstheme="minorHAnsi"/>
                <w:kern w:val="0"/>
                <w:sz w:val="16"/>
                <w:szCs w:val="16"/>
                <w14:ligatures w14:val="none"/>
              </w:rPr>
              <w:t>29.2</w:t>
            </w: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69EF6AF9" w14:textId="570C4715" w:rsidR="000B1E20" w:rsidRPr="001F49E7" w:rsidRDefault="005D6C9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MHNW: 82 (5</w:t>
            </w:r>
            <w:r w:rsidR="00814F5B" w:rsidRPr="001F49E7">
              <w:rPr>
                <w:rFonts w:eastAsia="Times New Roman" w:cstheme="minorHAnsi"/>
                <w:kern w:val="0"/>
                <w:sz w:val="16"/>
                <w:szCs w:val="16"/>
                <w14:ligatures w14:val="none"/>
              </w:rPr>
              <w:t>3.2</w:t>
            </w:r>
            <w:r w:rsidRPr="001F49E7">
              <w:rPr>
                <w:rFonts w:eastAsia="Times New Roman" w:cstheme="minorHAnsi"/>
                <w:kern w:val="0"/>
                <w:sz w:val="16"/>
                <w:szCs w:val="16"/>
                <w14:ligatures w14:val="none"/>
              </w:rPr>
              <w:t>%)</w:t>
            </w:r>
          </w:p>
          <w:p w14:paraId="4357D987" w14:textId="67B9BAAC"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48 (</w:t>
            </w:r>
            <w:r w:rsidR="00005D8C" w:rsidRPr="001F49E7">
              <w:rPr>
                <w:rFonts w:eastAsia="Times New Roman" w:cstheme="minorHAnsi"/>
                <w:kern w:val="0"/>
                <w:sz w:val="16"/>
                <w:szCs w:val="16"/>
                <w14:ligatures w14:val="none"/>
              </w:rPr>
              <w:t>47.5</w:t>
            </w:r>
            <w:r w:rsidRPr="001F49E7">
              <w:rPr>
                <w:rFonts w:eastAsia="Times New Roman" w:cstheme="minorHAnsi"/>
                <w:kern w:val="0"/>
                <w:sz w:val="16"/>
                <w:szCs w:val="16"/>
                <w14:ligatures w14:val="none"/>
              </w:rPr>
              <w:t>%)</w:t>
            </w:r>
          </w:p>
          <w:p w14:paraId="7874F0E5" w14:textId="56EEC931"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31 (</w:t>
            </w:r>
            <w:r w:rsidR="00005D8C" w:rsidRPr="001F49E7">
              <w:rPr>
                <w:rFonts w:eastAsia="Times New Roman" w:cstheme="minorHAnsi"/>
                <w:kern w:val="0"/>
                <w:sz w:val="16"/>
                <w:szCs w:val="16"/>
                <w14:ligatures w14:val="none"/>
              </w:rPr>
              <w:t>64.6</w:t>
            </w: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3C93E639" w14:textId="4993A89E" w:rsidR="000B1E20" w:rsidRPr="001F49E7" w:rsidRDefault="005D6C91"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MHNW: 33 (</w:t>
            </w:r>
            <w:r w:rsidR="00005D8C" w:rsidRPr="001F49E7">
              <w:rPr>
                <w:rFonts w:eastAsia="Times New Roman" w:cstheme="minorHAnsi"/>
                <w:kern w:val="0"/>
                <w:sz w:val="16"/>
                <w:szCs w:val="16"/>
                <w14:ligatures w14:val="none"/>
              </w:rPr>
              <w:t>2</w:t>
            </w:r>
            <w:r w:rsidR="00814F5B" w:rsidRPr="001F49E7">
              <w:rPr>
                <w:rFonts w:eastAsia="Times New Roman" w:cstheme="minorHAnsi"/>
                <w:kern w:val="0"/>
                <w:sz w:val="16"/>
                <w:szCs w:val="16"/>
                <w14:ligatures w14:val="none"/>
              </w:rPr>
              <w:t>1.4</w:t>
            </w:r>
            <w:r w:rsidRPr="001F49E7">
              <w:rPr>
                <w:rFonts w:eastAsia="Times New Roman" w:cstheme="minorHAnsi"/>
                <w:kern w:val="0"/>
                <w:sz w:val="16"/>
                <w:szCs w:val="16"/>
                <w14:ligatures w14:val="none"/>
              </w:rPr>
              <w:t>%)</w:t>
            </w:r>
          </w:p>
          <w:p w14:paraId="0104886F" w14:textId="5A6B7789"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MHOW: 13 (</w:t>
            </w:r>
            <w:r w:rsidR="00005D8C" w:rsidRPr="001F49E7">
              <w:rPr>
                <w:rFonts w:eastAsia="Times New Roman" w:cstheme="minorHAnsi"/>
                <w:kern w:val="0"/>
                <w:sz w:val="16"/>
                <w:szCs w:val="16"/>
                <w14:ligatures w14:val="none"/>
              </w:rPr>
              <w:t>12.9</w:t>
            </w:r>
            <w:r w:rsidRPr="001F49E7">
              <w:rPr>
                <w:rFonts w:eastAsia="Times New Roman" w:cstheme="minorHAnsi"/>
                <w:kern w:val="0"/>
                <w:sz w:val="16"/>
                <w:szCs w:val="16"/>
                <w14:ligatures w14:val="none"/>
              </w:rPr>
              <w:t>%)</w:t>
            </w:r>
          </w:p>
          <w:p w14:paraId="394A80F2" w14:textId="2D9FAA3F" w:rsidR="007B584B" w:rsidRPr="001F49E7" w:rsidRDefault="007B584B"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MHO: 3 (</w:t>
            </w:r>
            <w:r w:rsidR="00005D8C" w:rsidRPr="001F49E7">
              <w:rPr>
                <w:rFonts w:eastAsia="Times New Roman" w:cstheme="minorHAnsi"/>
                <w:kern w:val="0"/>
                <w:sz w:val="16"/>
                <w:szCs w:val="16"/>
                <w14:ligatures w14:val="none"/>
              </w:rPr>
              <w:t>6.3</w:t>
            </w:r>
            <w:r w:rsidRPr="001F49E7">
              <w:rPr>
                <w:rFonts w:eastAsia="Times New Roman" w:cstheme="minorHAnsi"/>
                <w:kern w:val="0"/>
                <w:sz w:val="16"/>
                <w:szCs w:val="16"/>
                <w14:ligatures w14:val="none"/>
              </w:rPr>
              <w:t>%)</w:t>
            </w:r>
          </w:p>
        </w:tc>
      </w:tr>
      <w:tr w:rsidR="000B1E20" w:rsidRPr="001F49E7" w14:paraId="2F2783A5" w14:textId="77777777" w:rsidTr="000B1E20">
        <w:trPr>
          <w:trHeight w:val="315"/>
        </w:trPr>
        <w:tc>
          <w:tcPr>
            <w:tcW w:w="1700" w:type="dxa"/>
            <w:shd w:val="clear" w:color="auto" w:fill="FFFFFF"/>
            <w:tcMar>
              <w:top w:w="30" w:type="dxa"/>
              <w:left w:w="45" w:type="dxa"/>
              <w:bottom w:w="30" w:type="dxa"/>
              <w:right w:w="45" w:type="dxa"/>
            </w:tcMar>
            <w:vAlign w:val="center"/>
          </w:tcPr>
          <w:p w14:paraId="6674333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Sahebkar 2019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JjT2hE5e","properties":{"unsorted":false,"formattedCitation":"(12)","plainCitation":"(12)","noteIndex":0},"citationItems":[{"id":234,"uris":["http://zotero.org/users/local/SBvLfXY8/items/IGNVSUBP"],"itemData":{"id":234,"type":"article-journal","abstract":"BACKGROUND: To investigate the geographical distribution of physical activity (PA) prevalence among adults aged 15-64 years old across Iran provinces using  geographic maps. METHODS: Data from 4 consecutive national surveys conducted  between 2007 and 2010 were pooled to determine the geographical distribution.  Prevalence of low PA with 95% confidence interval was estimated by  sociodemographic subpopulations over provinces using complex survey design.  RESULTS: In total, 119,560 participants (49.9% females) were included in the  analyses. The mean (SD) age of participants was 39.5 (14.3) years. The prevalence  of the low PA in the pooled 2007-2010 was 35.8% (95% confidence interval,  34.1-37.6). The 3 provinces with the highest prevalence of low PA were Sistan and  Baluchestan, Yazd, and Hormozgan. The results of hot spot analysis showed that  the Kerman province was a hot spot, and Ilam, Kermanshah, Hamedan, and Markazi  were cold spots for low PA. Ilam, Kohgiluyeh and Boyer-Ahmad, and Mazandaran had  the highest total PA volume (metabolic equivalent minutes per week). Hot spot  analysis showed that Ilam and Khuzestan provinces were hot spots for the total PA  volume. CONCLUSIONS: The regions with low and high PA are predominately situated  in the near center/southeast and west, respectively.","container-title":"Journal of physical activity &amp; health","DOI":"10.1123/jpah.2019-0053","ISSN":"1543-5474 1543-3080","issue":"12","journalAbbreviation":"J Phys Act Health","language":"eng","page":"1071-1077","PMID":"31541069","publisher-place":"United States","title":"Geographical Patterning of Physical Activity Prevalence in Iran: Spatial Analysis of 4 Pooled National Health Surveys Among 119,560 Adults.","volume":"16","author":[{"family":"Sahebkar","given":"Mohammad"},{"family":"Heidarian Miri","given":"Hamid"},{"family":"Noormohammadpour","given":"Pardis"},{"family":"Tiyuri","given":"Amir"},{"family":"Pakzad","given":"Reza"},{"family":"Mansournia","given":"Nasrin"},{"family":"Heidari","given":"Zahra"},{"family":"Mansournia","given":"Mohammad Ali"},{"family":"Stamatakis","given":"Emmanuel"}],"issued":{"date-parts":[["2019",12,1]]}}}],"schema":"https://github.com/citation-style-language/schema/raw/master/csl-citation.json"}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(12)</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2DED92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GPAQ </w:t>
            </w:r>
          </w:p>
        </w:tc>
        <w:tc>
          <w:tcPr>
            <w:tcW w:w="1330" w:type="dxa"/>
            <w:shd w:val="clear" w:color="auto" w:fill="FFFFFF"/>
            <w:tcMar>
              <w:top w:w="30" w:type="dxa"/>
              <w:left w:w="45" w:type="dxa"/>
              <w:bottom w:w="30" w:type="dxa"/>
              <w:right w:w="45" w:type="dxa"/>
            </w:tcMar>
            <w:vAlign w:val="center"/>
          </w:tcPr>
          <w:p w14:paraId="0A3D317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44291 (37.04%)</w:t>
            </w:r>
          </w:p>
        </w:tc>
        <w:tc>
          <w:tcPr>
            <w:tcW w:w="1238" w:type="dxa"/>
            <w:shd w:val="clear" w:color="auto" w:fill="FFFFFF"/>
            <w:tcMar>
              <w:top w:w="30" w:type="dxa"/>
              <w:left w:w="45" w:type="dxa"/>
              <w:bottom w:w="30" w:type="dxa"/>
              <w:right w:w="45" w:type="dxa"/>
            </w:tcMar>
            <w:vAlign w:val="center"/>
          </w:tcPr>
          <w:p w14:paraId="689E7D1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28696 (24.00%)</w:t>
            </w:r>
          </w:p>
        </w:tc>
        <w:tc>
          <w:tcPr>
            <w:tcW w:w="1240" w:type="dxa"/>
            <w:shd w:val="clear" w:color="auto" w:fill="FFFFFF"/>
            <w:tcMar>
              <w:top w:w="30" w:type="dxa"/>
              <w:left w:w="45" w:type="dxa"/>
              <w:bottom w:w="30" w:type="dxa"/>
              <w:right w:w="45" w:type="dxa"/>
            </w:tcMar>
            <w:vAlign w:val="center"/>
          </w:tcPr>
          <w:p w14:paraId="2331A84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46586 (38.96%)</w:t>
            </w:r>
          </w:p>
        </w:tc>
        <w:tc>
          <w:tcPr>
            <w:tcW w:w="1521" w:type="dxa"/>
            <w:shd w:val="clear" w:color="auto" w:fill="FFFFFF"/>
            <w:tcMar>
              <w:top w:w="30" w:type="dxa"/>
              <w:left w:w="45" w:type="dxa"/>
              <w:bottom w:w="30" w:type="dxa"/>
              <w:right w:w="45" w:type="dxa"/>
            </w:tcMar>
            <w:vAlign w:val="center"/>
          </w:tcPr>
          <w:p w14:paraId="4312A71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3DA095F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28066 (46.94%); </w:t>
            </w:r>
          </w:p>
          <w:p w14:paraId="54A4F2B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16225 (27.14%)</w:t>
            </w:r>
          </w:p>
        </w:tc>
        <w:tc>
          <w:tcPr>
            <w:tcW w:w="1975" w:type="dxa"/>
            <w:shd w:val="clear" w:color="auto" w:fill="FFFFFF"/>
            <w:tcMar>
              <w:top w:w="30" w:type="dxa"/>
              <w:left w:w="45" w:type="dxa"/>
              <w:bottom w:w="30" w:type="dxa"/>
              <w:right w:w="45" w:type="dxa"/>
            </w:tcMar>
            <w:vAlign w:val="center"/>
          </w:tcPr>
          <w:p w14:paraId="56FFA70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15972 (26.71%); </w:t>
            </w:r>
          </w:p>
          <w:p w14:paraId="28B8786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12724 (21.28%)</w:t>
            </w:r>
          </w:p>
        </w:tc>
        <w:tc>
          <w:tcPr>
            <w:tcW w:w="2317" w:type="dxa"/>
            <w:shd w:val="clear" w:color="auto" w:fill="FFFFFF"/>
            <w:tcMar>
              <w:top w:w="30" w:type="dxa"/>
              <w:left w:w="45" w:type="dxa"/>
              <w:bottom w:w="30" w:type="dxa"/>
              <w:right w:w="45" w:type="dxa"/>
            </w:tcMar>
            <w:vAlign w:val="center"/>
          </w:tcPr>
          <w:p w14:paraId="47EF3F9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15751 (26.34%); </w:t>
            </w:r>
          </w:p>
          <w:p w14:paraId="406649B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30835 (51.58%)</w:t>
            </w:r>
          </w:p>
        </w:tc>
      </w:tr>
      <w:tr w:rsidR="000B1E20" w:rsidRPr="001F49E7" w14:paraId="18B1DDF5" w14:textId="77777777" w:rsidTr="000B1E20">
        <w:trPr>
          <w:trHeight w:val="315"/>
        </w:trPr>
        <w:tc>
          <w:tcPr>
            <w:tcW w:w="1700" w:type="dxa"/>
            <w:shd w:val="clear" w:color="auto" w:fill="FFFFFF"/>
            <w:tcMar>
              <w:top w:w="30" w:type="dxa"/>
              <w:left w:w="45" w:type="dxa"/>
              <w:bottom w:w="30" w:type="dxa"/>
              <w:right w:w="45" w:type="dxa"/>
            </w:tcMar>
            <w:vAlign w:val="center"/>
            <w:hideMark/>
          </w:tcPr>
          <w:p w14:paraId="78354549" w14:textId="77CD1424"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B. Cheraghian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{"citationID":"dh59L1qX","properties":{"formattedCitation":"(13)","plainCitation":"(13)","noteIndex":0},"citationItems":[{"id":"ulROLKvl/G8PK6kjs","uris":["http://zotero.org/users/16072611/items/MV2D7RFS"],"itemData":{"id":463,"type":"article-journal","abstract":"BACKGROUND: Non-communicable diseases (NCDs) are the leading cause of death worldwide, with a disproportionally rising burden among low- and middle-income populations. While preventable risk factors highly contribute to this burden, population-based studies assessing these factors and the health status of these populations, are scarce.\nMETHODS: The Khuzestan Comprehensive Health Study (KCHS)-a cross sectional study-was conducted between 2016-2019, including 30,506 Iranians aged 20 to 65 years, from 27 counties of Khuzestan province, southwest of Iran. KCHS aimed to provide a comprehensive health overview by investigating the prevalence and risk factors of NCDs and psychological disorders, along with viral hepatitis as a common communicable disease. Upon registration, 15 mL of blood and anthropometric measurements were obtained from participants. Afterwards, several interviewer-administered questionnaires were completed to gather data on demographics, socioeconomic status, sleep quality, physical activity, lifestyle habits, nutrition, and medical history.\nRESULTS: The mean ± SD age of participants was 41.7 ± 11.9 years. The majority were female (64.3%), of the Arab ethnicity (49%), married (83%), and urban residents (73.1%). About 70% had an educational level below high school diploma. Overall, 10.8%, 5.2%, and 2.8% of participants had used cigarettes, hookah, and drugs at least once in their lifetime, respectively. While body mass index and serum cholesterol levels were higher in females, blood pressure was higher in males (P&lt;0.001).\nCONCLUSION: KCHS assessed many aspects of health in the Khuzestan province. In addition to develop a biobank along with a comprehensive dataset, KCHS will serve as a valuable infrastructure for future research.","container-title":"Archives of Iranian Medicine","DOI":"10.34172/aim.2020.82","ISSN":"1735-3947","issue":"10","journalAbbreviation":"Arch Iran Med","language":"eng","page":"653-657","PMID":"33107305","source":"PubMed","title":"The Khuzestan Comprehensive Health Study (KCHS): Methodology and Profile of Participants","title-short":"The Khuzestan Comprehensive Health Study (KCHS)","volume":"23","author":[{"family":"Cheraghian","given":"Bahman"},{"family":"Sharafkhah","given":"Maryam"},{"family":"Mohammadi","given":"Zahra"},{"family":"Hariri","given":"Sanam"},{"family":"Rahimi","given":"Zahra"},{"family":"Danehchin","given":"Leila"},{"family":"Paridar","given":"Yousef"},{"family":"Abolnejadian","given":"Farhad"},{"family":"Noori","given":"Mohammad"},{"family":"Mard","given":"Seyed Ali"},{"family":"Eghtesad","given":"Sareh"},{"family":"Shayanrad","given":"Amaneh"},{"family":"Etemadi","given":"Arash"},{"family":"Ghanbari","given":"Reza"},{"family":"Hashemi","given":"Farnaz"},{"family":"Masoudi","given":"Sahar"},{"family":"Shayesteh","given":"Ali Akbar"},{"family":"Poustchi","given":"Hossein"}],"issued":{"date-parts":[["2020",10,1]]}}}],"schema":"https://github.com/citation-style-language/schema/raw/master/csl-citation.json"}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(13)</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2EAFF70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2FA3DA6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9,615 (31.1%)</w:t>
            </w:r>
          </w:p>
        </w:tc>
        <w:tc>
          <w:tcPr>
            <w:tcW w:w="1238" w:type="dxa"/>
            <w:shd w:val="clear" w:color="auto" w:fill="FFFFFF"/>
            <w:tcMar>
              <w:top w:w="30" w:type="dxa"/>
              <w:left w:w="45" w:type="dxa"/>
              <w:bottom w:w="30" w:type="dxa"/>
              <w:right w:w="45" w:type="dxa"/>
            </w:tcMar>
            <w:vAlign w:val="center"/>
          </w:tcPr>
          <w:p w14:paraId="3BFD55C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13,060 (42.9%)</w:t>
            </w:r>
          </w:p>
        </w:tc>
        <w:tc>
          <w:tcPr>
            <w:tcW w:w="1240" w:type="dxa"/>
            <w:shd w:val="clear" w:color="auto" w:fill="FFFFFF"/>
            <w:tcMar>
              <w:top w:w="30" w:type="dxa"/>
              <w:left w:w="45" w:type="dxa"/>
              <w:bottom w:w="30" w:type="dxa"/>
              <w:right w:w="45" w:type="dxa"/>
            </w:tcMar>
            <w:vAlign w:val="center"/>
          </w:tcPr>
          <w:p w14:paraId="00CFFF3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7,914 (26.0%)</w:t>
            </w:r>
          </w:p>
        </w:tc>
        <w:tc>
          <w:tcPr>
            <w:tcW w:w="1521" w:type="dxa"/>
            <w:shd w:val="clear" w:color="auto" w:fill="FFFFFF"/>
            <w:tcMar>
              <w:top w:w="30" w:type="dxa"/>
              <w:left w:w="45" w:type="dxa"/>
              <w:bottom w:w="30" w:type="dxa"/>
              <w:right w:w="45" w:type="dxa"/>
            </w:tcMar>
            <w:vAlign w:val="center"/>
          </w:tcPr>
          <w:p w14:paraId="467ED7F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0B3009A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4,686 (43.1%); </w:t>
            </w:r>
            <w:r w:rsidRPr="001F49E7">
              <w:rPr>
                <w:rFonts w:eastAsia="Times New Roman" w:cstheme="minorHAnsi"/>
                <w:kern w:val="0"/>
                <w:sz w:val="16"/>
                <w:szCs w:val="16"/>
                <w14:ligatures w14:val="none"/>
              </w:rPr>
              <w:br/>
              <w:t>Female: 4,763 (24.3%)</w:t>
            </w:r>
          </w:p>
        </w:tc>
        <w:tc>
          <w:tcPr>
            <w:tcW w:w="1975" w:type="dxa"/>
            <w:shd w:val="clear" w:color="auto" w:fill="FFFFFF"/>
            <w:tcMar>
              <w:top w:w="30" w:type="dxa"/>
              <w:left w:w="45" w:type="dxa"/>
              <w:bottom w:w="30" w:type="dxa"/>
              <w:right w:w="45" w:type="dxa"/>
            </w:tcMar>
            <w:vAlign w:val="center"/>
          </w:tcPr>
          <w:p w14:paraId="4CEF38B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3,445 (31.7%); </w:t>
            </w:r>
            <w:r w:rsidRPr="001F49E7">
              <w:rPr>
                <w:rFonts w:eastAsia="Times New Roman" w:cstheme="minorHAnsi"/>
                <w:kern w:val="0"/>
                <w:sz w:val="16"/>
                <w:szCs w:val="16"/>
                <w14:ligatures w14:val="none"/>
              </w:rPr>
              <w:br/>
              <w:t>Female: 9,615 (49.2%)</w:t>
            </w:r>
          </w:p>
        </w:tc>
        <w:tc>
          <w:tcPr>
            <w:tcW w:w="2317" w:type="dxa"/>
            <w:shd w:val="clear" w:color="auto" w:fill="FFFFFF"/>
            <w:tcMar>
              <w:top w:w="30" w:type="dxa"/>
              <w:left w:w="45" w:type="dxa"/>
              <w:bottom w:w="30" w:type="dxa"/>
              <w:right w:w="45" w:type="dxa"/>
            </w:tcMar>
            <w:vAlign w:val="center"/>
          </w:tcPr>
          <w:p w14:paraId="105E9CC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2,732 (25.2%); </w:t>
            </w:r>
            <w:r w:rsidRPr="001F49E7">
              <w:rPr>
                <w:rFonts w:eastAsia="Times New Roman" w:cstheme="minorHAnsi"/>
                <w:kern w:val="0"/>
                <w:sz w:val="16"/>
                <w:szCs w:val="16"/>
                <w14:ligatures w14:val="none"/>
              </w:rPr>
              <w:br/>
              <w:t>Female: 5,182 (26.5%)</w:t>
            </w:r>
          </w:p>
        </w:tc>
      </w:tr>
      <w:tr w:rsidR="000B1E20" w:rsidRPr="001F49E7" w14:paraId="72EDACB3" w14:textId="77777777" w:rsidTr="000B1E20">
        <w:trPr>
          <w:trHeight w:val="315"/>
        </w:trPr>
        <w:tc>
          <w:tcPr>
            <w:tcW w:w="1700" w:type="dxa"/>
            <w:shd w:val="clear" w:color="auto" w:fill="FFFFFF"/>
            <w:tcMar>
              <w:top w:w="30" w:type="dxa"/>
              <w:left w:w="45" w:type="dxa"/>
              <w:bottom w:w="30" w:type="dxa"/>
              <w:right w:w="45" w:type="dxa"/>
            </w:tcMar>
            <w:vAlign w:val="center"/>
            <w:hideMark/>
          </w:tcPr>
          <w:p w14:paraId="69C09A4B" w14:textId="27DC1A20"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H. Najafipour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RbH3QDb1","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(14)</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CEC0E7B" w14:textId="77777777" w:rsidR="000B1E20" w:rsidRPr="001F49E7" w:rsidRDefault="000B1E20" w:rsidP="001F49E7">
            <w:pPr>
              <w:spacing w:after="0" w:line="240" w:lineRule="auto"/>
              <w:jc w:val="center"/>
              <w:rPr>
                <w:rFonts w:eastAsia="Times New Roman" w:cstheme="minorHAnsi"/>
                <w:kern w:val="0"/>
                <w:sz w:val="16"/>
                <w:szCs w:val="16"/>
                <w:vertAlign w:val="superscript"/>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26F4595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4,083 (46.9%)</w:t>
            </w:r>
          </w:p>
        </w:tc>
        <w:tc>
          <w:tcPr>
            <w:tcW w:w="1238" w:type="dxa"/>
            <w:shd w:val="clear" w:color="auto" w:fill="FFFFFF"/>
            <w:tcMar>
              <w:top w:w="30" w:type="dxa"/>
              <w:left w:w="45" w:type="dxa"/>
              <w:bottom w:w="30" w:type="dxa"/>
              <w:right w:w="45" w:type="dxa"/>
            </w:tcMar>
            <w:vAlign w:val="center"/>
          </w:tcPr>
          <w:p w14:paraId="0714B54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3,278 (37.7%)</w:t>
            </w:r>
          </w:p>
        </w:tc>
        <w:tc>
          <w:tcPr>
            <w:tcW w:w="1240" w:type="dxa"/>
            <w:shd w:val="clear" w:color="auto" w:fill="FFFFFF"/>
            <w:tcMar>
              <w:top w:w="30" w:type="dxa"/>
              <w:left w:w="45" w:type="dxa"/>
              <w:bottom w:w="30" w:type="dxa"/>
              <w:right w:w="45" w:type="dxa"/>
            </w:tcMar>
            <w:vAlign w:val="center"/>
          </w:tcPr>
          <w:p w14:paraId="407B27A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1,344 (15.4%)</w:t>
            </w:r>
          </w:p>
        </w:tc>
        <w:tc>
          <w:tcPr>
            <w:tcW w:w="1521" w:type="dxa"/>
            <w:shd w:val="clear" w:color="auto" w:fill="FFFFFF"/>
            <w:tcMar>
              <w:top w:w="30" w:type="dxa"/>
              <w:left w:w="45" w:type="dxa"/>
              <w:bottom w:w="30" w:type="dxa"/>
              <w:right w:w="45" w:type="dxa"/>
            </w:tcMar>
            <w:vAlign w:val="center"/>
          </w:tcPr>
          <w:p w14:paraId="4FAC263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1A4357A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2485D68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3D8358A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7A5EAF40" w14:textId="77777777" w:rsidTr="000B1E20">
        <w:trPr>
          <w:trHeight w:val="315"/>
        </w:trPr>
        <w:tc>
          <w:tcPr>
            <w:tcW w:w="1700" w:type="dxa"/>
            <w:shd w:val="clear" w:color="auto" w:fill="FFFFFF"/>
            <w:tcMar>
              <w:top w:w="30" w:type="dxa"/>
              <w:left w:w="45" w:type="dxa"/>
              <w:bottom w:w="30" w:type="dxa"/>
              <w:right w:w="45" w:type="dxa"/>
            </w:tcMar>
            <w:vAlign w:val="center"/>
            <w:hideMark/>
          </w:tcPr>
          <w:p w14:paraId="6B93EF73" w14:textId="69AB36F1"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Z. Abbaspoor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blzGy1NI","properties":{"formattedCitation":"(15)","plainCitation":"(15)","noteIndex":0},"citationItems":[{"id":"ulROLKvl/hwLzGBhV","uris":["http://zotero.org/users/16072611/items/DH7ZU5AQ","http://zotero.org/users/16072611/items/6RHSA6TM","http://zotero.org/users/16072611/items/IW7MAZHV","http://zotero.org/users/16072611/items/QT4LT4IW"],"itemData":{"id":529,"type":"article-journal","container-title":"Family Medicine &amp; Primary Care Review","DOI":"10.5114/fmpcr.2020.92499","ISSN":"1734-3402","issue":"1","journalAbbreviation":"Family Medicine &amp; Primary Care Review","page":"7-12","title":"The prevalence of determinants of obesity, metabolic syndrome and overweight in middle-aged urban women living in a megacity","volume":"22","author":[{"family":"Abbaspoor","given":"Zahra"},{"family":"Miryan","given":"Mahsa"},{"family":"Haghighi</w:instrText>
            </w:r>
            <w:r w:rsidR="00207711" w:rsidRPr="001F49E7">
              <w:rPr>
                <w:rFonts w:ascii="Cambria Math" w:eastAsia="Times New Roman" w:hAnsi="Cambria Math" w:cs="Cambria Math"/>
                <w:color w:val="000000" w:themeColor="text1"/>
                <w:kern w:val="0"/>
                <w:sz w:val="16"/>
                <w:szCs w:val="16"/>
                <w14:ligatures w14:val="none"/>
              </w:rPr>
              <w:instrText>‐</w:instrText>
            </w:r>
            <w:r w:rsidR="00207711" w:rsidRPr="001F49E7">
              <w:rPr>
                <w:rFonts w:eastAsia="Times New Roman" w:cstheme="minorHAnsi"/>
                <w:color w:val="000000" w:themeColor="text1"/>
                <w:kern w:val="0"/>
                <w:sz w:val="16"/>
                <w:szCs w:val="16"/>
                <w14:ligatures w14:val="none"/>
              </w:rPr>
              <w:instrText xml:space="preserve">Zadeh","given":"Mohamad"},{"family":"Rashidi","given":"Homeira"},{"family":"Sharifipoor","given":"Frozan"},{"family":"Amani","given":"Reza"}],"issued":{"date-parts":[["2020"]]}}}],"schema":"https://github.com/citation-style-language/schema/raw/master/csl-citation.json"}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(15)</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2556041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6FE8B7C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38" w:type="dxa"/>
            <w:shd w:val="clear" w:color="auto" w:fill="FFFFFF"/>
            <w:tcMar>
              <w:top w:w="30" w:type="dxa"/>
              <w:left w:w="45" w:type="dxa"/>
              <w:bottom w:w="30" w:type="dxa"/>
              <w:right w:w="45" w:type="dxa"/>
            </w:tcMar>
            <w:vAlign w:val="center"/>
          </w:tcPr>
          <w:p w14:paraId="4DDE648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67C4050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6601EA4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 categories</w:t>
            </w:r>
          </w:p>
        </w:tc>
        <w:tc>
          <w:tcPr>
            <w:tcW w:w="2287" w:type="dxa"/>
            <w:shd w:val="clear" w:color="auto" w:fill="FFFFFF"/>
            <w:tcMar>
              <w:top w:w="30" w:type="dxa"/>
              <w:left w:w="45" w:type="dxa"/>
              <w:bottom w:w="30" w:type="dxa"/>
              <w:right w:w="45" w:type="dxa"/>
            </w:tcMar>
            <w:vAlign w:val="center"/>
          </w:tcPr>
          <w:p w14:paraId="7284C47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Normal: 99 (45.4%);</w:t>
            </w:r>
            <w:r w:rsidRPr="001F49E7">
              <w:rPr>
                <w:rFonts w:eastAsia="Times New Roman" w:cstheme="minorHAnsi"/>
                <w:kern w:val="0"/>
                <w:sz w:val="16"/>
                <w:szCs w:val="16"/>
                <w14:ligatures w14:val="none"/>
              </w:rPr>
              <w:br/>
              <w:t>Overweight: 105 (48.2%);</w:t>
            </w:r>
            <w:r w:rsidRPr="001F49E7">
              <w:rPr>
                <w:rFonts w:eastAsia="Times New Roman" w:cstheme="minorHAnsi"/>
                <w:kern w:val="0"/>
                <w:sz w:val="16"/>
                <w:szCs w:val="16"/>
                <w14:ligatures w14:val="none"/>
              </w:rPr>
              <w:br/>
              <w:t>Obese: 65 (39.6)</w:t>
            </w:r>
          </w:p>
        </w:tc>
        <w:tc>
          <w:tcPr>
            <w:tcW w:w="1975" w:type="dxa"/>
            <w:shd w:val="clear" w:color="auto" w:fill="FFFFFF"/>
            <w:tcMar>
              <w:top w:w="30" w:type="dxa"/>
              <w:left w:w="45" w:type="dxa"/>
              <w:bottom w:w="30" w:type="dxa"/>
              <w:right w:w="45" w:type="dxa"/>
            </w:tcMar>
            <w:vAlign w:val="center"/>
          </w:tcPr>
          <w:p w14:paraId="6A71BE9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Normal: 72 (33.0%);</w:t>
            </w:r>
            <w:r w:rsidRPr="001F49E7">
              <w:rPr>
                <w:rFonts w:eastAsia="Times New Roman" w:cstheme="minorHAnsi"/>
                <w:kern w:val="0"/>
                <w:sz w:val="16"/>
                <w:szCs w:val="16"/>
                <w14:ligatures w14:val="none"/>
              </w:rPr>
              <w:br/>
              <w:t>Overweight: 78 (35.8%);</w:t>
            </w:r>
            <w:r w:rsidRPr="001F49E7">
              <w:rPr>
                <w:rFonts w:eastAsia="Times New Roman" w:cstheme="minorHAnsi"/>
                <w:kern w:val="0"/>
                <w:sz w:val="16"/>
                <w:szCs w:val="16"/>
                <w14:ligatures w14:val="none"/>
              </w:rPr>
              <w:br/>
              <w:t>Obese: 68 (41.5%)</w:t>
            </w:r>
          </w:p>
        </w:tc>
        <w:tc>
          <w:tcPr>
            <w:tcW w:w="2317" w:type="dxa"/>
            <w:shd w:val="clear" w:color="auto" w:fill="FFFFFF"/>
            <w:tcMar>
              <w:top w:w="30" w:type="dxa"/>
              <w:left w:w="45" w:type="dxa"/>
              <w:bottom w:w="30" w:type="dxa"/>
              <w:right w:w="45" w:type="dxa"/>
            </w:tcMar>
            <w:vAlign w:val="center"/>
          </w:tcPr>
          <w:p w14:paraId="28A91A3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Normal: 47 (21.6%);</w:t>
            </w:r>
            <w:r w:rsidRPr="001F49E7">
              <w:rPr>
                <w:rFonts w:eastAsia="Times New Roman" w:cstheme="minorHAnsi"/>
                <w:kern w:val="0"/>
                <w:sz w:val="16"/>
                <w:szCs w:val="16"/>
                <w14:ligatures w14:val="none"/>
              </w:rPr>
              <w:br/>
              <w:t>Overweight: 35 (16.1%);</w:t>
            </w:r>
            <w:r w:rsidRPr="001F49E7">
              <w:rPr>
                <w:rFonts w:eastAsia="Times New Roman" w:cstheme="minorHAnsi"/>
                <w:kern w:val="0"/>
                <w:sz w:val="16"/>
                <w:szCs w:val="16"/>
                <w14:ligatures w14:val="none"/>
              </w:rPr>
              <w:br/>
              <w:t>Obese: 31 (18.9%)</w:t>
            </w:r>
          </w:p>
        </w:tc>
      </w:tr>
      <w:tr w:rsidR="000B1E20" w:rsidRPr="001F49E7" w14:paraId="491E2EB5" w14:textId="77777777" w:rsidTr="000B1E20">
        <w:trPr>
          <w:trHeight w:val="315"/>
        </w:trPr>
        <w:tc>
          <w:tcPr>
            <w:tcW w:w="1700" w:type="dxa"/>
            <w:shd w:val="clear" w:color="auto" w:fill="FFFFFF"/>
            <w:tcMar>
              <w:top w:w="30" w:type="dxa"/>
              <w:left w:w="45" w:type="dxa"/>
              <w:bottom w:w="30" w:type="dxa"/>
              <w:right w:w="45" w:type="dxa"/>
            </w:tcMar>
            <w:vAlign w:val="center"/>
            <w:hideMark/>
          </w:tcPr>
          <w:p w14:paraId="58F139C4" w14:textId="523A15F6"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S. Bashirian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QBhxMpGo","properties":{"formattedCitation":"(16)","plainCitation":"(16)","noteIndex":0},"citationItems":[{"id":"ulROLKvl/g5NbywSw","uris":["http://zotero.org/users/16072611/items/SL8IC8EM","http://zotero.org/users/16072611/items/N4XHMV7K"],"itemData":{"id":511,"type":"article-journal","container-title":"International Quarterly of Community Health Education","DOI":"10.1177/0272684X19858897","ISSN":"1541-3519","issue":"2","journalAbbreviation":"Int Q Community Health Educ","language":"eng","page":"151-158","PMID":"31242087","source":"PubMed","title":"Effect of an Educational Intervention Based on the BASNEF Model on Promoting Physical Activity Among Postpartum Women","volume":"40","author":[{"family":"Bashirian","given":"Saeed"},{"family":"Ouji","given":"Zohreh"},{"family":"Afshari","given":"Maryam"},{"family":"Barati","given":"Majid"},{"family":"Heydarimoghadam","given":"Rashid"},{"family":"Soltanian","given":"Alireza"}],"issued":{"date-parts":[["2020",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(16)</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3941FD1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3397B3A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Before intervention</w:t>
            </w:r>
            <w:r w:rsidRPr="001F49E7">
              <w:rPr>
                <w:rFonts w:eastAsia="Times New Roman" w:cstheme="minorHAnsi"/>
                <w:kern w:val="0"/>
                <w:sz w:val="16"/>
                <w:szCs w:val="16"/>
                <w14:ligatures w14:val="none"/>
              </w:rPr>
              <w:br/>
              <w:t>65 (95.5%);</w:t>
            </w:r>
            <w:r w:rsidRPr="001F49E7">
              <w:rPr>
                <w:rFonts w:eastAsia="Times New Roman" w:cstheme="minorHAnsi"/>
                <w:kern w:val="0"/>
                <w:sz w:val="16"/>
                <w:szCs w:val="16"/>
                <w14:ligatures w14:val="none"/>
              </w:rPr>
              <w:br/>
              <w:t>Six weeks after intervention</w:t>
            </w:r>
            <w:r w:rsidRPr="001F49E7">
              <w:rPr>
                <w:rFonts w:eastAsia="Times New Roman" w:cstheme="minorHAnsi"/>
                <w:kern w:val="0"/>
                <w:sz w:val="16"/>
                <w:szCs w:val="16"/>
                <w14:ligatures w14:val="none"/>
              </w:rPr>
              <w:br/>
              <w:t>58 (85.2%)</w:t>
            </w:r>
          </w:p>
        </w:tc>
        <w:tc>
          <w:tcPr>
            <w:tcW w:w="1238" w:type="dxa"/>
            <w:shd w:val="clear" w:color="auto" w:fill="FFFFFF"/>
            <w:tcMar>
              <w:top w:w="30" w:type="dxa"/>
              <w:left w:w="45" w:type="dxa"/>
              <w:bottom w:w="30" w:type="dxa"/>
              <w:right w:w="45" w:type="dxa"/>
            </w:tcMar>
            <w:vAlign w:val="center"/>
          </w:tcPr>
          <w:p w14:paraId="5DD4B68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446B729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Before intervention</w:t>
            </w:r>
            <w:r w:rsidRPr="001F49E7">
              <w:rPr>
                <w:rFonts w:eastAsia="Times New Roman" w:cstheme="minorHAnsi"/>
                <w:kern w:val="0"/>
                <w:sz w:val="16"/>
                <w:szCs w:val="16"/>
                <w14:ligatures w14:val="none"/>
              </w:rPr>
              <w:br/>
              <w:t>3 (4.4%);</w:t>
            </w:r>
            <w:r w:rsidRPr="001F49E7">
              <w:rPr>
                <w:rFonts w:eastAsia="Times New Roman" w:cstheme="minorHAnsi"/>
                <w:kern w:val="0"/>
                <w:sz w:val="16"/>
                <w:szCs w:val="16"/>
                <w14:ligatures w14:val="none"/>
              </w:rPr>
              <w:br/>
              <w:t>Six weeks after intervention</w:t>
            </w:r>
            <w:r w:rsidRPr="001F49E7">
              <w:rPr>
                <w:rFonts w:eastAsia="Times New Roman" w:cstheme="minorHAnsi"/>
                <w:kern w:val="0"/>
                <w:sz w:val="16"/>
                <w:szCs w:val="16"/>
                <w14:ligatures w14:val="none"/>
              </w:rPr>
              <w:br/>
              <w:t>10 (14.7%)</w:t>
            </w:r>
          </w:p>
        </w:tc>
        <w:tc>
          <w:tcPr>
            <w:tcW w:w="1521" w:type="dxa"/>
            <w:shd w:val="clear" w:color="auto" w:fill="FFFFFF"/>
            <w:tcMar>
              <w:top w:w="30" w:type="dxa"/>
              <w:left w:w="45" w:type="dxa"/>
              <w:bottom w:w="30" w:type="dxa"/>
              <w:right w:w="45" w:type="dxa"/>
            </w:tcMar>
            <w:vAlign w:val="center"/>
          </w:tcPr>
          <w:p w14:paraId="69172BD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38F9F16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67AE165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1C9CDED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13569FC8" w14:textId="77777777" w:rsidTr="000B1E20">
        <w:trPr>
          <w:trHeight w:val="315"/>
        </w:trPr>
        <w:tc>
          <w:tcPr>
            <w:tcW w:w="1700" w:type="dxa"/>
            <w:shd w:val="clear" w:color="auto" w:fill="FFFFFF"/>
            <w:tcMar>
              <w:top w:w="30" w:type="dxa"/>
              <w:left w:w="45" w:type="dxa"/>
              <w:bottom w:w="30" w:type="dxa"/>
              <w:right w:w="45" w:type="dxa"/>
            </w:tcMar>
            <w:vAlign w:val="center"/>
            <w:hideMark/>
          </w:tcPr>
          <w:p w14:paraId="687B4095" w14:textId="6A6DA490"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A. Kamalian 2021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{"citationID":"c136s01T","properties":{"formattedCitation":"(17)","plainCitation":"(17)","noteIndex":0},"citationItems":[{"id":"ulROLKvl/KwsPezOY","uris":["http://zotero.org/users/16072611/items/NCCURUBB"],"itemData":{"id":197,"type":"article-journal","abstract":"Insufficient physical activity (IPA) caused approximately 5% of mortalities in 2017 in Iran, almost double its global average. Despite the relatively considerable burden, a knowledge gap exists regarding the trend of IPA in recent years. We described the trend of IPA prevalence utilizing the data from six rounds of STEPwise approach to risk factor Surveillance (STEPS) in Iran. We estimated the physical activity status of Iranian adults from 2006 to 2016 after adjusting for years of schooling, urbanization percentage, and wealth index. We used the spatiotemporal model to interpolate and extrapolate the IPA prevalence for the years in-between the series and from 2001 to 2006, respectively. We used the data of 177,910 participants from six STEPS surveys and found that the national prevalence of IPA had steadily increased over the course of 16 years and had almost doubled in this time period (23.1% in 2001 to 55.4% in 2016). The increase was persistent across all age and gender strata and in every province. Moreover, IPA was more prevalent among women than their male peers regardless of their age category or province of residence. The prevalence of IPA in Khuzestan (highest prevalence) was almost double compared to that in Lorestan (lowest prevalence) in 2016. The IPA prevalence increased considerably and almost doubled in 16 years among Iranian adults, particularly women. Policies need to target IPA as a high priority contributing to the burden of Non-communicable diseases.","container-title":"Scientific Reports","DOI":"10.1038/s41598-021-00252-3","ISSN":"2045-2322","issue":"1","journalAbbreviation":"Sci Rep","language":"eng","page":"21441","PMID":"34728645","PMCID":"PMC8564525","source":"PubMed","title":"A national and sub-national metaregression of the trend of insufficient physical activity among Iranian adults between 2001 and 2016","volume":"11","author":[{"family":"Kamalian","given":"Aida"},{"family":"Khosravi Shadmani","given":"Fatemeh"},{"family":"Yoosefi","given":"Moein"},{"family":"Mohajer","given":"Bahram"},{"family":"Mohebi","given":"Farnam"},{"family":"Naderimagham","given":"Shohreh"},{"family":"Rezaei","given":"Negar"},{"family":"Ghasemi","given":"Erfan"},{"family":"Rouhifard Khalilabad","given":"Mahtab"},{"family":"Hassanmirzaei","given":"Bahar"},{"family":"Selk Ghaffari","given":"Maryam"},{"family":"Khosravi","given":"Afifeh"},{"family":"Kordi","given":"Ramin"},{"family":"Farzadfar","given":"Farshad"}],"issued":{"date-parts":[["2021",11,2]]}}}],"schema":"https://github.com/citation-style-language/schema/raw/master/csl-citation.json"}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(17)</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5B6974B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GPAQ-2</w:t>
            </w:r>
          </w:p>
        </w:tc>
        <w:tc>
          <w:tcPr>
            <w:tcW w:w="1330" w:type="dxa"/>
            <w:shd w:val="clear" w:color="auto" w:fill="FFFFFF"/>
            <w:tcMar>
              <w:top w:w="30" w:type="dxa"/>
              <w:left w:w="45" w:type="dxa"/>
              <w:bottom w:w="30" w:type="dxa"/>
              <w:right w:w="45" w:type="dxa"/>
            </w:tcMar>
            <w:vAlign w:val="center"/>
          </w:tcPr>
          <w:p w14:paraId="77AF492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2001: 23.08% (20.15–26.01);</w:t>
            </w:r>
          </w:p>
          <w:p w14:paraId="1A9536C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2006: 33.91% (31.0–36.83);</w:t>
            </w:r>
          </w:p>
          <w:p w14:paraId="696253C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2011: 44.59% (41.68–47.51);</w:t>
            </w:r>
          </w:p>
          <w:p w14:paraId="7C34753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2016: 55.38% (52.45–58.3)</w:t>
            </w:r>
          </w:p>
        </w:tc>
        <w:tc>
          <w:tcPr>
            <w:tcW w:w="1238" w:type="dxa"/>
            <w:shd w:val="clear" w:color="auto" w:fill="FFFFFF"/>
            <w:tcMar>
              <w:top w:w="30" w:type="dxa"/>
              <w:left w:w="45" w:type="dxa"/>
              <w:bottom w:w="30" w:type="dxa"/>
              <w:right w:w="45" w:type="dxa"/>
            </w:tcMar>
            <w:vAlign w:val="center"/>
          </w:tcPr>
          <w:p w14:paraId="0382D31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w:t>
            </w:r>
          </w:p>
        </w:tc>
        <w:tc>
          <w:tcPr>
            <w:tcW w:w="1240" w:type="dxa"/>
            <w:shd w:val="clear" w:color="auto" w:fill="FFFFFF"/>
            <w:tcMar>
              <w:top w:w="30" w:type="dxa"/>
              <w:left w:w="45" w:type="dxa"/>
              <w:bottom w:w="30" w:type="dxa"/>
              <w:right w:w="45" w:type="dxa"/>
            </w:tcMar>
            <w:vAlign w:val="center"/>
          </w:tcPr>
          <w:p w14:paraId="4CE823A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00AC3D1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6AAFA3F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2001:</w:t>
            </w:r>
          </w:p>
          <w:p w14:paraId="6F3339E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16.21% (13.3–19.15);</w:t>
            </w:r>
          </w:p>
          <w:p w14:paraId="1B41A7D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29.94% (27.01–32.87)</w:t>
            </w:r>
          </w:p>
          <w:p w14:paraId="40D1ABD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2006:</w:t>
            </w:r>
          </w:p>
          <w:p w14:paraId="46B9454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Male: 27.04% (24.13–29.95);</w:t>
            </w:r>
          </w:p>
          <w:p w14:paraId="4CA43C5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40.79% (37.87–43.72)</w:t>
            </w:r>
          </w:p>
          <w:p w14:paraId="53AAC2B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2011:</w:t>
            </w:r>
          </w:p>
          <w:p w14:paraId="58FDF2A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37.71% (34.81–40.62);</w:t>
            </w:r>
          </w:p>
          <w:p w14:paraId="2151CAC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51.47% (48.55–54.39)</w:t>
            </w:r>
          </w:p>
          <w:p w14:paraId="59DD084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2016:</w:t>
            </w:r>
          </w:p>
          <w:p w14:paraId="0F93CA1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48.49% (45.57–51.4);</w:t>
            </w:r>
          </w:p>
          <w:p w14:paraId="33BD7C1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62.27% (59.33–65.2)</w:t>
            </w:r>
          </w:p>
        </w:tc>
        <w:tc>
          <w:tcPr>
            <w:tcW w:w="1975" w:type="dxa"/>
            <w:shd w:val="clear" w:color="auto" w:fill="FFFFFF"/>
            <w:tcMar>
              <w:top w:w="30" w:type="dxa"/>
              <w:left w:w="45" w:type="dxa"/>
              <w:bottom w:w="30" w:type="dxa"/>
              <w:right w:w="45" w:type="dxa"/>
            </w:tcMar>
            <w:vAlign w:val="center"/>
          </w:tcPr>
          <w:p w14:paraId="074EA27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w:t>
            </w:r>
          </w:p>
        </w:tc>
        <w:tc>
          <w:tcPr>
            <w:tcW w:w="2317" w:type="dxa"/>
            <w:shd w:val="clear" w:color="auto" w:fill="FFFFFF"/>
            <w:tcMar>
              <w:top w:w="30" w:type="dxa"/>
              <w:left w:w="45" w:type="dxa"/>
              <w:bottom w:w="30" w:type="dxa"/>
              <w:right w:w="45" w:type="dxa"/>
            </w:tcMar>
            <w:vAlign w:val="center"/>
          </w:tcPr>
          <w:p w14:paraId="6EBAE7A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7956B28E" w14:textId="77777777" w:rsidTr="000B1E20">
        <w:trPr>
          <w:trHeight w:val="315"/>
        </w:trPr>
        <w:tc>
          <w:tcPr>
            <w:tcW w:w="1700" w:type="dxa"/>
            <w:shd w:val="clear" w:color="auto" w:fill="FFFFFF"/>
            <w:tcMar>
              <w:top w:w="30" w:type="dxa"/>
              <w:left w:w="45" w:type="dxa"/>
              <w:bottom w:w="30" w:type="dxa"/>
              <w:right w:w="45" w:type="dxa"/>
            </w:tcMar>
            <w:vAlign w:val="center"/>
            <w:hideMark/>
          </w:tcPr>
          <w:p w14:paraId="14A82432" w14:textId="3C318BA9"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M. Mirzaei 2021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{"citationID":"Y56nhozt","properties":{"formattedCitation":"(18)","plainCitation":"(18)","noteIndex":0},"citationItems":[{"id":"ulROLKvl/EVOUpfgD","uris":["http://zotero.org/users/16072611/items/P8LS7TAX"],"itemData":{"id":479,"type":"article-journal","abstract":"BACKGROUND\nThe prevalence of hypertension (HTN) varies across countries due to differences in its related risk factors. This study aimed to investigate the prevalence of HTN and related risk factors among adults.\n\nMETHODS\nThis study was conducted on the data from the recruitment phase of Yazd Health Study. Using multi-stage random cluster sampling, 10000 adults of 20-69 years were selected. Self-reported HTN (diagnosed by a physician) was recorded in a home visit. Blood pressure (BP) was measured using a standard protocol and categorized based on the Seventh Report of the Joint National Committee on Prevention, Detection, Evaluation, and ýTreatment of High Blood Pressure (JNC-7) classification. T-test was used to examine the gender differences. Qualitative variables were presented as number (frequency). Chi-square test and bivariate logistic regression were carried out to determine the association between risk factors.\n\nRESULTS\nThe response rate was 95% (n = 9975). The prevalence of positive history of HTN was 18.5%. The mean systolic and diastolic BP was 126.5 ± 18.4 and 80.2 ± 12.5 mmHg, respectively. The prevalence of HTN was 36.0% (95%CI: 35.1-36.9). Its prevalence reduced by high-education, physical activity, lower BMI, and lack of history of diabetes mellitus (DM) (P &lt; 0.0001). HTN is less common in smokers (P &lt; 0.0001). Logistic regression analysis showed that HTN was higher among men (OR: 1.83; 95%CI: 1.64-2.03), the elderly (OR: 5.15; 95%CI: 4.20-6.31), low-educated (OR: 1.40; 95%CI: 1.17-1.67), and diabetics (OR: 1.20; 95%CI: 1.05-1.38). The prevalence of HTN was 2 times higher in obeses. HTN did not have a significant relationship with inactivity, smoking, and hypercholesterolemia.\n\nCONCLUSION\nThe prevalence of HTN was high. By identifying modifiable risk factors, health policymakers can prioritize intervention programs. It is necessary to inform younger adult groups how these factors can be managed through a healthy lifestyle and nutritional habits.","container-title":"ARYA Atherosclerosis","DOI":"10.22122/arya.v17i0.2045","ISSN":"1735-3955","issue":"1","journalAbbreviation":"ARYA Atheroscler","page":"1-9","PMID":"34703488","PMCID":"PMC8519624","source":"PubMed Central","title":"Prevalence of hypertension and related risk factors in central Iran: Results from Yazd Health Study","title-short":"Prevalence of hypertension and related risk factors in central Iran","volume":"17","author":[{"family":"Mirzaei","given":"Masoud"},{"family":"Mirzaei","given":"Mohsen"},{"family":"Gholami","given":"Somaye"},{"family":"Abolhosseini","given":"Hossein"}],"issued":{"date-parts":[["2021",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(18)</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18153B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2975DDF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5,088 (51.0%)</w:t>
            </w:r>
          </w:p>
        </w:tc>
        <w:tc>
          <w:tcPr>
            <w:tcW w:w="1238" w:type="dxa"/>
            <w:shd w:val="clear" w:color="auto" w:fill="FFFFFF"/>
            <w:tcMar>
              <w:top w:w="30" w:type="dxa"/>
              <w:left w:w="45" w:type="dxa"/>
              <w:bottom w:w="30" w:type="dxa"/>
              <w:right w:w="45" w:type="dxa"/>
            </w:tcMar>
            <w:vAlign w:val="center"/>
          </w:tcPr>
          <w:p w14:paraId="29D0121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3,949 (39.6%)</w:t>
            </w:r>
          </w:p>
        </w:tc>
        <w:tc>
          <w:tcPr>
            <w:tcW w:w="1240" w:type="dxa"/>
            <w:shd w:val="clear" w:color="auto" w:fill="FFFFFF"/>
            <w:tcMar>
              <w:top w:w="30" w:type="dxa"/>
              <w:left w:w="45" w:type="dxa"/>
              <w:bottom w:w="30" w:type="dxa"/>
              <w:right w:w="45" w:type="dxa"/>
            </w:tcMar>
            <w:vAlign w:val="center"/>
          </w:tcPr>
          <w:p w14:paraId="2E529DE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938 (9.4%)</w:t>
            </w:r>
          </w:p>
        </w:tc>
        <w:tc>
          <w:tcPr>
            <w:tcW w:w="1521" w:type="dxa"/>
            <w:shd w:val="clear" w:color="auto" w:fill="FFFFFF"/>
            <w:tcMar>
              <w:top w:w="30" w:type="dxa"/>
              <w:left w:w="45" w:type="dxa"/>
              <w:bottom w:w="30" w:type="dxa"/>
              <w:right w:w="45" w:type="dxa"/>
            </w:tcMar>
            <w:vAlign w:val="center"/>
          </w:tcPr>
          <w:p w14:paraId="32814EF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Normotensive/pre-HTN/HTN</w:t>
            </w:r>
          </w:p>
        </w:tc>
        <w:tc>
          <w:tcPr>
            <w:tcW w:w="2287" w:type="dxa"/>
            <w:shd w:val="clear" w:color="auto" w:fill="FFFFFF"/>
            <w:tcMar>
              <w:top w:w="30" w:type="dxa"/>
              <w:left w:w="45" w:type="dxa"/>
              <w:bottom w:w="30" w:type="dxa"/>
              <w:right w:w="45" w:type="dxa"/>
            </w:tcMar>
            <w:vAlign w:val="center"/>
          </w:tcPr>
          <w:p w14:paraId="25BF003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Normo+pre-HTN: 3,007 (47.09%)</w:t>
            </w:r>
          </w:p>
        </w:tc>
        <w:tc>
          <w:tcPr>
            <w:tcW w:w="1975" w:type="dxa"/>
            <w:shd w:val="clear" w:color="auto" w:fill="FFFFFF"/>
            <w:tcMar>
              <w:top w:w="30" w:type="dxa"/>
              <w:left w:w="45" w:type="dxa"/>
              <w:bottom w:w="30" w:type="dxa"/>
              <w:right w:w="45" w:type="dxa"/>
            </w:tcMar>
            <w:vAlign w:val="center"/>
          </w:tcPr>
          <w:p w14:paraId="2B79324D" w14:textId="780AE8C9" w:rsidR="000B1E20" w:rsidRPr="001F49E7" w:rsidRDefault="002C295D"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Normo+pre-HTN: </w:t>
            </w:r>
            <w:r w:rsidR="000B1E20" w:rsidRPr="001F49E7">
              <w:rPr>
                <w:rFonts w:eastAsia="Times New Roman" w:cstheme="minorHAnsi"/>
                <w:kern w:val="0"/>
                <w:sz w:val="16"/>
                <w:szCs w:val="16"/>
                <w14:ligatures w14:val="none"/>
              </w:rPr>
              <w:t>2,679 (41.9%)</w:t>
            </w:r>
          </w:p>
        </w:tc>
        <w:tc>
          <w:tcPr>
            <w:tcW w:w="2317" w:type="dxa"/>
            <w:shd w:val="clear" w:color="auto" w:fill="FFFFFF"/>
            <w:tcMar>
              <w:top w:w="30" w:type="dxa"/>
              <w:left w:w="45" w:type="dxa"/>
              <w:bottom w:w="30" w:type="dxa"/>
              <w:right w:w="45" w:type="dxa"/>
            </w:tcMar>
            <w:vAlign w:val="center"/>
          </w:tcPr>
          <w:p w14:paraId="638B7D67" w14:textId="70E1E68A" w:rsidR="000B1E20" w:rsidRPr="001F49E7" w:rsidRDefault="002C295D"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Normo+pre-HTN: </w:t>
            </w:r>
            <w:r w:rsidR="000B1E20" w:rsidRPr="001F49E7">
              <w:rPr>
                <w:rFonts w:eastAsia="Times New Roman" w:cstheme="minorHAnsi"/>
                <w:kern w:val="0"/>
                <w:sz w:val="16"/>
                <w:szCs w:val="16"/>
                <w14:ligatures w14:val="none"/>
              </w:rPr>
              <w:t>699 (10.9%)</w:t>
            </w:r>
          </w:p>
        </w:tc>
      </w:tr>
      <w:tr w:rsidR="000B1E20" w:rsidRPr="001F49E7" w14:paraId="69819E6B" w14:textId="77777777" w:rsidTr="000B1E20">
        <w:trPr>
          <w:trHeight w:val="315"/>
        </w:trPr>
        <w:tc>
          <w:tcPr>
            <w:tcW w:w="1700" w:type="dxa"/>
            <w:shd w:val="clear" w:color="auto" w:fill="FFFFFF"/>
            <w:tcMar>
              <w:top w:w="30" w:type="dxa"/>
              <w:left w:w="45" w:type="dxa"/>
              <w:bottom w:w="30" w:type="dxa"/>
              <w:right w:w="45" w:type="dxa"/>
            </w:tcMar>
            <w:vAlign w:val="center"/>
            <w:hideMark/>
          </w:tcPr>
          <w:p w14:paraId="1ED8E469" w14:textId="7DBB57EE"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M. Ghafouri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N0FV66S7","properties":{"formattedCitation":"(19)","plainCitation":"(19)","noteIndex":0},"citationItems":[{"id":"ulROLKvl/bBRN2Lxi","uris":["http://zotero.org/users/16072611/items/CJN6HDMQ","http://zotero.org/users/16072611/items/82HKIPHZ"],"itemData":{"id":504,"type":"article-journal","abstract":"BACKGROUND AND OBJECTIVES: Low back pain (LBP) is a common health condition in populations. Limited large-scale population-based studies evaluated the prevalence and predictors of LBP in developing countries. This study aimed to evaluate the prevalence and factors associated with LBP among the Iranian population.\nMETHODS: We used baseline information from the Prospective Epidemiological Research Studies in Iran (PERSIAN), including individuals from 16 provinces of Iran. LBP was defined as the history of back pain interfering with daily activities for more than one week during an individual's lifetime. Various factors hypothesized to affect LBP, such as age, sex, marital status, educational status, ethnicity, living area, employment status, history of smoking, body mass index (BMI), physical activity, sleep duration, wealth score, history of joint pain, and history of morning stiffness in the joints were evaluated.\nRESULTS: In total, 163770 Iranians with a mean age of 49.37 (SD = 9.15) were included in this study, 44.8% of whom were male. The prevalence of LBP was 25.2% among participants. After adjusting for confounders, the female gender [OR:1.244(1.02-1.50)], middle and older ages [OR:1.23(1.10-1.33) and OR:1.13(1.07-1.42), respectively], being overweight or obese [OR:1.13(1.07-1.19) and OR:1.21(1.16-1.27), respectively], former and current smokers (OR:1.25(1.16-1.36) and OR:1.28(1.17-1.39), respectively], low physical activity [OR:1.07(1.01-1.14)], and short sleep duration [OR: 1.09(1.02-1.17)] were significantly associated with LBP.\nCONCLUSION: In this large-scale study, we found the lifetime prevalence of LBP to be lower among the Iranian population in comparison to the global prevalence of LBP; further studies are warranted to evaluate the causality of risk factors on LBP.","container-title":"Annals of Medicine and Surgery (2012)","DOI":"10.1016/j.amsu.2022.103243","ISSN":"2049-0801","journalAbbreviation":"Ann Med Surg (Lond)","language":"eng","page":"103243","PMID":"35145656","PMCID":"PMC8801351","source":"PubMed","title":"Prevalence and predictors of low back pain among the Iranian population: Results from the Persian cohort study","title-short":"Prevalence and predictors of low back pain among the Iranian population","volume":"74","author":[{"family":"Ghafouri","given":"Mohammad"},{"family":"Teymourzadeh","given":"Azin"},{"family":"Nakhostin-Ansari","given":"Amin"},{"family":"Sepanlou","given":"Sadaf G."},{"family":"Dalvand","given":"Sahar"},{"family":"Moradpour","given":"Farhad"},{"family":"Bavarsad","given":"Amir Hooshang"},{"family":"Boogar","given":"Shahrokh Sadeghi"},{"family":"Dehghan","given":"Morteza"},{"family":"Ostadrahimi","given":"Alireza"},{"family":"Aghazadeh-Attari","given":"Javad"},{"family":"Kahnooji","given":"Mahmood"},{"family":"Hosseinipour","given":"Ali"},{"family":"Gohari","given":"Ali"},{"family":"Hosseini","given":"Seyed Vahid"},{"family":"Mirzaei","given":"Masoud"},{"family":"Khorram","given":"Alireza"},{"family":"Shahmoradi","given":"Mehdi"},{"family":"Pourfarzi","given":"Farhad"},{"family":"Moosazadeh","given":"Mahmood"},{"family":"Mansour-Ghanaei","given":"Fariborz"},{"family":"Marioryad","given":"Hossein"},{"family":"Najafi","given":"Farid"},{"family":"Genevay","given":"Stephane"},{"family":"Moghadam","given":"Navid"},{"family":"Kordi","given":"Ramin"}],"issued":{"date-parts":[["2022",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(19)</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1BF4772" w14:textId="5612C1AD"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 Danish MET-based questionnaire</w:t>
            </w:r>
            <w:r w:rsidR="001507C7" w:rsidRPr="001F49E7">
              <w:rPr>
                <w:rFonts w:eastAsia="Times New Roman" w:cstheme="minorHAnsi"/>
                <w:kern w:val="0"/>
                <w:sz w:val="16"/>
                <w:szCs w:val="16"/>
                <w:vertAlign w:val="superscript"/>
                <w14:ligatures w14:val="none"/>
              </w:rPr>
              <w:t>2</w:t>
            </w:r>
          </w:p>
        </w:tc>
        <w:tc>
          <w:tcPr>
            <w:tcW w:w="1330" w:type="dxa"/>
            <w:shd w:val="clear" w:color="auto" w:fill="FFFFFF"/>
            <w:tcMar>
              <w:top w:w="30" w:type="dxa"/>
              <w:left w:w="45" w:type="dxa"/>
              <w:bottom w:w="30" w:type="dxa"/>
              <w:right w:w="45" w:type="dxa"/>
            </w:tcMar>
            <w:vAlign w:val="center"/>
          </w:tcPr>
          <w:p w14:paraId="222495D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54,624 (33.4%)</w:t>
            </w:r>
          </w:p>
        </w:tc>
        <w:tc>
          <w:tcPr>
            <w:tcW w:w="1238" w:type="dxa"/>
            <w:shd w:val="clear" w:color="auto" w:fill="FFFFFF"/>
            <w:tcMar>
              <w:top w:w="30" w:type="dxa"/>
              <w:left w:w="45" w:type="dxa"/>
              <w:bottom w:w="30" w:type="dxa"/>
              <w:right w:w="45" w:type="dxa"/>
            </w:tcMar>
            <w:vAlign w:val="center"/>
          </w:tcPr>
          <w:p w14:paraId="7095202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54,556 (33.3%)</w:t>
            </w:r>
          </w:p>
        </w:tc>
        <w:tc>
          <w:tcPr>
            <w:tcW w:w="1240" w:type="dxa"/>
            <w:shd w:val="clear" w:color="auto" w:fill="FFFFFF"/>
            <w:tcMar>
              <w:top w:w="30" w:type="dxa"/>
              <w:left w:w="45" w:type="dxa"/>
              <w:bottom w:w="30" w:type="dxa"/>
              <w:right w:w="45" w:type="dxa"/>
            </w:tcMar>
            <w:vAlign w:val="center"/>
          </w:tcPr>
          <w:p w14:paraId="23FED70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54,590 (33.3%)</w:t>
            </w:r>
          </w:p>
        </w:tc>
        <w:tc>
          <w:tcPr>
            <w:tcW w:w="1521" w:type="dxa"/>
            <w:shd w:val="clear" w:color="auto" w:fill="FFFFFF"/>
            <w:tcMar>
              <w:top w:w="30" w:type="dxa"/>
              <w:left w:w="45" w:type="dxa"/>
              <w:bottom w:w="30" w:type="dxa"/>
              <w:right w:w="45" w:type="dxa"/>
            </w:tcMar>
            <w:vAlign w:val="center"/>
          </w:tcPr>
          <w:p w14:paraId="028CDCC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70FE639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6A401CA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38993B3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3B1701FB" w14:textId="77777777" w:rsidTr="000B1E20">
        <w:trPr>
          <w:trHeight w:val="315"/>
        </w:trPr>
        <w:tc>
          <w:tcPr>
            <w:tcW w:w="1700" w:type="dxa"/>
            <w:shd w:val="clear" w:color="auto" w:fill="FFFFFF"/>
            <w:tcMar>
              <w:top w:w="30" w:type="dxa"/>
              <w:left w:w="45" w:type="dxa"/>
              <w:bottom w:w="30" w:type="dxa"/>
              <w:right w:w="45" w:type="dxa"/>
            </w:tcMar>
            <w:vAlign w:val="center"/>
            <w:hideMark/>
          </w:tcPr>
          <w:p w14:paraId="2E62BD51" w14:textId="27DC9386"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A. Nakhostin-Ansari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{"citationID":"2HYSe5Uk","properties":{"formattedCitation":"(20)","plainCitation":"(20)","noteIndex":0},"citationItems":[{"id":"ulROLKvl/7rSaiFs4","uris":["http://zotero.org/users/16072611/items/9RYGGJ5L"],"itemData":{"id":284,"type":"article-journal","abstract":"BACKGROUND: There are limited studies on food security, physical activity, and social capital in the Iranian population. This study aimed to evaluate the social capital's associations with physical inactivity and food insecurity in a large-scale study in Iran, Urban HEART-2.\nMETHODS: This cross-sectional study was conducted in 22 districts of Tehran, the capital of Iran. Residents of Tehran who were 15 years or older were selected by a multi-stage, stratified, and random sampling method. Food insecurity and physical activity were evaluated using Household Food Security Scale and Global Physical Activity Questionnaire, respectively, and their associations with social capital were evaluated.\nRESULTS: A total of 5030 individuals were included in this study, with 3139 (62.4%) males. The mean age of participants was 44.08 years (SD</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16.33, range</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15-90). Participation in social events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0.893,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0.819-0.974,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0.011), social network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0.849,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0.786,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and voluntary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0.865,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0.812-0.921,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were all negatively associated with food insecurity. Also, voluntary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0.823,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0.776-0.872,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and participation in the associations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0.665,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0.582-0.759,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 xml:space="preserve">0.001) were negatively associated with physical inactivity.\nCONCLUSION: The prevalence of food insecurity and physical inactivity is relatively high among Tehran residents. As a factor affecting the physical activity and food security, social capital can be targeted in interventions to improve physical activity and food security among Iranians.","container-title":"TheScientificWorldJournal","DOI":"10.1155/2022/5410611","ISSN":"1537-744X","journalAbbreviation":"ScientificWorldJournal","language":"eng","page":"5410611","PMID":"36398032","PMCID":"PMC9666025","source":"PubMed","title":"Physical Inactivity and Food Insecurity Are Associated with Social Capital: A Large-Scale Population-Based Study in Tehran","title-short":"Physical Inactivity and Food Insecurity Are Associated with Social Capital","volume":"2022","author":[{"family":"Nakhostin-Ansari","given":"Amin"},{"family":"Akbari","given":"Paria"},{"family":"Selk-Ghaffari","given":"Maryam"},{"family":"Memari","given":"Amir Hossein"},{"family":"Vaez-Mahdavi","given":"Mohamad-Reza"},{"family":"Asadi-Lari","given":"Mohsen"}],"issued":{"date-parts":[["2022"]]}}}],"schema":"https://github.com/citation-style-language/schema/raw/master/csl-citation.json"}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(20)</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D059D9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7B7ADF6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2,846 (56.6%)</w:t>
            </w:r>
          </w:p>
        </w:tc>
        <w:tc>
          <w:tcPr>
            <w:tcW w:w="1238" w:type="dxa"/>
            <w:shd w:val="clear" w:color="auto" w:fill="FFFFFF"/>
            <w:tcMar>
              <w:top w:w="30" w:type="dxa"/>
              <w:left w:w="45" w:type="dxa"/>
              <w:bottom w:w="30" w:type="dxa"/>
              <w:right w:w="45" w:type="dxa"/>
            </w:tcMar>
            <w:vAlign w:val="center"/>
          </w:tcPr>
          <w:p w14:paraId="33D850F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0CA6437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2,184 (43.4%)</w:t>
            </w:r>
          </w:p>
        </w:tc>
        <w:tc>
          <w:tcPr>
            <w:tcW w:w="1521" w:type="dxa"/>
            <w:shd w:val="clear" w:color="auto" w:fill="FFFFFF"/>
            <w:tcMar>
              <w:top w:w="30" w:type="dxa"/>
              <w:left w:w="45" w:type="dxa"/>
              <w:bottom w:w="30" w:type="dxa"/>
              <w:right w:w="45" w:type="dxa"/>
            </w:tcMar>
            <w:vAlign w:val="center"/>
          </w:tcPr>
          <w:p w14:paraId="6177B14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 marital status, education, occupation</w:t>
            </w:r>
          </w:p>
        </w:tc>
        <w:tc>
          <w:tcPr>
            <w:tcW w:w="2287" w:type="dxa"/>
            <w:shd w:val="clear" w:color="auto" w:fill="FFFFFF"/>
            <w:tcMar>
              <w:top w:w="30" w:type="dxa"/>
              <w:left w:w="45" w:type="dxa"/>
              <w:bottom w:w="30" w:type="dxa"/>
              <w:right w:w="45" w:type="dxa"/>
            </w:tcMar>
            <w:vAlign w:val="center"/>
          </w:tcPr>
          <w:p w14:paraId="47D8EAB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1,657 (52.8%);</w:t>
            </w:r>
            <w:r w:rsidRPr="001F49E7">
              <w:rPr>
                <w:rFonts w:eastAsia="Times New Roman" w:cstheme="minorHAnsi"/>
                <w:kern w:val="0"/>
                <w:sz w:val="16"/>
                <w:szCs w:val="16"/>
                <w14:ligatures w14:val="none"/>
              </w:rPr>
              <w:br/>
              <w:t>Female: 1,189 (62.9%)</w:t>
            </w:r>
          </w:p>
          <w:p w14:paraId="67B0C32B"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033C494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Married: 2,170 (58.5%)</w:t>
            </w:r>
          </w:p>
          <w:p w14:paraId="3AD3D78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Single: 411 (44.9%)</w:t>
            </w:r>
          </w:p>
          <w:p w14:paraId="6C00FCE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Divorced/widowed: 265 (65.4%)</w:t>
            </w:r>
          </w:p>
          <w:p w14:paraId="7CF277F0"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7CF02C8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Employed: 1,310 (51.9%)</w:t>
            </w:r>
          </w:p>
          <w:p w14:paraId="24E9C22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Unemployed: 127 (56.7%)</w:t>
            </w:r>
          </w:p>
          <w:p w14:paraId="36CA8DD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Student: 129 (46.6%)</w:t>
            </w:r>
          </w:p>
          <w:p w14:paraId="13B1318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Housewife: 789 (67.6%)</w:t>
            </w:r>
          </w:p>
          <w:p w14:paraId="0FC4C9A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Retired: 491 (58.8%)</w:t>
            </w:r>
          </w:p>
          <w:p w14:paraId="0B78D075"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34E1C23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Lower than a diploma: 1,199 (62.2%)</w:t>
            </w:r>
          </w:p>
          <w:p w14:paraId="53E57EA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Diploma: 796(53.5%)</w:t>
            </w:r>
          </w:p>
          <w:p w14:paraId="26393E2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Higher than a diploma: 851 (52.7%)</w:t>
            </w:r>
          </w:p>
        </w:tc>
        <w:tc>
          <w:tcPr>
            <w:tcW w:w="1975" w:type="dxa"/>
            <w:shd w:val="clear" w:color="auto" w:fill="FFFFFF"/>
            <w:tcMar>
              <w:top w:w="30" w:type="dxa"/>
              <w:left w:w="45" w:type="dxa"/>
              <w:bottom w:w="30" w:type="dxa"/>
              <w:right w:w="45" w:type="dxa"/>
            </w:tcMar>
            <w:vAlign w:val="center"/>
          </w:tcPr>
          <w:p w14:paraId="7D12952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4CF075A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1,482 (47.2%); </w:t>
            </w:r>
            <w:r w:rsidRPr="001F49E7">
              <w:rPr>
                <w:rFonts w:eastAsia="Times New Roman" w:cstheme="minorHAnsi"/>
                <w:kern w:val="0"/>
                <w:sz w:val="16"/>
                <w:szCs w:val="16"/>
                <w14:ligatures w14:val="none"/>
              </w:rPr>
              <w:br/>
              <w:t>Female: 702 (37.1%)</w:t>
            </w:r>
          </w:p>
          <w:p w14:paraId="3FDE269D"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487C2F8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Married: 1,540 (41.5%)</w:t>
            </w:r>
          </w:p>
          <w:p w14:paraId="5F38F7E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Single: 504 (55.1%)</w:t>
            </w:r>
          </w:p>
          <w:p w14:paraId="278A73C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Divorced/widowed: 140 (34.6%)</w:t>
            </w:r>
          </w:p>
          <w:p w14:paraId="0587F7CE"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4C3A45E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Employed: 1,216 (48.1%)</w:t>
            </w:r>
          </w:p>
          <w:p w14:paraId="7298348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Unemployed: 97 (43.3%)</w:t>
            </w:r>
          </w:p>
          <w:p w14:paraId="54245D8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Student: 148 (53.4%)</w:t>
            </w:r>
          </w:p>
          <w:p w14:paraId="12243A3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Housewife: 379 (32.4%)</w:t>
            </w:r>
          </w:p>
          <w:p w14:paraId="12DB133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Retired: 344 (41.2%)</w:t>
            </w:r>
          </w:p>
          <w:p w14:paraId="797D3C1C" w14:textId="77777777" w:rsidR="000B1E20" w:rsidRPr="001F49E7" w:rsidRDefault="000B1E20" w:rsidP="001F49E7">
            <w:pPr>
              <w:spacing w:after="0" w:line="240" w:lineRule="auto"/>
              <w:jc w:val="center"/>
              <w:rPr>
                <w:rFonts w:eastAsia="Times New Roman" w:cstheme="minorHAnsi"/>
                <w:kern w:val="0"/>
                <w:sz w:val="16"/>
                <w:szCs w:val="16"/>
                <w14:ligatures w14:val="none"/>
              </w:rPr>
            </w:pPr>
          </w:p>
          <w:p w14:paraId="5477E62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Lower than a diploma: 728 (37.8%)</w:t>
            </w:r>
          </w:p>
          <w:p w14:paraId="16C6045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Diploma: 693 (46.5%)</w:t>
            </w:r>
          </w:p>
          <w:p w14:paraId="45A08B9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Higher than a diploma: 763 (47.3%)</w:t>
            </w:r>
          </w:p>
        </w:tc>
      </w:tr>
      <w:tr w:rsidR="000B1E20" w:rsidRPr="001F49E7" w14:paraId="2EA942FD" w14:textId="77777777" w:rsidTr="000B1E20">
        <w:trPr>
          <w:trHeight w:val="315"/>
        </w:trPr>
        <w:tc>
          <w:tcPr>
            <w:tcW w:w="1700" w:type="dxa"/>
            <w:shd w:val="clear" w:color="auto" w:fill="FFFFFF"/>
            <w:tcMar>
              <w:top w:w="30" w:type="dxa"/>
              <w:left w:w="45" w:type="dxa"/>
              <w:bottom w:w="30" w:type="dxa"/>
              <w:right w:w="45" w:type="dxa"/>
            </w:tcMar>
            <w:vAlign w:val="center"/>
            <w:hideMark/>
          </w:tcPr>
          <w:p w14:paraId="1B7A891A" w14:textId="3F265ABC"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M. L. Odland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{"citationID":"bxUXa60L","properties":{"formattedCitation":"(21)","plainCitation":"(21)","noteIndex":0},"citationItems":[{"id":"ulROLKvl/sOhEewFS","uris":["http://zotero.org/users/16072611/items/XVHXGI5C"],"itemData":{"id":300,"type":"article-journal","abstract":"BACKGROUND: As the populations of lower-income and middle-income countries age, multimorbidity is increasing, but there is little information on its long-term consequences. We aimed to show associations between multimorbidity and outcomes of mortality and hospitalisation in Iran, a middle-income country undergoing rapid economic transition.\nMETHODS: We conducted a secondary analysis of longitudinal data collected in the Golestan Cohort Study. Data on demographics, morbidities and lifestyle factors were collected at baseline, and information on hospitalisations or deaths was captured annually. Logistic regression was used to analyse the association between baseline multimorbidity and 10-year mortality, Cox-proportional hazard models to measure lifetime risk of mortality and zero-inflation models to investigate the association between hospitalisation and multimorbidity. Multimorbidity was classified as ≥2 conditions or number of conditions. Demographic, lifestyle and socioeconomic variables were included as covariables.\nRESULTS: The study recruited 50 045 participants aged 40-75 years between 2004 and 2008, 47 883 were available for analysis, 416 (57.3%) were female and 12 736 (27.94%) were multimorbid. The odds of dying at 10 years for multimorbidity defined as ≥2 conditions was 1.99 (95% CI 1.86 to 2.12, p&lt;0.001), and it increased with increasing number of conditions (OR of 3.57; 95% CI 3.12 to 4.08, p&lt;0.001 for ≥4 conditions). The survival analysis showed the hazard of death for those with ≥4 conditions was 3.06 (95% CI 2.74 to 3.43, p&lt;0.001). The number of hospital admissions increased with number of conditions (OR of not being hospitalised of 0.36; 95% CI 0.31 to 0.52, p&lt;0.001, for ≥4 conditions).\nCONCLUSION: The long-terms effects of multimorbidity on mortality and hospitalisation are similar in this population to those seen in high-income countries.","container-title":"BMJ global health","DOI":"10.1136/bmjgh-2021-007278","ISSN":"2059-7908","issue":"5","journalAbbreviation":"BMJ Glob Health","language":"eng","page":"e007278","PMID":"35550337","PMCID":"PMC9109019","source":"PubMed","title":"Multimorbidity and associations with clinical outcomes in a middle-aged population in Iran: a longitudinal cohort study","title-short":"Multimorbidity and associations with clinical outcomes in a middle-aged population in Iran","volume":"7","author":[{"family":"Odland","given":"Maria Lisa"},{"family":"Ismail","given":"Samiha"},{"family":"Sepanlou","given":"Sadaf G."},{"family":"Poustchi","given":"Hossein"},{"family":"Sadjadi","given":"Alireza"},{"family":"Pourshams","given":"Akram"},{"family":"Marshall","given":"Tom"},{"family":"Witham","given":"Miles D."},{"family":"Malekzadeh","given":"Reza"},{"family":"Davies","given":"Justine I."}],"issued":{"date-parts":[["2022",5]]}}}],"schema":"https://github.com/citation-style-language/schema/raw/master/csl-citation.json"}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(21)</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46EA6DCE" w14:textId="289CE2DD"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GEMINI </w:t>
            </w:r>
            <w:r w:rsidR="001507C7" w:rsidRPr="001F49E7">
              <w:rPr>
                <w:rFonts w:eastAsia="Times New Roman" w:cstheme="minorHAnsi"/>
                <w:kern w:val="0"/>
                <w:sz w:val="16"/>
                <w:szCs w:val="16"/>
                <w:vertAlign w:val="superscript"/>
                <w14:ligatures w14:val="none"/>
              </w:rPr>
              <w:t>3</w:t>
            </w:r>
            <w:r w:rsidRPr="001F49E7">
              <w:rPr>
                <w:rFonts w:eastAsia="Times New Roman" w:cstheme="minorHAnsi"/>
                <w:kern w:val="0"/>
                <w:sz w:val="16"/>
                <w:szCs w:val="16"/>
                <w14:ligatures w14:val="none"/>
              </w:rPr>
              <w:t xml:space="preserve"> study questionnaire (self-developed)</w:t>
            </w:r>
          </w:p>
        </w:tc>
        <w:tc>
          <w:tcPr>
            <w:tcW w:w="1330" w:type="dxa"/>
            <w:shd w:val="clear" w:color="auto" w:fill="FFFFFF"/>
            <w:tcMar>
              <w:top w:w="30" w:type="dxa"/>
              <w:left w:w="45" w:type="dxa"/>
              <w:bottom w:w="30" w:type="dxa"/>
              <w:right w:w="45" w:type="dxa"/>
            </w:tcMar>
            <w:vAlign w:val="center"/>
          </w:tcPr>
          <w:p w14:paraId="2A835CF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16,552 (34.6%)</w:t>
            </w:r>
          </w:p>
        </w:tc>
        <w:tc>
          <w:tcPr>
            <w:tcW w:w="1238" w:type="dxa"/>
            <w:shd w:val="clear" w:color="auto" w:fill="FFFFFF"/>
            <w:tcMar>
              <w:top w:w="30" w:type="dxa"/>
              <w:left w:w="45" w:type="dxa"/>
              <w:bottom w:w="30" w:type="dxa"/>
              <w:right w:w="45" w:type="dxa"/>
            </w:tcMar>
            <w:vAlign w:val="center"/>
          </w:tcPr>
          <w:p w14:paraId="0C9337F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15,416 (32.2%)</w:t>
            </w:r>
          </w:p>
        </w:tc>
        <w:tc>
          <w:tcPr>
            <w:tcW w:w="1240" w:type="dxa"/>
            <w:shd w:val="clear" w:color="auto" w:fill="FFFFFF"/>
            <w:tcMar>
              <w:top w:w="30" w:type="dxa"/>
              <w:left w:w="45" w:type="dxa"/>
              <w:bottom w:w="30" w:type="dxa"/>
              <w:right w:w="45" w:type="dxa"/>
            </w:tcMar>
            <w:vAlign w:val="center"/>
          </w:tcPr>
          <w:p w14:paraId="06D7DC3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15,915 (33.2%)</w:t>
            </w:r>
          </w:p>
        </w:tc>
        <w:tc>
          <w:tcPr>
            <w:tcW w:w="1521" w:type="dxa"/>
            <w:shd w:val="clear" w:color="auto" w:fill="FFFFFF"/>
            <w:tcMar>
              <w:top w:w="30" w:type="dxa"/>
              <w:left w:w="45" w:type="dxa"/>
              <w:bottom w:w="30" w:type="dxa"/>
              <w:right w:w="45" w:type="dxa"/>
            </w:tcMar>
            <w:vAlign w:val="center"/>
          </w:tcPr>
          <w:p w14:paraId="22274A9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5865A0A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4DD1150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6920E97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13652D82" w14:textId="77777777" w:rsidTr="000B1E20">
        <w:trPr>
          <w:trHeight w:val="315"/>
        </w:trPr>
        <w:tc>
          <w:tcPr>
            <w:tcW w:w="1700" w:type="dxa"/>
            <w:shd w:val="clear" w:color="auto" w:fill="FFFFFF"/>
            <w:tcMar>
              <w:top w:w="30" w:type="dxa"/>
              <w:left w:w="45" w:type="dxa"/>
              <w:bottom w:w="30" w:type="dxa"/>
              <w:right w:w="45" w:type="dxa"/>
            </w:tcMar>
            <w:vAlign w:val="center"/>
            <w:hideMark/>
          </w:tcPr>
          <w:p w14:paraId="589089EF" w14:textId="3C4CE3FB"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A. Atefatfar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{"citationID":"uH9BLnXV","properties":{"formattedCitation":"(22)","plainCitation":"(22)","noteIndex":0},"citationItems":[{"id":"ulROLKvl/7GnVkgGX","uris":["http://zotero.org/users/16072611/items/ZI8I5SAC"],"itemData":{"id":273,"type":"article-journal","abstract":"OBJECTIVES: The aim of our study was to compare four lifestyles-healthy diet and low activity, unhealthy diet and high activity, unhealthy diet and low activity, and healthy diet and high activity-in relation to the risk of cardiovascular disease (CVD) and all-cause mortality.\nMETHODS: A total of 6504 adults ages ≥35 y were recruited to participate in the Isfahan Cohort Study and followed for 13 y. Diet was assessed using a validated 48-item food frequency questionnaire, and the quality of diet was assessed using the Dietary Quality Index. Physical activity (PA) was evaluated using the International Physical Activity Questionnaire. The primary outcomes were CVD and all-cause mortality. Cox proportional hazards regression was used to calculate the hazard ratio (HR) and the 95% CIs.\nRESULTS: During 771 440 person-years of follow-up, 390 and 147 deaths occurred due to all causes and CVD, respectively. High PA, either with a healthy or unhealthy diet, was associated with a lower risk of death from CVD (HR = 0.43; 95% CI, 0.26-0.69, and HR = 0.32; 95% CI, 0.18-0.56, respectively) and also all-cause mortality(HR = 0.53, 95% CI, 0.39-0.71, and HR = 0.5, 95% CI, 0.36-0.68). Moreover, type of PA was important, such that when leisure time PA was considered, none of the lifestyles was associated with a lower risk of CVD and all-cause mortality. However, for occupational PA, the result was the same as the total PA.\nCONCLUSIONS: Having high PA (total or occupational), with or without adhering to a healthy diet, is associated with a lower risk of death from any cause and CVD; although leisure time PA, irrespective of adhering to a healthy diet, was not associated with a lower risk of all-cause and CVD mortality.","container-title":"Nutrition (Burbank, Los Angeles County, Calif.)","DOI":"10.1016/j.nut.2023.112186","ISSN":"1873-1244","journalAbbreviation":"Nutrition","language":"eng","page":"112186","PMID":"37678016","source":"PubMed","title":"A healthy diet, physical activity, or either in relation to cardiovascular and all-cause mortality: A prospective cohort study","title-short":"A healthy diet, physical activity, or either in relation to cardiovascular and all-cause mortality","volume":"116","author":[{"family":"Atefatfar","given":"Ayda"},{"family":"Babajafari","given":"Siavash"},{"family":"Mohammadifard","given":"Noushin"},{"family":"Nouri","given":"Fatemeh"},{"family":"Boshtam","given":"Maryam"},{"family":"Sadeghi","given":"Masoumeh"},{"family":"Sharifi","given":"Mohammad Hossein"},{"family":"Kazemi","given":"Asma"},{"family":"Sarrafzadegan","given":"Nizal"}],"issued":{"date-parts":[["2023",12]]}}}],"schema":"https://github.com/citation-style-language/schema/raw/master/csl-citation.json"}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(22)</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3C0881B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2D655F4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2,571 (49.9%)</w:t>
            </w:r>
          </w:p>
        </w:tc>
        <w:tc>
          <w:tcPr>
            <w:tcW w:w="1238" w:type="dxa"/>
            <w:shd w:val="clear" w:color="auto" w:fill="FFFFFF"/>
            <w:tcMar>
              <w:top w:w="30" w:type="dxa"/>
              <w:left w:w="45" w:type="dxa"/>
              <w:bottom w:w="30" w:type="dxa"/>
              <w:right w:w="45" w:type="dxa"/>
            </w:tcMar>
            <w:vAlign w:val="center"/>
          </w:tcPr>
          <w:p w14:paraId="25046B0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3589BAC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2,585 (50.1%)</w:t>
            </w:r>
          </w:p>
        </w:tc>
        <w:tc>
          <w:tcPr>
            <w:tcW w:w="1521" w:type="dxa"/>
            <w:shd w:val="clear" w:color="auto" w:fill="FFFFFF"/>
            <w:tcMar>
              <w:top w:w="30" w:type="dxa"/>
              <w:left w:w="45" w:type="dxa"/>
              <w:bottom w:w="30" w:type="dxa"/>
              <w:right w:w="45" w:type="dxa"/>
            </w:tcMar>
            <w:vAlign w:val="center"/>
          </w:tcPr>
          <w:p w14:paraId="7FCF9E6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Diet</w:t>
            </w:r>
          </w:p>
        </w:tc>
        <w:tc>
          <w:tcPr>
            <w:tcW w:w="2287" w:type="dxa"/>
            <w:shd w:val="clear" w:color="auto" w:fill="FFFFFF"/>
            <w:tcMar>
              <w:top w:w="30" w:type="dxa"/>
              <w:left w:w="45" w:type="dxa"/>
              <w:bottom w:w="30" w:type="dxa"/>
              <w:right w:w="45" w:type="dxa"/>
            </w:tcMar>
            <w:vAlign w:val="center"/>
          </w:tcPr>
          <w:p w14:paraId="5AFD29D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Healthy diet: 1,453 (52.3%);</w:t>
            </w:r>
            <w:r w:rsidRPr="001F49E7">
              <w:rPr>
                <w:rFonts w:eastAsia="Times New Roman" w:cstheme="minorHAnsi"/>
                <w:kern w:val="0"/>
                <w:sz w:val="16"/>
                <w:szCs w:val="16"/>
                <w14:ligatures w14:val="none"/>
              </w:rPr>
              <w:br/>
              <w:t>Unhealthy diet: 1,118 (47%)</w:t>
            </w:r>
          </w:p>
        </w:tc>
        <w:tc>
          <w:tcPr>
            <w:tcW w:w="1975" w:type="dxa"/>
            <w:shd w:val="clear" w:color="auto" w:fill="FFFFFF"/>
            <w:tcMar>
              <w:top w:w="30" w:type="dxa"/>
              <w:left w:w="45" w:type="dxa"/>
              <w:bottom w:w="30" w:type="dxa"/>
              <w:right w:w="45" w:type="dxa"/>
            </w:tcMar>
            <w:vAlign w:val="center"/>
          </w:tcPr>
          <w:p w14:paraId="3D3AF52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19DB76B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Healthy diet: 1,326 (47.7%); </w:t>
            </w:r>
            <w:r w:rsidRPr="001F49E7">
              <w:rPr>
                <w:rFonts w:eastAsia="Times New Roman" w:cstheme="minorHAnsi"/>
                <w:kern w:val="0"/>
                <w:sz w:val="16"/>
                <w:szCs w:val="16"/>
                <w14:ligatures w14:val="none"/>
              </w:rPr>
              <w:br/>
              <w:t>Unhealthy diet: 1,259 (53%)</w:t>
            </w:r>
          </w:p>
        </w:tc>
      </w:tr>
      <w:tr w:rsidR="000B1E20" w:rsidRPr="001F49E7" w14:paraId="7001A002" w14:textId="77777777" w:rsidTr="000B1E20">
        <w:trPr>
          <w:trHeight w:val="315"/>
        </w:trPr>
        <w:tc>
          <w:tcPr>
            <w:tcW w:w="1700" w:type="dxa"/>
            <w:shd w:val="clear" w:color="auto" w:fill="FFFFFF"/>
            <w:tcMar>
              <w:top w:w="30" w:type="dxa"/>
              <w:left w:w="45" w:type="dxa"/>
              <w:bottom w:w="30" w:type="dxa"/>
              <w:right w:w="45" w:type="dxa"/>
            </w:tcMar>
            <w:vAlign w:val="center"/>
            <w:hideMark/>
          </w:tcPr>
          <w:p w14:paraId="3EFF176A" w14:textId="7217D700"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M. Babaei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{"citationID":"ryf8v4om","properties":{"formattedCitation":"(23)","plainCitation":"(23)","noteIndex":0},"citationItems":[{"id":"ulROLKvl/h7S9G41U","uris":["http://zotero.org/users/16072611/items/GPJB2ILH"],"itemData":{"id":275,"type":"article-journal","abstract":"OBJECTIVES: Chronic venous disease (CVD) of the lower extremities is one of the common venous diseases in different populations, with a wide range of clinical manifestations and undetermined exact prevalence owing to different population characteristics and measurement methods. This study aimed to estimate the prevalence of CVD among the modern Iranian urban population and determine its associated risk factors.\nMETHODS: The Heart Assessment and Monitoring in Rajaie Hospital study, a longitudinal population-based cohort, aims to investigate the baseline prevalence and the 10-year incidence of cardiovascular diseases and associated risk factors in the adult population aged 30 to 75 years with no overt cardiovascular diseases in Tehran. Two instructed interventional cardiologists performed CVD evaluation using the Clinical-Etiology-Anatomy-Pathophysiology classification. CVD was graded as C1 to C6, and chronic venous insufficiency (CVI) as C3 to C6. A multivariable regression model was used to analyze the association between CVD and prespecified covariates of age, sex, body mass index (≥30 kg/m2), smoking, hypertension, diabetes mellitus, physical activity, dyslipidemia, and delivery method.\nRESULTS: CVD prevalence among 1176 participants was 36.5% (95% confidence interval [CI], 33.8-39.3) and was higher in women than men (44.2% vs 23.5%). CVI prevalence was only 0.7% (95% CI, 0.3-1.3). Multivariable analysis showed that advanced age (odds ratio [OR], 1.06; 95% CI, 1.04-1.08), female sex (OR, 2.98; 95% CI, 2.14-4.14), and body mass index of ≥30 (OR, 1.36; 95% CI, 1.03-1.81) were independently associated with CVD. Physical activity (OR, 0.77; 95% CI, 0.58-1.02) was nearly protective, whereas other factors, including traditional cardiovascular risk factors, had no meaningful association with CVD.\nCONCLUSIONS: Our findings showed that CVD was prevalent in the modern Iranian urban population. However, considering the very low prevalence of the higher stages of the disease, the benefit of mass screening is debatable, and better risk discriminators should be investigated.","container-title":"Journal of Vascular Surgery. Venous and Lymphatic Disorders","DOI":"10.1016/j.jvsv.2023.06.005","ISSN":"2213-3348","issue":"6","journalAbbreviation":"J Vasc Surg Venous Lymphat Disord","language":"eng","page":"1098-1106.e10","PMID":"37690625","source":"PubMed","title":"Prevalence and associated factors of chronic venous disease among the modern Iranian urban population","volume":"11","author":[{"family":"Babaei","given":"Mohammadreza"},{"family":"Afrooghe","given":"Arya"},{"family":"Rafati","given":"Ali"},{"family":"Mohebbi","given":"Bahram"},{"family":"Moosavi","given":"Jamal"},{"family":"Ghadri","given":"Narges"},{"family":"Koohestani","given":"Bahareh Mohajer"},{"family":"Rahimi","given":"Shahin"},{"family":"Baay","given":"Mohammadreza"},{"family":"Alemzadeh-Ansari","given":"Mohammad Javad"},{"family":"Hosseini","given":"Zahra"},{"family":"Boudagh","given":"Shabnam"},{"family":"Khalilipur","given":"Ehsan"},{"family":"Ghaemmaghami","given":"Zahra"},{"family":"Pasebani","given":"Yeganeh"},{"family":"Firoozbakhsh","given":"Parisa"},{"family":"Pouraliakbar","given":"Hamidreza"},{"family":"Bakhshandeh","given":"Hooman"},{"family":"Sadeghipour","given":"Parham"}],"issued":{"date-parts":[["2023",11]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(23)</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5B32054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2901C22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308 (41.7%)</w:t>
            </w:r>
          </w:p>
        </w:tc>
        <w:tc>
          <w:tcPr>
            <w:tcW w:w="1238" w:type="dxa"/>
            <w:shd w:val="clear" w:color="auto" w:fill="FFFFFF"/>
            <w:tcMar>
              <w:top w:w="30" w:type="dxa"/>
              <w:left w:w="45" w:type="dxa"/>
              <w:bottom w:w="30" w:type="dxa"/>
              <w:right w:w="45" w:type="dxa"/>
            </w:tcMar>
            <w:vAlign w:val="center"/>
          </w:tcPr>
          <w:p w14:paraId="4382E71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0FE8B77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431 (58.3 %)</w:t>
            </w:r>
          </w:p>
        </w:tc>
        <w:tc>
          <w:tcPr>
            <w:tcW w:w="1521" w:type="dxa"/>
            <w:shd w:val="clear" w:color="auto" w:fill="FFFFFF"/>
            <w:tcMar>
              <w:top w:w="30" w:type="dxa"/>
              <w:left w:w="45" w:type="dxa"/>
              <w:bottom w:w="30" w:type="dxa"/>
              <w:right w:w="45" w:type="dxa"/>
            </w:tcMar>
            <w:vAlign w:val="center"/>
          </w:tcPr>
          <w:p w14:paraId="6DD36D6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6319F1F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7563BAC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0E01A41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0683EF96" w14:textId="77777777" w:rsidTr="000B1E20">
        <w:trPr>
          <w:trHeight w:val="315"/>
        </w:trPr>
        <w:tc>
          <w:tcPr>
            <w:tcW w:w="1700" w:type="dxa"/>
            <w:shd w:val="clear" w:color="auto" w:fill="FFFFFF"/>
            <w:tcMar>
              <w:top w:w="30" w:type="dxa"/>
              <w:left w:w="45" w:type="dxa"/>
              <w:bottom w:w="30" w:type="dxa"/>
              <w:right w:w="45" w:type="dxa"/>
            </w:tcMar>
            <w:vAlign w:val="center"/>
            <w:hideMark/>
          </w:tcPr>
          <w:p w14:paraId="6B7A6660" w14:textId="1F03092E"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S. Razzaghi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{"citationID":"gdRx3BOq","properties":{"formattedCitation":"(24)","plainCitation":"(24)","noteIndex":0},"citationItems":[{"id":"ulROLKvl/Ucdw5jsg","uris":["http://zotero.org/users/16072611/items/Z7GVX9S6"],"itemData":{"id":303,"type":"article-journal","abstract":"BACKGROUND: Asthma is one of the most common chronic respiratory diseases. It is estimated that more than 400 million people will suffer from it by 2025. This study aims to determine the prevalence of asthma in East Azerbaijan and investigate the association between asthma and some environmental and demographic factors.\nMATERIALS AND METHODS: This is a cross-sectional study based on a major Lifestyle Promotion Project (LPP) conducted in the districts of East Azerbaijan, including 2641 participants aged 15 to 65 years of the general population selected through probability proportional to size (PPS) multistage stratified cluster sampling. We used the World Health Survey questionnaire about doctor-diagnosed asthma to determine the prevalence of asthma. Age, smoking status, physical activity level, socioeconomic variables such as job and education level, and body mass index (BMI) were used as covariates in regression models. A questionnaire was used to obtain socio-demographic information and smoking status. The short form of the International Physical Activity Questionnaire was used to estimate the level of physical activity (IPAQ).\nRESULTS: The mean age of participants was 40.9 ± 12.05 years including 1242 (47 %) males and 1399 (53 %) females. The prevalence of asthma was 3.3 %. The frequency of smokers was significantly higher in the asthmatic group compared with the non-asthmatic group (OR=2.33 [1.76-3.31]; p=0.03). There was no significant association between asthma and other demographic and lifestyle characteristics. Obesity has also played a significant role in the development of asthma.\nCONCLUSION: According to the results of this study, obesity and smoking have played a significant role in the development of asthma but there is no statistically significant relationship between socioeconomic and demographic factors.","container-title":"Tanaffos","ISSN":"1735-0344","issue":"3","journalAbbreviation":"Tanaffos","language":"eng","page":"325-331","PMID":"38638384","PMCID":"PMC11022198","source":"PubMed","title":"Prevalence of Asthma in East Azerbaijan Adult Population and Its Determinants Factors: A Cross-Sectional Study from the Northwest of Iran","title-short":"Prevalence of Asthma in East Azerbaijan Adult Population and Its Determinants Factors","volume":"22","author":[{"family":"Razzaghi","given":"Shahryar"},{"family":"Farshbaf Khalili","given":"Ali"},{"family":"Nikniaz","given":"Leila"},{"family":"Nikniaz","given":"Zeinab"},{"family":"Zeinalzadeh","given":"Ali Hossein"}],"issued":{"date-parts":[["2023",3]]}}}],"schema":"https://github.com/citation-style-language/schema/raw/master/csl-citation.json"}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(24)</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51B6736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5F75FA1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753 (29.5%)</w:t>
            </w:r>
          </w:p>
        </w:tc>
        <w:tc>
          <w:tcPr>
            <w:tcW w:w="1238" w:type="dxa"/>
            <w:shd w:val="clear" w:color="auto" w:fill="FFFFFF"/>
            <w:tcMar>
              <w:top w:w="30" w:type="dxa"/>
              <w:left w:w="45" w:type="dxa"/>
              <w:bottom w:w="30" w:type="dxa"/>
              <w:right w:w="45" w:type="dxa"/>
            </w:tcMar>
            <w:vAlign w:val="center"/>
          </w:tcPr>
          <w:p w14:paraId="4C07ABE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827 (32.4%)</w:t>
            </w:r>
          </w:p>
        </w:tc>
        <w:tc>
          <w:tcPr>
            <w:tcW w:w="1240" w:type="dxa"/>
            <w:shd w:val="clear" w:color="auto" w:fill="FFFFFF"/>
            <w:tcMar>
              <w:top w:w="30" w:type="dxa"/>
              <w:left w:w="45" w:type="dxa"/>
              <w:bottom w:w="30" w:type="dxa"/>
              <w:right w:w="45" w:type="dxa"/>
            </w:tcMar>
            <w:vAlign w:val="center"/>
          </w:tcPr>
          <w:p w14:paraId="5D5B9B0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973 (38.1%)</w:t>
            </w:r>
          </w:p>
        </w:tc>
        <w:tc>
          <w:tcPr>
            <w:tcW w:w="1521" w:type="dxa"/>
            <w:shd w:val="clear" w:color="auto" w:fill="FFFFFF"/>
            <w:tcMar>
              <w:top w:w="30" w:type="dxa"/>
              <w:left w:w="45" w:type="dxa"/>
              <w:bottom w:w="30" w:type="dxa"/>
              <w:right w:w="45" w:type="dxa"/>
            </w:tcMar>
            <w:vAlign w:val="center"/>
          </w:tcPr>
          <w:p w14:paraId="1E5860D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3F891D5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0A381DC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25DC10F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6F4E43EB" w14:textId="77777777" w:rsidTr="000B1E20">
        <w:trPr>
          <w:trHeight w:val="315"/>
        </w:trPr>
        <w:tc>
          <w:tcPr>
            <w:tcW w:w="1700" w:type="dxa"/>
            <w:shd w:val="clear" w:color="auto" w:fill="FFFFFF"/>
            <w:tcMar>
              <w:top w:w="30" w:type="dxa"/>
              <w:left w:w="45" w:type="dxa"/>
              <w:bottom w:w="30" w:type="dxa"/>
              <w:right w:w="45" w:type="dxa"/>
            </w:tcMar>
            <w:vAlign w:val="center"/>
            <w:hideMark/>
          </w:tcPr>
          <w:p w14:paraId="049D082F" w14:textId="15D5AEB8"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S. A. Nejadghaderi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v4GO8h83","properties":{"formattedCitation":"(25)","plainCitation":"(25)","noteIndex":0},"citationItems":[{"id":"ulROLKvl/Z26brNuC","uris":["http://zotero.org/users/16072611/items/5ZG2TW6B","http://zotero.org/users/16072611/items/ZAXZZ6L9"],"itemData":{"id":513,"type":"article-journal","collection-title":"10:1036219","container-title":"Front Public Health","DOI":"10.3389/fpubh.2022.1036219","ISSN":"PMID: 36684955; PMCID: PMC9846211","language":"EN","title":"Physical activity pattern in Iran: Findings from STEPS 2021 - PubMed","author":[{"literal":"Nejadghaderi SA, Ahmadi N, Rashidi MM, Ghanbari A, Noori M, Abbasi-Kangevari M, Nasserinejad M, Rezaei N, Yoosefi M, Fattahi N, Ghasemi E, Farzi Y, Abdolhamidi E, Darman M, Djalalinia S, Farzadfar F."}],"issued":{"date-parts":[["2023",1,4]]}}}],"schema":"https://github.com/citation-style-language/schema/raw/master/csl-citation.json"}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(25)</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174FB21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330" w:type="dxa"/>
            <w:shd w:val="clear" w:color="auto" w:fill="FFFFFF"/>
            <w:tcMar>
              <w:top w:w="30" w:type="dxa"/>
              <w:left w:w="45" w:type="dxa"/>
              <w:bottom w:w="30" w:type="dxa"/>
              <w:right w:w="45" w:type="dxa"/>
            </w:tcMar>
            <w:vAlign w:val="center"/>
          </w:tcPr>
          <w:p w14:paraId="676FECF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51.3% (50.62–51.98%)</w:t>
            </w:r>
          </w:p>
        </w:tc>
        <w:tc>
          <w:tcPr>
            <w:tcW w:w="1238" w:type="dxa"/>
            <w:shd w:val="clear" w:color="auto" w:fill="FFFFFF"/>
            <w:tcMar>
              <w:top w:w="30" w:type="dxa"/>
              <w:left w:w="45" w:type="dxa"/>
              <w:bottom w:w="30" w:type="dxa"/>
              <w:right w:w="45" w:type="dxa"/>
            </w:tcMar>
            <w:vAlign w:val="center"/>
          </w:tcPr>
          <w:p w14:paraId="4BE31DB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240" w:type="dxa"/>
            <w:shd w:val="clear" w:color="auto" w:fill="FFFFFF"/>
            <w:tcMar>
              <w:top w:w="30" w:type="dxa"/>
              <w:left w:w="45" w:type="dxa"/>
              <w:bottom w:w="30" w:type="dxa"/>
              <w:right w:w="45" w:type="dxa"/>
            </w:tcMar>
            <w:vAlign w:val="center"/>
          </w:tcPr>
          <w:p w14:paraId="62F8E39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013F91A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7EC2F12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41.93% (40.88–42.98%);</w:t>
            </w:r>
            <w:r w:rsidRPr="001F49E7">
              <w:rPr>
                <w:rFonts w:eastAsia="Times New Roman" w:cstheme="minorHAnsi"/>
                <w:kern w:val="0"/>
                <w:sz w:val="16"/>
                <w:szCs w:val="16"/>
                <w14:ligatures w14:val="none"/>
              </w:rPr>
              <w:br/>
              <w:t>Female: 57.87% (56.99–58.75%)</w:t>
            </w:r>
          </w:p>
        </w:tc>
        <w:tc>
          <w:tcPr>
            <w:tcW w:w="1975" w:type="dxa"/>
            <w:shd w:val="clear" w:color="auto" w:fill="FFFFFF"/>
            <w:tcMar>
              <w:top w:w="30" w:type="dxa"/>
              <w:left w:w="45" w:type="dxa"/>
              <w:bottom w:w="30" w:type="dxa"/>
              <w:right w:w="45" w:type="dxa"/>
            </w:tcMar>
            <w:vAlign w:val="center"/>
          </w:tcPr>
          <w:p w14:paraId="17A973C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5ACC6BB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57A53308" w14:textId="77777777" w:rsidTr="000B1E20">
        <w:trPr>
          <w:trHeight w:val="315"/>
        </w:trPr>
        <w:tc>
          <w:tcPr>
            <w:tcW w:w="1700" w:type="dxa"/>
            <w:shd w:val="clear" w:color="auto" w:fill="FFFFFF"/>
            <w:tcMar>
              <w:top w:w="30" w:type="dxa"/>
              <w:left w:w="45" w:type="dxa"/>
              <w:bottom w:w="30" w:type="dxa"/>
              <w:right w:w="45" w:type="dxa"/>
            </w:tcMar>
            <w:vAlign w:val="center"/>
            <w:hideMark/>
          </w:tcPr>
          <w:p w14:paraId="4A368C1E" w14:textId="657D769A"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N. Mohammadi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{"citationID":"mtM8Hbmt","properties":{"unsorted":false,"formattedCitation":"(26)","plainCitation":"(26)","noteIndex":0},"citationItems":[{"id":61,"uris":["http://zotero.org/users/local/SBvLfXY8/items/582LZXER"],"itemData":{"id":61,"type":"article-journal","abstract":"We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(26)</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hideMark/>
          </w:tcPr>
          <w:p w14:paraId="29AA3DA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hideMark/>
          </w:tcPr>
          <w:p w14:paraId="030C18F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36 (6.4%)</w:t>
            </w:r>
          </w:p>
        </w:tc>
        <w:tc>
          <w:tcPr>
            <w:tcW w:w="1238" w:type="dxa"/>
            <w:shd w:val="clear" w:color="auto" w:fill="FFFFFF"/>
            <w:tcMar>
              <w:top w:w="30" w:type="dxa"/>
              <w:left w:w="45" w:type="dxa"/>
              <w:bottom w:w="30" w:type="dxa"/>
              <w:right w:w="45" w:type="dxa"/>
            </w:tcMar>
            <w:vAlign w:val="center"/>
            <w:hideMark/>
          </w:tcPr>
          <w:p w14:paraId="0225B74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193 (34.5%)</w:t>
            </w:r>
          </w:p>
        </w:tc>
        <w:tc>
          <w:tcPr>
            <w:tcW w:w="1240" w:type="dxa"/>
            <w:shd w:val="clear" w:color="auto" w:fill="FFFFFF"/>
            <w:tcMar>
              <w:top w:w="30" w:type="dxa"/>
              <w:left w:w="45" w:type="dxa"/>
              <w:bottom w:w="30" w:type="dxa"/>
              <w:right w:w="45" w:type="dxa"/>
            </w:tcMar>
            <w:vAlign w:val="center"/>
            <w:hideMark/>
          </w:tcPr>
          <w:p w14:paraId="7BF4336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330 (58.9%)</w:t>
            </w:r>
          </w:p>
        </w:tc>
        <w:tc>
          <w:tcPr>
            <w:tcW w:w="1521" w:type="dxa"/>
            <w:shd w:val="clear" w:color="auto" w:fill="FFFFFF"/>
            <w:tcMar>
              <w:top w:w="30" w:type="dxa"/>
              <w:left w:w="45" w:type="dxa"/>
              <w:bottom w:w="30" w:type="dxa"/>
              <w:right w:w="45" w:type="dxa"/>
            </w:tcMar>
            <w:vAlign w:val="center"/>
            <w:hideMark/>
          </w:tcPr>
          <w:p w14:paraId="62659BE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Age</w:t>
            </w:r>
          </w:p>
        </w:tc>
        <w:tc>
          <w:tcPr>
            <w:tcW w:w="2287" w:type="dxa"/>
            <w:shd w:val="clear" w:color="auto" w:fill="FFFFFF"/>
            <w:tcMar>
              <w:top w:w="30" w:type="dxa"/>
              <w:left w:w="45" w:type="dxa"/>
              <w:bottom w:w="30" w:type="dxa"/>
              <w:right w:w="45" w:type="dxa"/>
            </w:tcMar>
            <w:vAlign w:val="center"/>
            <w:hideMark/>
          </w:tcPr>
          <w:p w14:paraId="6F1AF83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15-30: 7.3%, </w:t>
            </w:r>
            <w:r w:rsidRPr="001F49E7">
              <w:rPr>
                <w:rFonts w:eastAsia="Times New Roman" w:cstheme="minorHAnsi"/>
                <w:kern w:val="0"/>
                <w:sz w:val="16"/>
                <w:szCs w:val="16"/>
                <w14:ligatures w14:val="none"/>
              </w:rPr>
              <w:br/>
              <w:t xml:space="preserve">30-45: 5.5%, </w:t>
            </w:r>
            <w:r w:rsidRPr="001F49E7">
              <w:rPr>
                <w:rFonts w:eastAsia="Times New Roman" w:cstheme="minorHAnsi"/>
                <w:kern w:val="0"/>
                <w:sz w:val="16"/>
                <w:szCs w:val="16"/>
                <w14:ligatures w14:val="none"/>
              </w:rPr>
              <w:br/>
              <w:t>45-60: 7.6%</w:t>
            </w:r>
          </w:p>
        </w:tc>
        <w:tc>
          <w:tcPr>
            <w:tcW w:w="1975" w:type="dxa"/>
            <w:shd w:val="clear" w:color="auto" w:fill="FFFFFF"/>
            <w:tcMar>
              <w:top w:w="30" w:type="dxa"/>
              <w:left w:w="45" w:type="dxa"/>
              <w:bottom w:w="30" w:type="dxa"/>
              <w:right w:w="45" w:type="dxa"/>
            </w:tcMar>
            <w:vAlign w:val="center"/>
            <w:hideMark/>
          </w:tcPr>
          <w:p w14:paraId="78B0FCC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15-30: 30.7%, </w:t>
            </w:r>
            <w:r w:rsidRPr="001F49E7">
              <w:rPr>
                <w:rFonts w:eastAsia="Times New Roman" w:cstheme="minorHAnsi"/>
                <w:kern w:val="0"/>
                <w:sz w:val="16"/>
                <w:szCs w:val="16"/>
                <w14:ligatures w14:val="none"/>
              </w:rPr>
              <w:br/>
              <w:t xml:space="preserve">30-45: 36.1%, </w:t>
            </w:r>
            <w:r w:rsidRPr="001F49E7">
              <w:rPr>
                <w:rFonts w:eastAsia="Times New Roman" w:cstheme="minorHAnsi"/>
                <w:kern w:val="0"/>
                <w:sz w:val="16"/>
                <w:szCs w:val="16"/>
                <w14:ligatures w14:val="none"/>
              </w:rPr>
              <w:br/>
              <w:t>45-60: 35.1%</w:t>
            </w:r>
          </w:p>
        </w:tc>
        <w:tc>
          <w:tcPr>
            <w:tcW w:w="2317" w:type="dxa"/>
            <w:shd w:val="clear" w:color="auto" w:fill="FFFFFF"/>
            <w:tcMar>
              <w:top w:w="30" w:type="dxa"/>
              <w:left w:w="45" w:type="dxa"/>
              <w:bottom w:w="30" w:type="dxa"/>
              <w:right w:w="45" w:type="dxa"/>
            </w:tcMar>
            <w:vAlign w:val="center"/>
            <w:hideMark/>
          </w:tcPr>
          <w:p w14:paraId="38DED52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15-30: 62%, </w:t>
            </w:r>
            <w:r w:rsidRPr="001F49E7">
              <w:rPr>
                <w:rFonts w:eastAsia="Times New Roman" w:cstheme="minorHAnsi"/>
                <w:kern w:val="0"/>
                <w:sz w:val="16"/>
                <w:szCs w:val="16"/>
                <w14:ligatures w14:val="none"/>
              </w:rPr>
              <w:br/>
              <w:t xml:space="preserve">30-45: 58.4%, </w:t>
            </w:r>
            <w:r w:rsidRPr="001F49E7">
              <w:rPr>
                <w:rFonts w:eastAsia="Times New Roman" w:cstheme="minorHAnsi"/>
                <w:kern w:val="0"/>
                <w:sz w:val="16"/>
                <w:szCs w:val="16"/>
                <w14:ligatures w14:val="none"/>
              </w:rPr>
              <w:br/>
              <w:t>45-60: 57.2%</w:t>
            </w:r>
          </w:p>
        </w:tc>
      </w:tr>
      <w:tr w:rsidR="000B1E20" w:rsidRPr="001F49E7" w14:paraId="2E6A14A1" w14:textId="77777777" w:rsidTr="000B1E20">
        <w:trPr>
          <w:trHeight w:val="315"/>
        </w:trPr>
        <w:tc>
          <w:tcPr>
            <w:tcW w:w="1700" w:type="dxa"/>
            <w:shd w:val="clear" w:color="auto" w:fill="FFFFFF"/>
            <w:tcMar>
              <w:top w:w="30" w:type="dxa"/>
              <w:left w:w="45" w:type="dxa"/>
              <w:bottom w:w="30" w:type="dxa"/>
              <w:right w:w="45" w:type="dxa"/>
            </w:tcMar>
            <w:vAlign w:val="center"/>
            <w:hideMark/>
          </w:tcPr>
          <w:p w14:paraId="597BF727" w14:textId="6DA9DCF1"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E. Taherifard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{"citationID":"DKhfNzCt","properties":{"formattedCitation":"(27)","plainCitation":"(27)","noteIndex":0},"citationItems":[{"id":"ulROLKvl/1TBQ7Xlo","uris":["http://zotero.org/users/16072611/items/BZMCCFAI"],"itemData":{"id":305,"type":"article-journal","abstract":"BACKGROUND AND AIMS: Obesity is considered a major growing threat to public health which could negatively affect the quality of life. The current cross-sectional study was conducted to investigate the population-based prevalence of metabolically healthy obesity (MHO) and healthy overweight (MHOW) and associated factors in southern Iran.\nMETHODS: Baseline data from the Pars Cohort Study was analyzed. Metabolically healthy participants were identified based on the definition of the American Heart Association for the metabolic syndrome. The prevalence of MHOW and MHO and their 95% confidence intervals were estimated. Poisson regression was applied for the calculation of prevalence ratios (PRs).\nRESULTS: Gender- and age-standardized prevalences of MHOW and MHO were 6.3% (6.0%-6.6%) and 2.3% (2.1%-2.5%), respectively. The following factors were associated with being MHOW compared with those with normal weight: Being younger, female gender (1.31, 1.20-1.43), higher socioeconomic status, being noncurrent cigarette smoker (1.27, 1.11-1.45), low level of physical activity (1.14, 1.03-1.25), having normal overweight during adolescence, and overweight (1.35, 1.24-1.48) or obesity (1.68, 1.53-1.86) during young adulthood. We also found strong associations between MHO and younger age groups, female gender (2.87, 2.40-3.42), being married (1.57, 1.08-2.27), Fars ethnicity (1.25, 1.10-1.43), higher socioeconomic status, ever use of tobacco (1.14, 1.00-1.30), never use of opium (1.85, 1.19-2.86), lower physical activity (1.45, 1.20-1.72), being normal weight in 15-year body pictogram and being overweight (1.87, 1.59-2.20) or obese (3.20, 2.74-3.72) in 30-year body pictogram when considering those with normal weight or MHO.\nCONCLUSION: Potentially modifiable factors including physical activity should be more emphasized. Furthermore, our study issued that it would be more reasonable that the prevention of unhealthy obesity be initiated before the development of MHO, where there are more protective factors and they could be more effective.","container-title":"Health Science Reports","DOI":"10.1002/hsr2.1909","ISSN":"2398-8835","issue":"2","journalAbbreviation":"Health Sci Rep","language":"eng","page":"e1909","PMID":"38361808","PMCID":"PMC10867705","source":"PubMed","title":"Prevalence of metabolically healthy obesity and healthy overweight and the associated factors in southern Iran: A population-based cross-sectional study","title-short":"Prevalence of metabolically healthy obesity and healthy overweight and the associated factors in southern Iran","volume":"7","author":[{"family":"Taherifard","given":"Erfan"},{"family":"Taherifard","given":"Ehsan"},{"family":"Jeddi","given":"Marjan"},{"family":"Ahmadkhani","given":"Alireza"},{"family":"Kelishadi","given":"Roya"},{"family":"Poustchi","given":"Hossein"},{"family":"Gandomkar","given":"Abdullah"},{"family":"Malekzadeh","given":"Fatemeh"},{"family":"Mohammadi","given":"Zahra"},{"family":"Molavi Vardanjani","given":"Hossein"}],"issued":{"date-parts":[["2024",2]]}}}],"schema":"https://github.com/citation-style-language/schema/raw/master/csl-citation.json"}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(27)</w:t>
            </w:r>
            <w:r w:rsidRPr="001F49E7">
              <w:rPr>
                <w:rFonts w:eastAsia="Times New Roman" w:cstheme="minorHAnsi"/>
                <w:color w:val="000000" w:themeColor="text1"/>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3C5762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4952679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3,060 (33%)</w:t>
            </w:r>
          </w:p>
        </w:tc>
        <w:tc>
          <w:tcPr>
            <w:tcW w:w="1238" w:type="dxa"/>
            <w:shd w:val="clear" w:color="auto" w:fill="FFFFFF"/>
            <w:tcMar>
              <w:top w:w="30" w:type="dxa"/>
              <w:left w:w="45" w:type="dxa"/>
              <w:bottom w:w="30" w:type="dxa"/>
              <w:right w:w="45" w:type="dxa"/>
            </w:tcMar>
            <w:vAlign w:val="center"/>
          </w:tcPr>
          <w:p w14:paraId="795E141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3,056 (33%)</w:t>
            </w:r>
          </w:p>
        </w:tc>
        <w:tc>
          <w:tcPr>
            <w:tcW w:w="1240" w:type="dxa"/>
            <w:shd w:val="clear" w:color="auto" w:fill="FFFFFF"/>
            <w:tcMar>
              <w:top w:w="30" w:type="dxa"/>
              <w:left w:w="45" w:type="dxa"/>
              <w:bottom w:w="30" w:type="dxa"/>
              <w:right w:w="45" w:type="dxa"/>
            </w:tcMar>
            <w:vAlign w:val="center"/>
          </w:tcPr>
          <w:p w14:paraId="2936256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3,146 (33%)</w:t>
            </w:r>
          </w:p>
        </w:tc>
        <w:tc>
          <w:tcPr>
            <w:tcW w:w="1521" w:type="dxa"/>
            <w:shd w:val="clear" w:color="auto" w:fill="FFFFFF"/>
            <w:tcMar>
              <w:top w:w="30" w:type="dxa"/>
              <w:left w:w="45" w:type="dxa"/>
              <w:bottom w:w="30" w:type="dxa"/>
              <w:right w:w="45" w:type="dxa"/>
            </w:tcMar>
            <w:vAlign w:val="center"/>
          </w:tcPr>
          <w:p w14:paraId="1D44BE8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287" w:type="dxa"/>
            <w:shd w:val="clear" w:color="auto" w:fill="FFFFFF"/>
            <w:tcMar>
              <w:top w:w="30" w:type="dxa"/>
              <w:left w:w="45" w:type="dxa"/>
              <w:bottom w:w="30" w:type="dxa"/>
              <w:right w:w="45" w:type="dxa"/>
            </w:tcMar>
            <w:vAlign w:val="center"/>
          </w:tcPr>
          <w:p w14:paraId="714CFA2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975" w:type="dxa"/>
            <w:shd w:val="clear" w:color="auto" w:fill="FFFFFF"/>
            <w:tcMar>
              <w:top w:w="30" w:type="dxa"/>
              <w:left w:w="45" w:type="dxa"/>
              <w:bottom w:w="30" w:type="dxa"/>
              <w:right w:w="45" w:type="dxa"/>
            </w:tcMar>
            <w:vAlign w:val="center"/>
          </w:tcPr>
          <w:p w14:paraId="3126B41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2317" w:type="dxa"/>
            <w:shd w:val="clear" w:color="auto" w:fill="FFFFFF"/>
            <w:tcMar>
              <w:top w:w="30" w:type="dxa"/>
              <w:left w:w="45" w:type="dxa"/>
              <w:bottom w:w="30" w:type="dxa"/>
              <w:right w:w="45" w:type="dxa"/>
            </w:tcMar>
            <w:vAlign w:val="center"/>
          </w:tcPr>
          <w:p w14:paraId="34D6C5A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2A07C7BE" w14:textId="77777777" w:rsidTr="000B1E20">
        <w:trPr>
          <w:trHeight w:val="315"/>
        </w:trPr>
        <w:tc>
          <w:tcPr>
            <w:tcW w:w="1700" w:type="dxa"/>
            <w:shd w:val="clear" w:color="auto" w:fill="FFFFFF"/>
            <w:tcMar>
              <w:top w:w="30" w:type="dxa"/>
              <w:left w:w="45" w:type="dxa"/>
              <w:bottom w:w="30" w:type="dxa"/>
              <w:right w:w="45" w:type="dxa"/>
            </w:tcMar>
            <w:vAlign w:val="center"/>
          </w:tcPr>
          <w:p w14:paraId="1E3421EC" w14:textId="11C13D05" w:rsidR="000B1E20" w:rsidRPr="001F49E7" w:rsidRDefault="000B1E20"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kern w:val="0"/>
                <w:sz w:val="16"/>
                <w:szCs w:val="16"/>
                <w14:ligatures w14:val="none"/>
              </w:rPr>
              <w:t xml:space="preserve">M. Sarebanhassanabadi 2024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{"citationID":"LbpBWkSQ","properties":{"formattedCitation":"(28)","plainCitation":"(28)","noteIndex":0},"citationItems":[{"id":"ulROLKvl/aYaf5Wbw","uris":["http://zotero.org/users/16072611/items/TE6FCGHB"],"itemData":{"id":315,"type":"article-journal","abstract":"BACKGROUND: There is a substantial disparity in coronary artery disease (CAD) burden between Iran and other nations that place a strong emphasis on the assessment of CAD risk factors and individuals' awareness and ability to control them.\nMETHODS: Two thousand participants of a community-based Iranian population aged 20-74 years were investigated with a mean follow-up of 9.9 years (range: 7.6 to 12.2). An analysis of Cox regression was conducted to determine the association between CAD development and classic risk factors such as age, sex, smoking, physical activity, education, obesity, dyslipidemia, hypertension, and diabetes mellitus. Furthermore, we computed the population attributable fraction for these risk factors.\nRESULTS: After a follow-up period of nearly 10 years, 225 CAD events were reported, constituting 14.5% of the overall incidence. Nighty three percent of participants had more than one risk factor. Age was the most predictive risk factor, with a hazard ratio (HR) and confidence interval (CI) of 5.56 (3.87-7.97,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in men older than 45 and females older than 55 compared to lower ages. In comparison to females, males had an HR of 1.45 (CI: 1.11-1.90, p value</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0.006) for developing CAD. Nearly 80% of the patients had dyslipidemia, with a hazard ratio of 2.19 (CI: 1.40-3.44,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0.01). Among the participants, 28.9% had hypertension, and 52% had prehypertension, which had HRs of 4.1 (2.4-7.2,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and 2.4 (1.4-4.2,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0.001), respectively. Diabetes, with a prevalence of 17%, had an HR of 2.63 (CI: 2 -3.47, p</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&lt;</w:instrText>
            </w:r>
            <w:r w:rsidR="00207711" w:rsidRPr="001F49E7">
              <w:rPr>
                <w:rFonts w:ascii="Arial" w:eastAsia="Times New Roman" w:hAnsi="Arial" w:cs="Arial"/>
                <w:kern w:val="0"/>
                <w:sz w:val="16"/>
                <w:szCs w:val="16"/>
                <w14:ligatures w14:val="none"/>
              </w:rPr>
              <w:instrText> </w:instrText>
            </w:r>
            <w:r w:rsidR="00207711" w:rsidRPr="001F49E7">
              <w:rPr>
                <w:rFonts w:eastAsia="Times New Roman" w:cstheme="minorHAnsi"/>
                <w:kern w:val="0"/>
                <w:sz w:val="16"/>
                <w:szCs w:val="16"/>
                <w14:ligatures w14:val="none"/>
              </w:rPr>
              <w:instrText xml:space="preserve">0.001), but prediabetes was not significantly associated with CAD. Awareness of diabetes, dyslipidemia, and hypertension was 81%, 27.9%, and 48.1%, respectively. Regarding medication usage, the corresponding percentages were 51% for diabetes, 13.2% for dyslipidemia, and 41% for hypertension.\nCONCLUSIONS: Compared to previous studies in Iran and neighboring countries, the current study found a higher incidence of CAD, more prevalent risk factors, and a lower awareness and ability to control these risk factors. Thus, an effective preventive strategy is needed to reduce the CAD burden in Iran.","container-title":"BMC cardiovascular disorders","DOI":"10.1186/s12872-024-03769-3","ISSN":"1471-2261","issue":"1","journalAbbreviation":"BMC Cardiovasc Disord","language":"eng","page":"101","PMID":"38347457","PMCID":"PMC10863377","source":"PubMed","title":"Coronary artery disease incidence, risk factors, awareness, and medication utilization in a 10-year cohort study","volume":"24","author":[{"family":"Sarebanhassanabadi","given":"Mohammadtaghi"},{"family":"Mirjalili","given":"Seyed Reza"},{"family":"Marques-Vidal","given":"Pedro"},{"family":"Kraemer","given":"Alexander"},{"family":"Namayandeh","given":"Seyedeh Mahdieh"}],"issued":{"date-parts":[["2024",2,12]]}}}],"schema":"https://github.com/citation-style-language/schema/raw/master/csl-citation.json"}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(28)</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51060C9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701CC22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720 (67.9%)</w:t>
            </w:r>
          </w:p>
        </w:tc>
        <w:tc>
          <w:tcPr>
            <w:tcW w:w="1238" w:type="dxa"/>
            <w:shd w:val="clear" w:color="auto" w:fill="FFFFFF"/>
            <w:tcMar>
              <w:top w:w="30" w:type="dxa"/>
              <w:left w:w="45" w:type="dxa"/>
              <w:bottom w:w="30" w:type="dxa"/>
              <w:right w:w="45" w:type="dxa"/>
            </w:tcMar>
            <w:vAlign w:val="center"/>
          </w:tcPr>
          <w:p w14:paraId="1A5079A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290 (27.4%)</w:t>
            </w:r>
          </w:p>
        </w:tc>
        <w:tc>
          <w:tcPr>
            <w:tcW w:w="1240" w:type="dxa"/>
            <w:shd w:val="clear" w:color="auto" w:fill="FFFFFF"/>
            <w:tcMar>
              <w:top w:w="30" w:type="dxa"/>
              <w:left w:w="45" w:type="dxa"/>
              <w:bottom w:w="30" w:type="dxa"/>
              <w:right w:w="45" w:type="dxa"/>
            </w:tcMar>
            <w:vAlign w:val="center"/>
          </w:tcPr>
          <w:p w14:paraId="1C58CE4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50 (4.7%)</w:t>
            </w:r>
          </w:p>
        </w:tc>
        <w:tc>
          <w:tcPr>
            <w:tcW w:w="1521" w:type="dxa"/>
            <w:shd w:val="clear" w:color="auto" w:fill="FFFFFF"/>
            <w:tcMar>
              <w:top w:w="30" w:type="dxa"/>
              <w:left w:w="45" w:type="dxa"/>
              <w:bottom w:w="30" w:type="dxa"/>
              <w:right w:w="45" w:type="dxa"/>
            </w:tcMar>
            <w:vAlign w:val="center"/>
          </w:tcPr>
          <w:p w14:paraId="15EE008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66976EF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437 (68.7%);</w:t>
            </w:r>
            <w:r w:rsidRPr="001F49E7">
              <w:rPr>
                <w:rFonts w:eastAsia="Times New Roman" w:cstheme="minorHAnsi"/>
                <w:kern w:val="0"/>
                <w:sz w:val="16"/>
                <w:szCs w:val="16"/>
                <w14:ligatures w14:val="none"/>
              </w:rPr>
              <w:br/>
              <w:t>Female: 283 (66.8%)</w:t>
            </w:r>
          </w:p>
        </w:tc>
        <w:tc>
          <w:tcPr>
            <w:tcW w:w="1975" w:type="dxa"/>
            <w:shd w:val="clear" w:color="auto" w:fill="FFFFFF"/>
            <w:tcMar>
              <w:top w:w="30" w:type="dxa"/>
              <w:left w:w="45" w:type="dxa"/>
              <w:bottom w:w="30" w:type="dxa"/>
              <w:right w:w="45" w:type="dxa"/>
            </w:tcMar>
            <w:vAlign w:val="center"/>
          </w:tcPr>
          <w:p w14:paraId="5A88185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161(25.3%);</w:t>
            </w:r>
            <w:r w:rsidRPr="001F49E7">
              <w:rPr>
                <w:rFonts w:eastAsia="Times New Roman" w:cstheme="minorHAnsi"/>
                <w:kern w:val="0"/>
                <w:sz w:val="16"/>
                <w:szCs w:val="16"/>
                <w14:ligatures w14:val="none"/>
              </w:rPr>
              <w:br/>
              <w:t>Female: 129 (30.4%)</w:t>
            </w:r>
          </w:p>
        </w:tc>
        <w:tc>
          <w:tcPr>
            <w:tcW w:w="2317" w:type="dxa"/>
            <w:shd w:val="clear" w:color="auto" w:fill="FFFFFF"/>
            <w:tcMar>
              <w:top w:w="30" w:type="dxa"/>
              <w:left w:w="45" w:type="dxa"/>
              <w:bottom w:w="30" w:type="dxa"/>
              <w:right w:w="45" w:type="dxa"/>
            </w:tcMar>
            <w:vAlign w:val="center"/>
          </w:tcPr>
          <w:p w14:paraId="3219FCE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38 (6%);</w:t>
            </w:r>
            <w:r w:rsidRPr="001F49E7">
              <w:rPr>
                <w:rFonts w:eastAsia="Times New Roman" w:cstheme="minorHAnsi"/>
                <w:kern w:val="0"/>
                <w:sz w:val="16"/>
                <w:szCs w:val="16"/>
                <w14:ligatures w14:val="none"/>
              </w:rPr>
              <w:br/>
              <w:t>Female: 12 (2.8%)</w:t>
            </w:r>
          </w:p>
        </w:tc>
      </w:tr>
      <w:tr w:rsidR="000B1E20" w:rsidRPr="001F49E7" w14:paraId="621BE118" w14:textId="77777777" w:rsidTr="000B1E20">
        <w:trPr>
          <w:trHeight w:val="315"/>
        </w:trPr>
        <w:tc>
          <w:tcPr>
            <w:tcW w:w="1700" w:type="dxa"/>
            <w:shd w:val="clear" w:color="auto" w:fill="FFFFFF"/>
            <w:tcMar>
              <w:top w:w="30" w:type="dxa"/>
              <w:left w:w="45" w:type="dxa"/>
              <w:bottom w:w="30" w:type="dxa"/>
              <w:right w:w="45" w:type="dxa"/>
            </w:tcMar>
            <w:vAlign w:val="center"/>
          </w:tcPr>
          <w:p w14:paraId="4E5267C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Ranjbar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4WJVLHeJ","properties":{"unsorted":false,"formattedCitation":"(29)","plainCitation":"(29)","noteIndex":0},"citationItems":[{"id":237,"uris":["http://zotero.org/users/local/SBvLfXY8/items/GPPH7NUA"],"itemData":{"id":237,"type":"article-journal","abstract":"BACKGROUND: Ultra-process foods (UPF) were suspected to induce many diseases and threaten consumers' health. The aim of this study was to examine the association  between the consumption of highly processed foods and adiposity indexes in  Tehranian adults. METHOD: In a cross-sectional design, 850 Tehranian adults were  included. NOVA classification was used to assess the intake of UPF in  participants. The amount of calorie intake through processed foods was assessed.  Adiposity indexes outcomes include body mass index (BMI), waist circumference  (WC), waist-to-hip ratio (WHR), waist-to-height ratio (WHtR), visceral adiposity  index (VAI), body roundness index (BRI), and body adiposity index (BAI). Lipid  accumulation product (LAP) and triglyceride-glucose index (TyG) were also  assessed. Binary logistic regression was used to evaluate the association between  the intake of UPF and adiposity indexes measurements. RESULT: there was a higher  intake of UPF in men than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The results of logistic regression  revealed that there is a significant association between intake of UPF with WHR  (odds ratio (OR): 1.09, 95% confidence interval (CI): 0.73-1.61) and BRI (OR:  2.10, 95% CI: 1.38-3.19) in the crude model. Nevertheless, after adjusting for  confounders, the results were insignificant (WHR: OR, 0.77, 95% CI, 0.46-1.27,  and BRI: OR, 1.70, 95% CI, 1.05-2.73). No significant association was seen for  other outcomes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0.001 for all). The results of dose-response analyses  revealed a substantial association between UPF intake and BMI, WHrT, WC, VAI,  BRI, BAI, LAP, and TyG. CONCLUSION: UPF consumption was significantly related to  increased risk of high-risk adiposity indexes in the dose-response analysis. More  studies are needed to strengthen the results of this study.","container-title":"BMC public health","DOI":"10.1186/s12889-025-22812-2","ISSN":"1471-2458","issue":"1","journalAbbreviation":"BMC Public Health","language":"eng","license":"© 2025. The Author(s).","page":"1548","PMID":"40281568","PMCID":"PMC12023585","publisher-place":"England","title":"The association between ultra-processed food consumption and adiposity indexes in adults living in Tehran: a dose-response analysis within a cross-sectional study.","volume":"25","author":[{"family":"Ranjbar","given":"Mahsa"},{"family":"Avini","given":"Neda Asgari"},{"family":"Shab-Bidar","given":"Sakineh"}],"issued":{"date-parts":[["2025",4,25]]}}}],"schema":"https://github.com/citation-style-language/schema/raw/master/csl-citation.json"}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(29)</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4A63EBF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330" w:type="dxa"/>
            <w:shd w:val="clear" w:color="auto" w:fill="FFFFFF"/>
            <w:tcMar>
              <w:top w:w="30" w:type="dxa"/>
              <w:left w:w="45" w:type="dxa"/>
              <w:bottom w:w="30" w:type="dxa"/>
              <w:right w:w="45" w:type="dxa"/>
            </w:tcMar>
            <w:vAlign w:val="center"/>
          </w:tcPr>
          <w:p w14:paraId="76608F8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539 (63.41%)</w:t>
            </w:r>
          </w:p>
        </w:tc>
        <w:tc>
          <w:tcPr>
            <w:tcW w:w="1238" w:type="dxa"/>
            <w:shd w:val="clear" w:color="auto" w:fill="FFFFFF"/>
            <w:tcMar>
              <w:top w:w="30" w:type="dxa"/>
              <w:left w:w="45" w:type="dxa"/>
              <w:bottom w:w="30" w:type="dxa"/>
              <w:right w:w="45" w:type="dxa"/>
            </w:tcMar>
            <w:vAlign w:val="center"/>
          </w:tcPr>
          <w:p w14:paraId="716E8F8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311 (36.59%)</w:t>
            </w:r>
          </w:p>
        </w:tc>
        <w:tc>
          <w:tcPr>
            <w:tcW w:w="1240" w:type="dxa"/>
            <w:shd w:val="clear" w:color="auto" w:fill="FFFFFF"/>
            <w:tcMar>
              <w:top w:w="30" w:type="dxa"/>
              <w:left w:w="45" w:type="dxa"/>
              <w:bottom w:w="30" w:type="dxa"/>
              <w:right w:w="45" w:type="dxa"/>
            </w:tcMar>
            <w:vAlign w:val="center"/>
          </w:tcPr>
          <w:p w14:paraId="3985CA8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1521" w:type="dxa"/>
            <w:shd w:val="clear" w:color="auto" w:fill="FFFFFF"/>
            <w:tcMar>
              <w:top w:w="30" w:type="dxa"/>
              <w:left w:w="45" w:type="dxa"/>
              <w:bottom w:w="30" w:type="dxa"/>
              <w:right w:w="45" w:type="dxa"/>
            </w:tcMar>
            <w:vAlign w:val="center"/>
          </w:tcPr>
          <w:p w14:paraId="5CB82ADC" w14:textId="67863698"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Quartiles of </w:t>
            </w:r>
            <w:r w:rsidR="005C68B1" w:rsidRPr="001F49E7">
              <w:rPr>
                <w:rFonts w:eastAsia="Times New Roman" w:cstheme="minorHAnsi"/>
                <w:kern w:val="0"/>
                <w:sz w:val="16"/>
                <w:szCs w:val="16"/>
                <w14:ligatures w14:val="none"/>
              </w:rPr>
              <w:t>u</w:t>
            </w:r>
            <w:r w:rsidRPr="001F49E7">
              <w:rPr>
                <w:rFonts w:eastAsia="Times New Roman" w:cstheme="minorHAnsi"/>
                <w:kern w:val="0"/>
                <w:sz w:val="16"/>
                <w:szCs w:val="16"/>
                <w14:ligatures w14:val="none"/>
              </w:rPr>
              <w:t>ltra-</w:t>
            </w:r>
            <w:r w:rsidR="005C68B1" w:rsidRPr="001F49E7">
              <w:rPr>
                <w:rFonts w:eastAsia="Times New Roman" w:cstheme="minorHAnsi"/>
                <w:kern w:val="0"/>
                <w:sz w:val="16"/>
                <w:szCs w:val="16"/>
                <w14:ligatures w14:val="none"/>
              </w:rPr>
              <w:t>p</w:t>
            </w:r>
            <w:r w:rsidRPr="001F49E7">
              <w:rPr>
                <w:rFonts w:eastAsia="Times New Roman" w:cstheme="minorHAnsi"/>
                <w:kern w:val="0"/>
                <w:sz w:val="16"/>
                <w:szCs w:val="16"/>
                <w14:ligatures w14:val="none"/>
              </w:rPr>
              <w:t xml:space="preserve">rocessed </w:t>
            </w:r>
            <w:r w:rsidR="005C68B1" w:rsidRPr="001F49E7">
              <w:rPr>
                <w:rFonts w:eastAsia="Times New Roman" w:cstheme="minorHAnsi"/>
                <w:kern w:val="0"/>
                <w:sz w:val="16"/>
                <w:szCs w:val="16"/>
                <w14:ligatures w14:val="none"/>
              </w:rPr>
              <w:t>f</w:t>
            </w:r>
            <w:r w:rsidRPr="001F49E7">
              <w:rPr>
                <w:rFonts w:eastAsia="Times New Roman" w:cstheme="minorHAnsi"/>
                <w:kern w:val="0"/>
                <w:sz w:val="16"/>
                <w:szCs w:val="16"/>
                <w14:ligatures w14:val="none"/>
              </w:rPr>
              <w:t>ood intake</w:t>
            </w:r>
          </w:p>
        </w:tc>
        <w:tc>
          <w:tcPr>
            <w:tcW w:w="2287" w:type="dxa"/>
            <w:shd w:val="clear" w:color="auto" w:fill="FFFFFF"/>
            <w:tcMar>
              <w:top w:w="30" w:type="dxa"/>
              <w:left w:w="45" w:type="dxa"/>
              <w:bottom w:w="30" w:type="dxa"/>
              <w:right w:w="45" w:type="dxa"/>
            </w:tcMar>
            <w:vAlign w:val="center"/>
          </w:tcPr>
          <w:p w14:paraId="2051172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Q1: 135 (63.7%); </w:t>
            </w:r>
          </w:p>
          <w:p w14:paraId="61F14BB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Q2: 138 (64.8%); </w:t>
            </w:r>
          </w:p>
          <w:p w14:paraId="00F1A51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Q3: 129 (60.6%); </w:t>
            </w:r>
          </w:p>
          <w:p w14:paraId="51560F8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Q4: 137 (64.6%)</w:t>
            </w:r>
          </w:p>
        </w:tc>
        <w:tc>
          <w:tcPr>
            <w:tcW w:w="1975" w:type="dxa"/>
            <w:shd w:val="clear" w:color="auto" w:fill="FFFFFF"/>
            <w:tcMar>
              <w:top w:w="30" w:type="dxa"/>
              <w:left w:w="45" w:type="dxa"/>
              <w:bottom w:w="30" w:type="dxa"/>
              <w:right w:w="45" w:type="dxa"/>
            </w:tcMar>
            <w:vAlign w:val="center"/>
          </w:tcPr>
          <w:p w14:paraId="6D9EC18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Q1: 77 (36.3%); </w:t>
            </w:r>
          </w:p>
          <w:p w14:paraId="7E7242C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Q2: 75 (35.2%); </w:t>
            </w:r>
          </w:p>
          <w:p w14:paraId="0078F97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Q3: 84 (39.4%); </w:t>
            </w:r>
          </w:p>
          <w:p w14:paraId="3C06A84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Q4: 75 (35.4%)</w:t>
            </w:r>
          </w:p>
        </w:tc>
        <w:tc>
          <w:tcPr>
            <w:tcW w:w="2317" w:type="dxa"/>
            <w:shd w:val="clear" w:color="auto" w:fill="FFFFFF"/>
            <w:tcMar>
              <w:top w:w="30" w:type="dxa"/>
              <w:left w:w="45" w:type="dxa"/>
              <w:bottom w:w="30" w:type="dxa"/>
              <w:right w:w="45" w:type="dxa"/>
            </w:tcMar>
            <w:vAlign w:val="center"/>
          </w:tcPr>
          <w:p w14:paraId="6672EDD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0B1E20" w:rsidRPr="001F49E7" w14:paraId="6D8799C3" w14:textId="77777777" w:rsidTr="000B1E20">
        <w:trPr>
          <w:trHeight w:val="315"/>
        </w:trPr>
        <w:tc>
          <w:tcPr>
            <w:tcW w:w="1700" w:type="dxa"/>
            <w:shd w:val="clear" w:color="auto" w:fill="FFFFFF"/>
            <w:tcMar>
              <w:top w:w="30" w:type="dxa"/>
              <w:left w:w="45" w:type="dxa"/>
              <w:bottom w:w="30" w:type="dxa"/>
              <w:right w:w="45" w:type="dxa"/>
            </w:tcMar>
            <w:vAlign w:val="center"/>
          </w:tcPr>
          <w:p w14:paraId="5F137B1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Lesani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hMNZTjYa","properties":{"unsorted":false,"formattedCitation":"(30)","plainCitation":"(30)","noteIndex":0},"citationItems":[{"id":236,"uris":["http://zotero.org/users/local/SBvLfXY8/items/P7HF2TI5"],"itemData":{"id":236,"type":"article-journal","abstract":"Chrono-nutrition is an emerging field that examines how the frequency and timing of meals impact health. Previous research shows inconsistency in the relationship  between chrono-nutritional components and cardiometabolic health. We investigated  cross-sectional associations between these components and cardiometabolic health  in 825 Iranian adults aged 20-59 years. Dietary data, including the number of  eating occasions, meal timing and meal irregularity of energy intake, were  collected using three 24-h dietary recalls. Anthropometric measurements, blood  pressure and laboratory tests (fasting plasma glucose, lipid profile, insulin,  uric acid and C-reactive protein) were conducted. Insulin resistance and  sensitivity (homeostatic model assessment for insulin resistance, homeostatic  model assessment for insulin sensitivity), the TAG-glucose, the lipid  accommodation product and BMI were calculated. The demographic and  morning-evening questionnaire was completed. General linear regression was used  to assess associations between chrono-nutritional components and outcomes.  Interactions with age and BMI were examined in all associations. Chrono-nutrition  components were not significantly related to cardiometabolic risk factors in the  total population. However, a lower number of eating occasions was associated with  an increased LDL-cholesterol:HDL-cholesterol ratio (β (95 % CI): 0·26 (0·06,  0·48)) among overweight and obese participants. Additionally, less irregularity  in breakfast energy intake was associated with a lower total  cholesterol:HDL-cholesterol ratio (-0·37 (-0·95, -0·18)) and a lower  LDL-cholesterol:HDL-cholesterol ratio (-0·32 (-0·79, -0·13)) among participants  with a normal BMI (all P&lt; 0·05). The study concluded that more frequent meals and  regular energy intake might enhance cardiometabolic health cross-sectionally,  highlighting the need for prospective studies to further investigate these  associations and the mediating role of BMI.","container-title":"The British journal of nutrition","DOI":"10.1017/S0007114524002745","ISSN":"1475-2662 0007-1145","issue":"1","journalAbbreviation":"Br J Nutr","language":"eng","license":"© The Author(s), 2024. Published by Cambridge University Press on behalf of The Nutrition Society","page":"94-106","PMID":"39562331","publisher-place":"England","title":"Association of chrono-nutrition components with cardiometabolic health in a sample of Iranian adults: a cross-sectional study.","volume":"133","author":[{"family":"Lesani","given":"Azadeh"},{"family":"Zeraattalab-Motlagh","given":"Sheida"},{"family":"Djafarian","given":"Kurosh"},{"family":"Majdi","given":"Maryam"},{"family":"Akbarzade","given":"Zahra"},{"family":"Shab-Bidar","given":"Sakineh"}],"issued":{"date-parts":[["2025",1,14]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(30)</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965BF4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1F66E64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430 (52.12%)</w:t>
            </w:r>
          </w:p>
        </w:tc>
        <w:tc>
          <w:tcPr>
            <w:tcW w:w="1238" w:type="dxa"/>
            <w:shd w:val="clear" w:color="auto" w:fill="FFFFFF"/>
            <w:tcMar>
              <w:top w:w="30" w:type="dxa"/>
              <w:left w:w="45" w:type="dxa"/>
              <w:bottom w:w="30" w:type="dxa"/>
              <w:right w:w="45" w:type="dxa"/>
            </w:tcMar>
            <w:vAlign w:val="center"/>
          </w:tcPr>
          <w:p w14:paraId="499DC89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315 (38.18%)</w:t>
            </w:r>
          </w:p>
        </w:tc>
        <w:tc>
          <w:tcPr>
            <w:tcW w:w="1240" w:type="dxa"/>
            <w:shd w:val="clear" w:color="auto" w:fill="FFFFFF"/>
            <w:tcMar>
              <w:top w:w="30" w:type="dxa"/>
              <w:left w:w="45" w:type="dxa"/>
              <w:bottom w:w="30" w:type="dxa"/>
              <w:right w:w="45" w:type="dxa"/>
            </w:tcMar>
            <w:vAlign w:val="center"/>
          </w:tcPr>
          <w:p w14:paraId="4525915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80 (9.70%)</w:t>
            </w:r>
          </w:p>
        </w:tc>
        <w:tc>
          <w:tcPr>
            <w:tcW w:w="1521" w:type="dxa"/>
            <w:shd w:val="clear" w:color="auto" w:fill="FFFFFF"/>
            <w:tcMar>
              <w:top w:w="30" w:type="dxa"/>
              <w:left w:w="45" w:type="dxa"/>
              <w:bottom w:w="30" w:type="dxa"/>
              <w:right w:w="45" w:type="dxa"/>
            </w:tcMar>
            <w:vAlign w:val="center"/>
          </w:tcPr>
          <w:p w14:paraId="4D46795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w:t>
            </w:r>
          </w:p>
        </w:tc>
        <w:tc>
          <w:tcPr>
            <w:tcW w:w="2287" w:type="dxa"/>
            <w:shd w:val="clear" w:color="auto" w:fill="FFFFFF"/>
            <w:tcMar>
              <w:top w:w="30" w:type="dxa"/>
              <w:left w:w="45" w:type="dxa"/>
              <w:bottom w:w="30" w:type="dxa"/>
              <w:right w:w="45" w:type="dxa"/>
            </w:tcMar>
            <w:vAlign w:val="center"/>
          </w:tcPr>
          <w:p w14:paraId="23A9252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BMI&lt;25: 110 (33.54%);</w:t>
            </w:r>
          </w:p>
          <w:p w14:paraId="2B02B49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BMI≥25: 320 (64.39%)</w:t>
            </w:r>
          </w:p>
        </w:tc>
        <w:tc>
          <w:tcPr>
            <w:tcW w:w="1975" w:type="dxa"/>
            <w:shd w:val="clear" w:color="auto" w:fill="FFFFFF"/>
            <w:tcMar>
              <w:top w:w="30" w:type="dxa"/>
              <w:left w:w="45" w:type="dxa"/>
              <w:bottom w:w="30" w:type="dxa"/>
              <w:right w:w="45" w:type="dxa"/>
            </w:tcMar>
            <w:vAlign w:val="center"/>
          </w:tcPr>
          <w:p w14:paraId="21D5D40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BMI&lt;25: 187 (57.01%);</w:t>
            </w:r>
          </w:p>
          <w:p w14:paraId="2333D09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BMI≥25: 128 (25.75%)</w:t>
            </w:r>
          </w:p>
        </w:tc>
        <w:tc>
          <w:tcPr>
            <w:tcW w:w="2317" w:type="dxa"/>
            <w:shd w:val="clear" w:color="auto" w:fill="FFFFFF"/>
            <w:tcMar>
              <w:top w:w="30" w:type="dxa"/>
              <w:left w:w="45" w:type="dxa"/>
              <w:bottom w:w="30" w:type="dxa"/>
              <w:right w:w="45" w:type="dxa"/>
            </w:tcMar>
            <w:vAlign w:val="center"/>
          </w:tcPr>
          <w:p w14:paraId="15D6AFC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BMI&lt;25: 31 (9.45%);</w:t>
            </w:r>
          </w:p>
          <w:p w14:paraId="6821A36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BMI≥25: 49 (9.86%)</w:t>
            </w:r>
          </w:p>
        </w:tc>
      </w:tr>
      <w:tr w:rsidR="000B1E20" w:rsidRPr="001F49E7" w14:paraId="5CA825C2" w14:textId="77777777" w:rsidTr="000B1E20">
        <w:trPr>
          <w:trHeight w:val="315"/>
        </w:trPr>
        <w:tc>
          <w:tcPr>
            <w:tcW w:w="1700" w:type="dxa"/>
            <w:shd w:val="clear" w:color="auto" w:fill="FFFFFF"/>
            <w:tcMar>
              <w:top w:w="30" w:type="dxa"/>
              <w:left w:w="45" w:type="dxa"/>
              <w:bottom w:w="30" w:type="dxa"/>
              <w:right w:w="45" w:type="dxa"/>
            </w:tcMar>
            <w:vAlign w:val="center"/>
          </w:tcPr>
          <w:p w14:paraId="7BBE01F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 Kazemi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lEt82Dbj","properties":{"unsorted":false,"formattedCitation":"(31)","plainCitation":"(31)","noteIndex":0},"citationItems":[{"id":231,"uris":["http://zotero.org/users/local/SBvLfXY8/items/HVNEBG9H"],"itemData":{"id":231,"type":"article-journal","abstract":"BACKGROUND: Cardiovascular health (CVH) is a critical public health concern, with notable biological sex disparities impacting health outcomes. This study  evaluates CVH status using the Life’s Essential 8 (LE8) metric among an employee  of a government office of men and women in Birjand, Iran. METHODS: A  cross-sectional study design was employed to assess CVH among employee of a  government office in Birjand, Iran, from July 23 to September 27, 2023.  Demographic information and the eight health factors were collected using  standardized methods. The LE8 metric encompasses four health behaviors (smoking  status, physical activity, diet, and sleep) and four health factors (body mass  index, blood glucose levels, blood lipid levels, and blood pressure). Data were  entered into SPSS, and analyses were conducted at a significance level of  P</w:instrText>
            </w:r>
            <w:r w:rsidRPr="001F49E7">
              <w:rPr>
                <w:rFonts w:ascii="Arial" w:eastAsia="Times New Roman" w:hAnsi="Arial" w:cs="Arial"/>
                <w:kern w:val="0"/>
                <w:sz w:val="16"/>
                <w:szCs w:val="16"/>
                <w14:ligatures w14:val="none"/>
              </w:rPr>
              <w:instrText> </w:instrText>
            </w:r>
            <w:r w:rsidRPr="001F49E7">
              <w:rPr>
                <w:rFonts w:ascii="Aptos" w:eastAsia="Times New Roman" w:hAnsi="Aptos" w:cs="Aptos"/>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0.05 to compare LE8 scores and associated cardiovascular risk factors between  biological sex. Data analysis was conducted using SPSS version 20. RESULTS: Of  the total 319 individuals enrolled in the study, 251 (78.7%) were male and 68  (21.3%) were female. About 98.1% of the participants scored below the ideal CVH  status, with significant biological sex differences observed. Women exhibited  higher mean scores than men across most components of LE8, except for body mass  index and physical activity. Women had more favorable levels of non-HDL  cholesterol, blood pressure, blood glucose, and smoking prevalence, resulting in  mean LE8 scores of 64.27 for women and 59 for men. CONCLUSION: The study’s  results indicated that less than 2% of the participants had an ideal  cardiovascular health status. Most components of the 8 CVH factors were found to  be in worse condition in men than in women. These findings highlight the critical  necessity for focused, gender-sensitive interventions and strategic health  planning aimed at enhancing cardiovascular health among both Iranian women and  men. Therefore, further research in larger, more diverse populations is essential  to address this pressing issue effectively. SUPPLEMENTARY INFORMATION: The online  version contains supplementary material available at 10.1186/s12872-025-05201-w.","container-title":"BMC cardiovascular disorders","DOI":"10.1186/s12872-025-05201-w","ISSN":"1471-2261","issue":"1","journalAbbreviation":"BMC Cardiovasc Disord","language":"eng","page":"170","PMID":"41593512","PMCID":"PMC12918101","publisher-place":"England","title":"Cardiovascular health metrics among an Iranian population: insights from life's essential 8.","volume":"26","author":[{"family":"Kazemi","given":"Toba"},{"family":"Jafarizadeh","given":"Razie"},{"family":"Bizhaem","given":"Saeede Khosravi"},{"family":"Bijari","given":"Bita"},{"family":"Karbasi","given":"Samira"}],"issued":{"date-parts":[["2026",1,27]]}}}],"schema":"https://github.com/citation-style-language/schema/raw/master/csl-citation.json"}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(31)</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435F368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36BCB1F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311 (97.5%)</w:t>
            </w:r>
          </w:p>
        </w:tc>
        <w:tc>
          <w:tcPr>
            <w:tcW w:w="1238" w:type="dxa"/>
            <w:shd w:val="clear" w:color="auto" w:fill="FFFFFF"/>
            <w:tcMar>
              <w:top w:w="30" w:type="dxa"/>
              <w:left w:w="45" w:type="dxa"/>
              <w:bottom w:w="30" w:type="dxa"/>
              <w:right w:w="45" w:type="dxa"/>
            </w:tcMar>
            <w:vAlign w:val="center"/>
          </w:tcPr>
          <w:p w14:paraId="0003218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 (0.3%)</w:t>
            </w:r>
          </w:p>
        </w:tc>
        <w:tc>
          <w:tcPr>
            <w:tcW w:w="1240" w:type="dxa"/>
            <w:shd w:val="clear" w:color="auto" w:fill="FFFFFF"/>
            <w:tcMar>
              <w:top w:w="30" w:type="dxa"/>
              <w:left w:w="45" w:type="dxa"/>
              <w:bottom w:w="30" w:type="dxa"/>
              <w:right w:w="45" w:type="dxa"/>
            </w:tcMar>
            <w:vAlign w:val="center"/>
          </w:tcPr>
          <w:p w14:paraId="132ADE2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7 (2.2%)</w:t>
            </w:r>
          </w:p>
        </w:tc>
        <w:tc>
          <w:tcPr>
            <w:tcW w:w="1521" w:type="dxa"/>
            <w:shd w:val="clear" w:color="auto" w:fill="FFFFFF"/>
            <w:tcMar>
              <w:top w:w="30" w:type="dxa"/>
              <w:left w:w="45" w:type="dxa"/>
              <w:bottom w:w="30" w:type="dxa"/>
              <w:right w:w="45" w:type="dxa"/>
            </w:tcMar>
            <w:vAlign w:val="center"/>
          </w:tcPr>
          <w:p w14:paraId="6E98BC3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747A111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244 (97.2%);</w:t>
            </w:r>
          </w:p>
          <w:p w14:paraId="09EE85F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67 (98.5%) </w:t>
            </w:r>
          </w:p>
        </w:tc>
        <w:tc>
          <w:tcPr>
            <w:tcW w:w="1975" w:type="dxa"/>
            <w:shd w:val="clear" w:color="auto" w:fill="FFFFFF"/>
            <w:tcMar>
              <w:top w:w="30" w:type="dxa"/>
              <w:left w:w="45" w:type="dxa"/>
              <w:bottom w:w="30" w:type="dxa"/>
              <w:right w:w="45" w:type="dxa"/>
            </w:tcMar>
            <w:vAlign w:val="center"/>
          </w:tcPr>
          <w:p w14:paraId="1E94EEE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1 (0.4%);</w:t>
            </w:r>
          </w:p>
          <w:p w14:paraId="529ED06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0 (0.0%)</w:t>
            </w:r>
          </w:p>
        </w:tc>
        <w:tc>
          <w:tcPr>
            <w:tcW w:w="2317" w:type="dxa"/>
            <w:shd w:val="clear" w:color="auto" w:fill="FFFFFF"/>
            <w:tcMar>
              <w:top w:w="30" w:type="dxa"/>
              <w:left w:w="45" w:type="dxa"/>
              <w:bottom w:w="30" w:type="dxa"/>
              <w:right w:w="45" w:type="dxa"/>
            </w:tcMar>
            <w:vAlign w:val="center"/>
          </w:tcPr>
          <w:p w14:paraId="31AE55F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6 (2.4%);</w:t>
            </w:r>
          </w:p>
          <w:p w14:paraId="0823B37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Female: 1 (1.5%)</w:t>
            </w:r>
          </w:p>
        </w:tc>
      </w:tr>
      <w:tr w:rsidR="000B1E20" w:rsidRPr="001F49E7" w14:paraId="798B2363" w14:textId="77777777" w:rsidTr="000B1E20">
        <w:trPr>
          <w:trHeight w:val="315"/>
        </w:trPr>
        <w:tc>
          <w:tcPr>
            <w:tcW w:w="1700" w:type="dxa"/>
            <w:shd w:val="clear" w:color="auto" w:fill="FFFFFF"/>
            <w:tcMar>
              <w:top w:w="30" w:type="dxa"/>
              <w:left w:w="45" w:type="dxa"/>
              <w:bottom w:w="30" w:type="dxa"/>
              <w:right w:w="45" w:type="dxa"/>
            </w:tcMar>
            <w:vAlign w:val="center"/>
          </w:tcPr>
          <w:p w14:paraId="3064219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Jabbari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{"citationID":"BcEvzFXN","properties":{"unsorted":false,"formattedCitation":"(32)","plainCitation":"(32)","noteIndex":0},"citationItems":[{"id":240,"uris":["http://zotero.org/users/local/SBvLfXY8/items/5JT32MG3"],"itemData":{"id":240,"type":"article-journal","abstract":"Optimal sleep, as a vital part of life, has significant impacts on various aspects of social health. Dietary intake, particularly through its influence on oxidative stress and inflammation, is a crucial modifiable factor for sleep health. Given the high prevalence of sleep disorders in the Iranian population, we investigated the association of the intake of legumes and nuts with their sleep quality and quantity and inflammation and oxidative stress levels. Our cross-sectional study comprised 535 participants (46% female, aged 20–65 years), selected via a multistage cluster random sampling approach. Their dietary intake was evaluated using a validated food frequency questionnaire. Sleep metrics were assessed through the Pittsburgh Sleep Quality Index. Fasting blood samples were gathered to assess the levels of oxidative stress and inflammation biomarkers. Our analyses revealed significant negative relations between the consumption of legumes and nuts and the odds of short sleep (fully adjusted OR = 0.56, 95% CI: 0.33–0.94) and poor sleep quality (fully adjusted OR = 0.51, 95% CI: 0.31–0.85); these associations were in a dose–response manner and more pronounced in females. Moreover, a U-shaped association was observed between glutathione peroxidase levels and the odds of poor sleep quality. These findings highlighted the significant association of enhancing the consumption of legumes and nuts with sleep quality and quantity improvement among Iranian adults.","container-title":"Food Funct.","DOI":"10.1039/D5FO04053A","issue":"4","page":"2081-2093","publisher":"The Royal Society of Chemistry","title":"Legumes and nuts intake in relation to sleep duration and quality, oxidative stress and inflammation in Iranian adults","volume":"17","author":[{"family":"Jabbari","given":"Maedeh"},{"family":"Poursalehi","given":"Donya"},{"family":"Moradmand","given":"Zahra"},{"family":"Rashki","given":"Alireza"},{"family":"Shahdadian","given":"Farnaz"},{"family":"Rouhani","given":"Parisa"},{"family":"Saneei","given":"Parvane"}],"issued":{"date-parts":[["2026"]]}}}],"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(32)</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0C69736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447DE0B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303 (56.64%)</w:t>
            </w:r>
          </w:p>
        </w:tc>
        <w:tc>
          <w:tcPr>
            <w:tcW w:w="1238" w:type="dxa"/>
            <w:shd w:val="clear" w:color="auto" w:fill="FFFFFF"/>
            <w:tcMar>
              <w:top w:w="30" w:type="dxa"/>
              <w:left w:w="45" w:type="dxa"/>
              <w:bottom w:w="30" w:type="dxa"/>
              <w:right w:w="45" w:type="dxa"/>
            </w:tcMar>
            <w:vAlign w:val="center"/>
          </w:tcPr>
          <w:p w14:paraId="2C225DD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190 (35.51%)</w:t>
            </w:r>
          </w:p>
        </w:tc>
        <w:tc>
          <w:tcPr>
            <w:tcW w:w="1240" w:type="dxa"/>
            <w:shd w:val="clear" w:color="auto" w:fill="FFFFFF"/>
            <w:tcMar>
              <w:top w:w="30" w:type="dxa"/>
              <w:left w:w="45" w:type="dxa"/>
              <w:bottom w:w="30" w:type="dxa"/>
              <w:right w:w="45" w:type="dxa"/>
            </w:tcMar>
            <w:vAlign w:val="center"/>
          </w:tcPr>
          <w:p w14:paraId="3D77C68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42 (7.85%)</w:t>
            </w:r>
          </w:p>
        </w:tc>
        <w:tc>
          <w:tcPr>
            <w:tcW w:w="1521" w:type="dxa"/>
            <w:shd w:val="clear" w:color="auto" w:fill="FFFFFF"/>
            <w:tcMar>
              <w:top w:w="30" w:type="dxa"/>
              <w:left w:w="45" w:type="dxa"/>
              <w:bottom w:w="30" w:type="dxa"/>
              <w:right w:w="45" w:type="dxa"/>
            </w:tcMar>
            <w:vAlign w:val="center"/>
          </w:tcPr>
          <w:p w14:paraId="3707B0FC"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Tertiles of energy-adjusted legumes and nuts intake </w:t>
            </w:r>
          </w:p>
        </w:tc>
        <w:tc>
          <w:tcPr>
            <w:tcW w:w="2287" w:type="dxa"/>
            <w:shd w:val="clear" w:color="auto" w:fill="FFFFFF"/>
            <w:tcMar>
              <w:top w:w="30" w:type="dxa"/>
              <w:left w:w="45" w:type="dxa"/>
              <w:bottom w:w="30" w:type="dxa"/>
              <w:right w:w="45" w:type="dxa"/>
            </w:tcMar>
            <w:vAlign w:val="center"/>
          </w:tcPr>
          <w:p w14:paraId="3D1D9721"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T1: 100 (56.5%);</w:t>
            </w:r>
          </w:p>
          <w:p w14:paraId="333B8FD3"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T2: 104 (58.4%); </w:t>
            </w:r>
          </w:p>
          <w:p w14:paraId="0F096C65"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T3: 99 (55%)</w:t>
            </w:r>
          </w:p>
        </w:tc>
        <w:tc>
          <w:tcPr>
            <w:tcW w:w="1975" w:type="dxa"/>
            <w:shd w:val="clear" w:color="auto" w:fill="FFFFFF"/>
            <w:tcMar>
              <w:top w:w="30" w:type="dxa"/>
              <w:left w:w="45" w:type="dxa"/>
              <w:bottom w:w="30" w:type="dxa"/>
              <w:right w:w="45" w:type="dxa"/>
            </w:tcMar>
            <w:vAlign w:val="center"/>
          </w:tcPr>
          <w:p w14:paraId="779010E4"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T1: 68 (38.4%); </w:t>
            </w:r>
          </w:p>
          <w:p w14:paraId="6CE4EF7D"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T2: 55 (30.9%); </w:t>
            </w:r>
          </w:p>
          <w:p w14:paraId="25C48792"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T3:  67 (37.2%)</w:t>
            </w:r>
          </w:p>
        </w:tc>
        <w:tc>
          <w:tcPr>
            <w:tcW w:w="2317" w:type="dxa"/>
            <w:shd w:val="clear" w:color="auto" w:fill="FFFFFF"/>
            <w:tcMar>
              <w:top w:w="30" w:type="dxa"/>
              <w:left w:w="45" w:type="dxa"/>
              <w:bottom w:w="30" w:type="dxa"/>
              <w:right w:w="45" w:type="dxa"/>
            </w:tcMar>
            <w:vAlign w:val="center"/>
          </w:tcPr>
          <w:p w14:paraId="7F91BAE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T1: 9 (5.1%); </w:t>
            </w:r>
          </w:p>
          <w:p w14:paraId="14BD6D4B"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T2: 19 (10.7%); </w:t>
            </w:r>
          </w:p>
          <w:p w14:paraId="4216A37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T3: 14 (7.8%)</w:t>
            </w:r>
          </w:p>
        </w:tc>
      </w:tr>
      <w:tr w:rsidR="000B1E20" w:rsidRPr="001F49E7" w14:paraId="3E52AC98" w14:textId="77777777" w:rsidTr="000B1E20">
        <w:trPr>
          <w:trHeight w:val="315"/>
        </w:trPr>
        <w:tc>
          <w:tcPr>
            <w:tcW w:w="1700" w:type="dxa"/>
            <w:shd w:val="clear" w:color="auto" w:fill="FFFFFF"/>
            <w:tcMar>
              <w:top w:w="30" w:type="dxa"/>
              <w:left w:w="45" w:type="dxa"/>
              <w:bottom w:w="30" w:type="dxa"/>
              <w:right w:w="45" w:type="dxa"/>
            </w:tcMar>
            <w:vAlign w:val="center"/>
          </w:tcPr>
          <w:p w14:paraId="5A3D3A0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Jabbarzadeh-Ganjeh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{"citationID":"ZMSZA4iY","properties":{"unsorted":false,"formattedCitation":"(33)","plainCitation":"(33)","noteIndex":0},"citationItems":[{"id":238,"uris":["http://zotero.org/users/local/SBvLfXY8/items/3EQKQU27"],"itemData":{"id":238,"type":"article-journal","abstract":"We aimed to investigate the association of chrono-nutrition components with anthropometric measures and body composition in adults living in Tehran. This  cross-sectional study was conducted on 450 healthy adults. The exposures of the  study were meal frequency, meal timing, meal irregularity, breakfast skipping,  night fasting duration, time of the first and last eating occasion and the time  interval from the last meal to bed. The outcomes were BMI, waist circumference,  neck circumference (NC), waist:hip ratio, waist:height ratio (WHtR), body  adiposity index (BAI), body roundness index (BRI), a body shape index, percentage  of body fat (PBF), fat mass (FM), fat-free mass and muscle mass. Bonferroni  correction was applied, and the significance level was less than 0·004. Using  ANCOVA, after adjusting for confounders, late lunch eating was associated with a  lower PBF. There was a positive trend across the tertiles of dinner time with  greater WHtR (mean difference = 0·019; P(trend) = 0·025) and BRI (mean difference  = 0·24; P(trend) = 0·022). Moreover, increased irregularity at dinner time was  associated with higher levels of PBF (P(trend) = 0·026) and FM (P(trend) =  0·025). Also, longer overnight fasting was associated with lower NC (P(trend) =  0·049) and a greater BRI (P(trend) = 0·050). We found differences across the time  interval from the last meal to bed with greater means of BAI (P(trend) = 0·026),  PBF (P(trend) = 0·014) and FM (P(trend) = 0·020). However, after applying the  Bonferroni correction, we found no significant association between  chrono-nutrition components and anthropometric measures and body composition in  adults living in Tehran. Further studies are necessary to confirm the results.","container-title":"The British journal of nutrition","DOI":"10.1017/S0007114525105047","ISSN":"1475-2662 0007-1145","issue":"3","journalAbbreviation":"Br J Nutr","language":"eng","page":"335-348","PMID":"41347499","publisher-place":"England","title":"Association of chrono-nutrition components with anthropometric measures and body composition in adults living in Tehran.","volume":"135","author":[{"family":"Jabbarzadeh-Ganjeh","given":"Bahareh"},{"family":"Mirrafiei","given":"Amin"},{"family":"Norouziasl","given":"Reyhane"},{"family":"Ghaemi","given":"Shadi"},{"family":"Bafkar","given":"Negar"},{"family":"Firouzi","given":"Mahsa"},{"family":"Tijani Jibril","given":"Aliyu"},{"family":"Djafarian","given":"Kurosh"},{"family":"Bahrami","given":"Alireza"},{"family":"Shab-Bidar","given":"Sakineh"}],"issued":{"date-parts":[["2026",2,14]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(33)</w:t>
            </w:r>
            <w:r w:rsidRPr="001F49E7">
              <w:rPr>
                <w:rFonts w:eastAsia="Times New Roman" w:cstheme="minorHAnsi"/>
                <w:kern w:val="0"/>
                <w:sz w:val="16"/>
                <w:szCs w:val="16"/>
                <w14:ligatures w14:val="none"/>
              </w:rPr>
              <w:fldChar w:fldCharType="end"/>
            </w:r>
          </w:p>
        </w:tc>
        <w:tc>
          <w:tcPr>
            <w:tcW w:w="1242" w:type="dxa"/>
            <w:shd w:val="clear" w:color="auto" w:fill="FFFFFF"/>
            <w:tcMar>
              <w:top w:w="30" w:type="dxa"/>
              <w:left w:w="45" w:type="dxa"/>
              <w:bottom w:w="30" w:type="dxa"/>
              <w:right w:w="45" w:type="dxa"/>
            </w:tcMar>
            <w:vAlign w:val="center"/>
          </w:tcPr>
          <w:p w14:paraId="79E8748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330" w:type="dxa"/>
            <w:shd w:val="clear" w:color="auto" w:fill="FFFFFF"/>
            <w:tcMar>
              <w:top w:w="30" w:type="dxa"/>
              <w:left w:w="45" w:type="dxa"/>
              <w:bottom w:w="30" w:type="dxa"/>
              <w:right w:w="45" w:type="dxa"/>
            </w:tcMar>
            <w:vAlign w:val="center"/>
          </w:tcPr>
          <w:p w14:paraId="65CBA2FA"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204 (45.95%)</w:t>
            </w:r>
          </w:p>
        </w:tc>
        <w:tc>
          <w:tcPr>
            <w:tcW w:w="1238" w:type="dxa"/>
            <w:shd w:val="clear" w:color="auto" w:fill="FFFFFF"/>
            <w:tcMar>
              <w:top w:w="30" w:type="dxa"/>
              <w:left w:w="45" w:type="dxa"/>
              <w:bottom w:w="30" w:type="dxa"/>
              <w:right w:w="45" w:type="dxa"/>
            </w:tcMar>
            <w:vAlign w:val="center"/>
          </w:tcPr>
          <w:p w14:paraId="503850B9"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151 (34.01%)</w:t>
            </w:r>
          </w:p>
        </w:tc>
        <w:tc>
          <w:tcPr>
            <w:tcW w:w="1240" w:type="dxa"/>
            <w:shd w:val="clear" w:color="auto" w:fill="FFFFFF"/>
            <w:tcMar>
              <w:top w:w="30" w:type="dxa"/>
              <w:left w:w="45" w:type="dxa"/>
              <w:bottom w:w="30" w:type="dxa"/>
              <w:right w:w="45" w:type="dxa"/>
            </w:tcMar>
            <w:vAlign w:val="center"/>
          </w:tcPr>
          <w:p w14:paraId="1B7DA55F"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89 (20.04%)</w:t>
            </w:r>
          </w:p>
        </w:tc>
        <w:tc>
          <w:tcPr>
            <w:tcW w:w="1521" w:type="dxa"/>
            <w:shd w:val="clear" w:color="auto" w:fill="FFFFFF"/>
            <w:tcMar>
              <w:top w:w="30" w:type="dxa"/>
              <w:left w:w="45" w:type="dxa"/>
              <w:bottom w:w="30" w:type="dxa"/>
              <w:right w:w="45" w:type="dxa"/>
            </w:tcMar>
            <w:vAlign w:val="center"/>
          </w:tcPr>
          <w:p w14:paraId="3E3DF106"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2287" w:type="dxa"/>
            <w:shd w:val="clear" w:color="auto" w:fill="FFFFFF"/>
            <w:tcMar>
              <w:top w:w="30" w:type="dxa"/>
              <w:left w:w="45" w:type="dxa"/>
              <w:bottom w:w="30" w:type="dxa"/>
              <w:right w:w="45" w:type="dxa"/>
            </w:tcMar>
            <w:vAlign w:val="center"/>
          </w:tcPr>
          <w:p w14:paraId="69543FE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124 (51.67%); </w:t>
            </w:r>
          </w:p>
          <w:p w14:paraId="6024811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80 (39.22%)</w:t>
            </w:r>
          </w:p>
        </w:tc>
        <w:tc>
          <w:tcPr>
            <w:tcW w:w="1975" w:type="dxa"/>
            <w:shd w:val="clear" w:color="auto" w:fill="FFFFFF"/>
            <w:tcMar>
              <w:top w:w="30" w:type="dxa"/>
              <w:left w:w="45" w:type="dxa"/>
              <w:bottom w:w="30" w:type="dxa"/>
              <w:right w:w="45" w:type="dxa"/>
            </w:tcMar>
            <w:vAlign w:val="center"/>
          </w:tcPr>
          <w:p w14:paraId="737A53EE"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72 (30%); </w:t>
            </w:r>
          </w:p>
          <w:p w14:paraId="36F2D137"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79 (38.72%)</w:t>
            </w:r>
          </w:p>
        </w:tc>
        <w:tc>
          <w:tcPr>
            <w:tcW w:w="2317" w:type="dxa"/>
            <w:shd w:val="clear" w:color="auto" w:fill="FFFFFF"/>
            <w:tcMar>
              <w:top w:w="30" w:type="dxa"/>
              <w:left w:w="45" w:type="dxa"/>
              <w:bottom w:w="30" w:type="dxa"/>
              <w:right w:w="45" w:type="dxa"/>
            </w:tcMar>
            <w:vAlign w:val="center"/>
          </w:tcPr>
          <w:p w14:paraId="1C50F948"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Female: 44 (18.33%); </w:t>
            </w:r>
          </w:p>
          <w:p w14:paraId="697811E0" w14:textId="77777777" w:rsidR="000B1E20" w:rsidRPr="001F49E7" w:rsidRDefault="000B1E20"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45 (22.06%)</w:t>
            </w:r>
          </w:p>
        </w:tc>
      </w:tr>
    </w:tbl>
    <w:p w14:paraId="0496BC14" w14:textId="4BA21DBC" w:rsidR="001507C7" w:rsidRPr="001F49E7" w:rsidRDefault="001507C7" w:rsidP="001F49E7">
      <w:pPr>
        <w:jc w:val="both"/>
        <w:rPr>
          <w:sz w:val="16"/>
          <w:szCs w:val="16"/>
        </w:rPr>
      </w:pPr>
      <w:bookmarkStart w:id="0" w:name="_Hlk207651915"/>
      <w:r w:rsidRPr="001F49E7">
        <w:rPr>
          <w:vertAlign w:val="superscript"/>
        </w:rPr>
        <w:t>1</w:t>
      </w:r>
      <w:r w:rsidR="001A0797" w:rsidRPr="001F49E7">
        <w:rPr>
          <w:sz w:val="16"/>
          <w:szCs w:val="16"/>
        </w:rPr>
        <w:t>See Table S4 f</w:t>
      </w:r>
      <w:r w:rsidRPr="001F49E7">
        <w:rPr>
          <w:sz w:val="16"/>
          <w:szCs w:val="16"/>
        </w:rPr>
        <w:t>or details on reporting metric and grading criteria.</w:t>
      </w:r>
    </w:p>
    <w:p w14:paraId="70DE2FAB" w14:textId="25B80A09" w:rsidR="002B0ADD" w:rsidRPr="001F49E7" w:rsidRDefault="001507C7" w:rsidP="001F49E7">
      <w:pPr>
        <w:jc w:val="both"/>
        <w:rPr>
          <w:rFonts w:eastAsia="Times New Roman" w:cstheme="minorHAnsi"/>
          <w:kern w:val="0"/>
          <w:sz w:val="16"/>
          <w:szCs w:val="16"/>
          <w14:ligatures w14:val="none"/>
        </w:rPr>
      </w:pPr>
      <w:r w:rsidRPr="001F49E7">
        <w:rPr>
          <w:vertAlign w:val="superscript"/>
        </w:rPr>
        <w:t>2</w:t>
      </w:r>
      <w:r w:rsidR="002B0ADD" w:rsidRPr="001F49E7">
        <w:rPr>
          <w:vertAlign w:val="superscript"/>
        </w:rPr>
        <w:t xml:space="preserve"> </w:t>
      </w:r>
      <w:r w:rsidR="00C23E32" w:rsidRPr="001F49E7">
        <w:rPr>
          <w:rFonts w:eastAsia="Times New Roman" w:cstheme="minorHAnsi"/>
          <w:kern w:val="0"/>
          <w:sz w:val="16"/>
          <w:szCs w:val="16"/>
          <w14:ligatures w14:val="none"/>
        </w:rPr>
        <w:t xml:space="preserve">Validated by Adahl et al. </w:t>
      </w:r>
      <w:r w:rsidR="00C23E32"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{"citationID":"nQ4nNjHK","properties":{"formattedCitation":"(39)","plainCitation":"(39)","noteIndex":0},"citationItems":[{"id":"ulROLKvl/34Lr8cy5","uris":["http://zotero.org/users/16072611/items/MHEE8S9B"],"itemData":{"id":497,"type":"article-journal","abstract":"PURPOSE: Development and validation of a physical activity scale for measuring physical activity in 24 h of sports, work, and leisure time on an average weekday.\nMETHODS: For development of the physical activity scale, 2500 randomly selected Danish men and women between the age of 20 and 60 were contacted by mail and asked to select frequent and relevant physical activities from a number of activities of known MET intensity. The activities were included in the physical activity scale, organized in nine different MET levels ranging from sleep/rest (0.9 METs) to high-intensity physical activities (&gt;6 METs). Face validity of the physical activity scale was explored through interviews with 10 volunteer men and women. Concurrent validity was assessed against 4 d of accelerometry (CSA 7164) and physical activity diary in 40 volunteer men and women between 20 and 60 yr of age.\nRESULTS: The correlation between the activity scale and the diary was high (r = 0.74, P = 0.000), whereas correlation between the activity scale and accelerometer measurements was poor (r = 0.20, NS). The physical activity scale MET-time was systematically higher than average MET-time estimated from the diary, and the difference increased with increasing total MET-time.\nCONCLUSION: The physical activity scale appears to be a simple and valid alternative to measuring physical activity by diary in adult sedentary to moderately active Danes. The scale encompasses work, leisure time, and sports activity in one measure; it is easy to administer, and it provides detailed information on different activity levels as well as a single measure of the total amount of physical activity on an average weekday.","container-title":"Medicine and Science in Sports and Exercise","DOI":"10.1249/01.MSS.0000074446.02192.14","ISSN":"0195-9131","issue":"7","journalAbbreviation":"Med Sci Sports Exerc","language":"eng","page":"1196-1202","PMID":"12840642","source":"PubMed","title":"Validation of a new self-report instrument for measuring physical activity","volume":"35","author":[{"family":"Aadahl","given":"Mette"},{"family":"Jørgensen","given":"Torben"}],"issued":{"date-parts":[["2003",7]]}}}],"schema":"https://github.com/citation-style-language/schema/raw/master/csl-citation.json"} </w:instrText>
      </w:r>
      <w:r w:rsidR="00C23E32" w:rsidRPr="001F49E7">
        <w:rPr>
          <w:rFonts w:eastAsia="Times New Roman" w:cstheme="minorHAnsi"/>
          <w:kern w:val="0"/>
          <w:sz w:val="16"/>
          <w:szCs w:val="16"/>
          <w14:ligatures w14:val="none"/>
        </w:rPr>
        <w:fldChar w:fldCharType="separate"/>
      </w:r>
      <w:r w:rsidR="00207711" w:rsidRPr="001F49E7">
        <w:rPr>
          <w:rFonts w:ascii="Aptos" w:hAnsi="Aptos"/>
          <w:sz w:val="16"/>
        </w:rPr>
        <w:t>(39)</w:t>
      </w:r>
      <w:r w:rsidR="00C23E32" w:rsidRPr="001F49E7">
        <w:rPr>
          <w:rFonts w:eastAsia="Times New Roman" w:cstheme="minorHAnsi"/>
          <w:kern w:val="0"/>
          <w:sz w:val="16"/>
          <w:szCs w:val="16"/>
          <w14:ligatures w14:val="none"/>
        </w:rPr>
        <w:fldChar w:fldCharType="end"/>
      </w:r>
      <w:r w:rsidR="00C23E32" w:rsidRPr="001F49E7">
        <w:rPr>
          <w:rFonts w:eastAsia="Times New Roman" w:cstheme="minorHAnsi"/>
          <w:kern w:val="0"/>
          <w:sz w:val="16"/>
          <w:szCs w:val="16"/>
          <w14:ligatures w14:val="none"/>
        </w:rPr>
        <w:t xml:space="preserve">, and further validated by Kelishadi et al. </w:t>
      </w:r>
      <w:r w:rsidR="00C23E32"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gE3gStWD","properties":{"unsorted":false,"formattedCitation":"(40)","plainCitation":"(40)","noteIndex":0},"citationItems":[{"id":180,"uris":["http://zotero.org/users/local/SBvLfXY8/items/N4EGMTLS"],"itemData":{"id":180,"type":"article-journal","issue":"3(2):55-66","journalAbbreviation":"Journal of Shahrekord University of Medical Sciences","title":"Assessment of Physical Activity of Adolescents in Isfahan","URL":"https://sid.ir/paper/58480/en","author":[{"literal":"Kelishadi R., Rabiei K., Khosravi A., Famouri F., Sadeghi M., Rouhafza H., Shirani SH."}],"issued":{"date-parts":[["2001"]]}}}],"schema":"https://github.com/citation-style-language/schema/raw/master/csl-citation.json"} </w:instrText>
      </w:r>
      <w:r w:rsidR="00C23E32" w:rsidRPr="001F49E7">
        <w:rPr>
          <w:rFonts w:eastAsia="Times New Roman" w:cstheme="minorHAnsi"/>
          <w:kern w:val="0"/>
          <w:sz w:val="16"/>
          <w:szCs w:val="16"/>
          <w14:ligatures w14:val="none"/>
        </w:rPr>
        <w:fldChar w:fldCharType="separate"/>
      </w:r>
      <w:r w:rsidR="00207711" w:rsidRPr="001F49E7">
        <w:rPr>
          <w:rFonts w:ascii="Aptos" w:hAnsi="Aptos"/>
          <w:sz w:val="16"/>
        </w:rPr>
        <w:t>(40)</w:t>
      </w:r>
      <w:r w:rsidR="00C23E32" w:rsidRPr="001F49E7">
        <w:rPr>
          <w:rFonts w:eastAsia="Times New Roman" w:cstheme="minorHAnsi"/>
          <w:kern w:val="0"/>
          <w:sz w:val="16"/>
          <w:szCs w:val="16"/>
          <w14:ligatures w14:val="none"/>
        </w:rPr>
        <w:fldChar w:fldCharType="end"/>
      </w:r>
      <w:r w:rsidR="00C23E32" w:rsidRPr="001F49E7">
        <w:rPr>
          <w:rFonts w:eastAsia="Times New Roman" w:cstheme="minorHAnsi"/>
          <w:kern w:val="0"/>
          <w:sz w:val="16"/>
          <w:szCs w:val="16"/>
          <w14:ligatures w14:val="none"/>
        </w:rPr>
        <w:t xml:space="preserve"> in the Iranian population</w:t>
      </w:r>
    </w:p>
    <w:p w14:paraId="53D55E3A" w14:textId="2065B544" w:rsidR="00AD543A" w:rsidRPr="001F49E7" w:rsidRDefault="001507C7" w:rsidP="001F49E7">
      <w:pPr>
        <w:jc w:val="both"/>
        <w:rPr>
          <w:rFonts w:eastAsia="Times New Roman" w:cstheme="minorHAnsi"/>
          <w:kern w:val="0"/>
          <w:sz w:val="16"/>
          <w:szCs w:val="16"/>
          <w14:ligatures w14:val="none"/>
        </w:rPr>
      </w:pPr>
      <w:r w:rsidRPr="001F49E7">
        <w:rPr>
          <w:rFonts w:eastAsia="Times New Roman" w:cstheme="minorHAnsi"/>
          <w:kern w:val="0"/>
          <w:vertAlign w:val="superscript"/>
          <w14:ligatures w14:val="none"/>
        </w:rPr>
        <w:t>3</w:t>
      </w:r>
      <w:r w:rsidR="00AD543A" w:rsidRPr="001F49E7">
        <w:rPr>
          <w:rFonts w:eastAsia="Times New Roman" w:cstheme="minorHAnsi"/>
          <w:kern w:val="0"/>
          <w14:ligatures w14:val="none"/>
        </w:rPr>
        <w:t xml:space="preserve"> </w:t>
      </w:r>
      <w:r w:rsidR="00AD543A" w:rsidRPr="001F49E7">
        <w:rPr>
          <w:rFonts w:eastAsia="Times New Roman" w:cstheme="minorHAnsi"/>
          <w:kern w:val="0"/>
          <w:sz w:val="16"/>
          <w:szCs w:val="16"/>
          <w14:ligatures w14:val="none"/>
        </w:rPr>
        <w:t>Gastro- Esophageal Malignancies in Northern Iran</w:t>
      </w:r>
      <w:r w:rsidR="002B5C4A" w:rsidRPr="001F49E7">
        <w:rPr>
          <w:rFonts w:eastAsia="Times New Roman" w:cstheme="minorHAnsi"/>
          <w:kern w:val="0"/>
          <w:sz w:val="16"/>
          <w:szCs w:val="16"/>
          <w14:ligatures w14:val="none"/>
        </w:rPr>
        <w:t xml:space="preserve"> </w:t>
      </w:r>
      <w:r w:rsidR="002B5C4A"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t9LvAGaJ","properties":{"unsorted":false,"formattedCitation":"(41)","plainCitation":"(41)","noteIndex":0},"citationItems":[{"id":243,"uris":["http://zotero.org/users/local/SBvLfXY8/items/UQM8SG6S"],"itemData":{"id":243,"type":"article-journal","abstract":"BACKGROUND: The Gastro-Esophageal Malignancies in Northern Iran (GEMINI) research project is an example of recent progress in health research in Iran. The original  aim of this project was to identify etiologic factors and prevention measures for  upper gastrointestinal cancers in Northern provinces of Iran, but its  achievements have gone much beyond this initial goal. METHODS: GEMINI consists of  several projects including cancer registries, pilot studies, case-control  studies, and the Golestan Cohort Study. GEMINI has been conducted through  extensive collaborations between the Digestive Disease Research Center of Tehran  University of Medical Sciences with other domestic and international health  organizations. The achievements of GEMINI include producing new knowledge,  introducing new research methods, developing and expanding health research and  health care infrastructures, investing in human resources, and increasing the  awareness and knowledge of policy makers and officials at all levels about the  importance of chronic diseases in Iran's health priorities. CONCLUSION: The  success of GEMINI reveals the feasibility of large-scale health research studies  in developing countries and serves as a successful model not only for health  research in Iran, but also for similar research studies in other developing  nations.","container-title":"Archives of Iranian medicine","ISSN":"1735-3947 1029-2977","issue":"1","journalAbbreviation":"Arch Iran Med","language":"eng","page":"46-53","PMID":"23273237","PMCID":"PMC3659328","publisher-place":"Iran","title":"The gastro-esophageal malignancies in Northern Iran research project: impact on the health research and health care systems in Iran.","volume":"16","author":[{"family":"Sepanlou","given":"Sadaf G."},{"family":"Etemadi","given":"Arash"},{"family":"Kamangar","given":"Farin"},{"family":"Sepehr","given":"Alireza"},{"family":"Pourshams","given":"Akram"},{"family":"Poustchi","given":"Hossein"},{"family":"Islami","given":"Farhad"},{"family":"Sadjadi","given":"Alireza"},{"family":"Nasrollahzadeh","given":"Dariush"},{"family":"Semnani","given":"Shahryar"},{"family":"Saidi","given":"Farrokh"},{"family":"Abnet","given":"Christian C."},{"family":"Ponder","given":"Bruce"},{"family":"Pharoah","given":"Paul D."},{"family":"Day","given":"Nicholas E."},{"family":"Brennan","given":"Paul"},{"family":"Boffetta","given":"Paolo"},{"family":"Dawsey","given":"Sanford M."},{"family":"Malekzadeh","given":"Reza"}],"issued":{"date-parts":[["2013",1]]}}}],"schema":"https://github.com/citation-style-language/schema/raw/master/csl-citation.json"} </w:instrText>
      </w:r>
      <w:r w:rsidR="002B5C4A" w:rsidRPr="001F49E7">
        <w:rPr>
          <w:rFonts w:eastAsia="Times New Roman" w:cstheme="minorHAnsi"/>
          <w:kern w:val="0"/>
          <w:sz w:val="16"/>
          <w:szCs w:val="16"/>
          <w14:ligatures w14:val="none"/>
        </w:rPr>
        <w:fldChar w:fldCharType="separate"/>
      </w:r>
      <w:r w:rsidR="00207711" w:rsidRPr="001F49E7">
        <w:rPr>
          <w:rFonts w:ascii="Aptos" w:hAnsi="Aptos"/>
          <w:sz w:val="16"/>
        </w:rPr>
        <w:t>(41)</w:t>
      </w:r>
      <w:r w:rsidR="002B5C4A" w:rsidRPr="001F49E7">
        <w:rPr>
          <w:rFonts w:eastAsia="Times New Roman" w:cstheme="minorHAnsi"/>
          <w:kern w:val="0"/>
          <w:sz w:val="16"/>
          <w:szCs w:val="16"/>
          <w14:ligatures w14:val="none"/>
        </w:rPr>
        <w:fldChar w:fldCharType="end"/>
      </w:r>
    </w:p>
    <w:bookmarkEnd w:id="0"/>
    <w:p w14:paraId="32F56330" w14:textId="6F17EA23" w:rsidR="002D0DCF" w:rsidRPr="001F49E7" w:rsidRDefault="002D0DCF" w:rsidP="001F49E7">
      <w:pPr>
        <w:spacing w:line="240" w:lineRule="auto"/>
        <w:jc w:val="both"/>
        <w:rPr>
          <w:rFonts w:asciiTheme="majorBidi" w:hAnsiTheme="majorBidi" w:cstheme="majorBidi"/>
        </w:rPr>
      </w:pPr>
      <w:r w:rsidRPr="001F49E7">
        <w:rPr>
          <w:i/>
          <w:iCs/>
          <w:sz w:val="18"/>
          <w:szCs w:val="18"/>
        </w:rPr>
        <w:t xml:space="preserve">BMI: body mass index; GPAQ: global physical activity questionnaire; HEPA: health-enhancing physical activity; HTN: hypertension; IPAQ: international physical activity questionnaire; </w:t>
      </w:r>
      <w:r w:rsidR="00140B71" w:rsidRPr="001F49E7">
        <w:rPr>
          <w:i/>
          <w:iCs/>
          <w:sz w:val="18"/>
          <w:szCs w:val="18"/>
        </w:rPr>
        <w:t xml:space="preserve">IPAQ-SF: short form IPAQ; </w:t>
      </w:r>
      <w:r w:rsidRPr="001F49E7">
        <w:rPr>
          <w:i/>
          <w:iCs/>
          <w:sz w:val="18"/>
          <w:szCs w:val="18"/>
        </w:rPr>
        <w:t>MHNW: metabolically healthy normal weight; MHO: metabolically healthy obese; MHOW: metabolically healthy overweight; SES: socioeconomic status.</w:t>
      </w:r>
    </w:p>
    <w:p w14:paraId="47438B91" w14:textId="0F5035AB" w:rsidR="002B0ADD" w:rsidRPr="001F49E7" w:rsidRDefault="002B0ADD" w:rsidP="001F49E7">
      <w:pPr>
        <w:pStyle w:val="Caption"/>
        <w:keepNext/>
      </w:pPr>
      <w:r w:rsidRPr="001F49E7">
        <w:t xml:space="preserve">Table </w:t>
      </w:r>
      <w:r w:rsidR="00F40F16" w:rsidRPr="001F49E7">
        <w:t>S</w:t>
      </w:r>
      <w:r w:rsidR="008E1AD3" w:rsidRPr="001F49E7">
        <w:t>4</w:t>
      </w:r>
      <w:r w:rsidRPr="001F49E7">
        <w:t>- Assessment of HEPA-promoting strategies in adults based on WHO domains</w:t>
      </w:r>
    </w:p>
    <w:tbl>
      <w:tblPr>
        <w:tblW w:w="5701" w:type="pct"/>
        <w:tblInd w:w="-8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623"/>
        <w:gridCol w:w="2252"/>
        <w:gridCol w:w="1618"/>
        <w:gridCol w:w="3238"/>
        <w:gridCol w:w="1349"/>
        <w:gridCol w:w="1529"/>
        <w:gridCol w:w="3150"/>
      </w:tblGrid>
      <w:tr w:rsidR="00F243D9" w:rsidRPr="001F49E7" w14:paraId="04BDE894" w14:textId="77777777" w:rsidTr="00587EC3">
        <w:trPr>
          <w:trHeight w:val="990"/>
        </w:trPr>
        <w:tc>
          <w:tcPr>
            <w:tcW w:w="550" w:type="pct"/>
            <w:tcMar>
              <w:top w:w="30" w:type="dxa"/>
              <w:left w:w="45" w:type="dxa"/>
              <w:bottom w:w="30" w:type="dxa"/>
              <w:right w:w="45" w:type="dxa"/>
            </w:tcMar>
            <w:vAlign w:val="center"/>
            <w:hideMark/>
          </w:tcPr>
          <w:p w14:paraId="57EA1E64"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Author &amp; Year</w:t>
            </w:r>
          </w:p>
        </w:tc>
        <w:tc>
          <w:tcPr>
            <w:tcW w:w="763" w:type="pct"/>
            <w:tcMar>
              <w:top w:w="30" w:type="dxa"/>
              <w:left w:w="45" w:type="dxa"/>
              <w:bottom w:w="30" w:type="dxa"/>
              <w:right w:w="45" w:type="dxa"/>
            </w:tcMar>
            <w:vAlign w:val="center"/>
            <w:hideMark/>
          </w:tcPr>
          <w:p w14:paraId="4B9CC04A"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Outcome</w:t>
            </w:r>
          </w:p>
        </w:tc>
        <w:tc>
          <w:tcPr>
            <w:tcW w:w="548" w:type="pct"/>
            <w:tcMar>
              <w:top w:w="30" w:type="dxa"/>
              <w:left w:w="45" w:type="dxa"/>
              <w:bottom w:w="30" w:type="dxa"/>
              <w:right w:w="45" w:type="dxa"/>
            </w:tcMar>
            <w:vAlign w:val="center"/>
            <w:hideMark/>
          </w:tcPr>
          <w:p w14:paraId="5789A82E"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Measurement tool</w:t>
            </w:r>
          </w:p>
        </w:tc>
        <w:tc>
          <w:tcPr>
            <w:tcW w:w="1097" w:type="pct"/>
            <w:tcMar>
              <w:top w:w="30" w:type="dxa"/>
              <w:left w:w="45" w:type="dxa"/>
              <w:bottom w:w="30" w:type="dxa"/>
              <w:right w:w="45" w:type="dxa"/>
            </w:tcMar>
            <w:vAlign w:val="center"/>
            <w:hideMark/>
          </w:tcPr>
          <w:p w14:paraId="5705C99F"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Reporting metric</w:t>
            </w:r>
          </w:p>
        </w:tc>
        <w:tc>
          <w:tcPr>
            <w:tcW w:w="457" w:type="pct"/>
            <w:tcMar>
              <w:top w:w="30" w:type="dxa"/>
              <w:left w:w="45" w:type="dxa"/>
              <w:bottom w:w="30" w:type="dxa"/>
              <w:right w:w="45" w:type="dxa"/>
            </w:tcMar>
            <w:vAlign w:val="center"/>
            <w:hideMark/>
          </w:tcPr>
          <w:p w14:paraId="1414BB98"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WHO domains</w:t>
            </w:r>
          </w:p>
        </w:tc>
        <w:tc>
          <w:tcPr>
            <w:tcW w:w="518" w:type="pct"/>
            <w:tcMar>
              <w:top w:w="30" w:type="dxa"/>
              <w:left w:w="45" w:type="dxa"/>
              <w:bottom w:w="30" w:type="dxa"/>
              <w:right w:w="45" w:type="dxa"/>
            </w:tcMar>
            <w:vAlign w:val="center"/>
            <w:hideMark/>
          </w:tcPr>
          <w:p w14:paraId="7A6D8018" w14:textId="77777777"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Barriers</w:t>
            </w:r>
          </w:p>
        </w:tc>
        <w:tc>
          <w:tcPr>
            <w:tcW w:w="1067" w:type="pct"/>
            <w:tcMar>
              <w:top w:w="30" w:type="dxa"/>
              <w:left w:w="45" w:type="dxa"/>
              <w:bottom w:w="30" w:type="dxa"/>
              <w:right w:w="45" w:type="dxa"/>
            </w:tcMar>
            <w:vAlign w:val="center"/>
            <w:hideMark/>
          </w:tcPr>
          <w:p w14:paraId="5ED0A103" w14:textId="06FBCCB1" w:rsidR="00F243D9" w:rsidRPr="001F49E7" w:rsidRDefault="00F243D9" w:rsidP="001F49E7">
            <w:pPr>
              <w:spacing w:after="0" w:line="240" w:lineRule="auto"/>
              <w:jc w:val="center"/>
              <w:rPr>
                <w:rFonts w:eastAsia="Times New Roman" w:cstheme="minorHAnsi"/>
                <w:b/>
                <w:bCs/>
                <w:color w:val="000000" w:themeColor="text1"/>
                <w:kern w:val="0"/>
                <w:sz w:val="18"/>
                <w:szCs w:val="18"/>
                <w14:ligatures w14:val="none"/>
              </w:rPr>
            </w:pPr>
            <w:r w:rsidRPr="001F49E7">
              <w:rPr>
                <w:rFonts w:eastAsia="Times New Roman" w:cstheme="minorHAnsi"/>
                <w:b/>
                <w:bCs/>
                <w:color w:val="000000" w:themeColor="text1"/>
                <w:kern w:val="0"/>
                <w:sz w:val="18"/>
                <w:szCs w:val="18"/>
                <w14:ligatures w14:val="none"/>
              </w:rPr>
              <w:t>Surveillance and offered solutions</w:t>
            </w:r>
          </w:p>
        </w:tc>
      </w:tr>
      <w:tr w:rsidR="00F243D9" w:rsidRPr="001F49E7" w14:paraId="276E629D" w14:textId="77777777" w:rsidTr="007E49A6">
        <w:trPr>
          <w:trHeight w:val="315"/>
        </w:trPr>
        <w:tc>
          <w:tcPr>
            <w:tcW w:w="550" w:type="pct"/>
            <w:shd w:val="clear" w:color="auto" w:fill="FFFFFF"/>
            <w:tcMar>
              <w:top w:w="30" w:type="dxa"/>
              <w:left w:w="45" w:type="dxa"/>
              <w:bottom w:w="30" w:type="dxa"/>
              <w:right w:w="45" w:type="dxa"/>
            </w:tcMar>
            <w:vAlign w:val="center"/>
            <w:hideMark/>
          </w:tcPr>
          <w:p w14:paraId="29FDFC06" w14:textId="5F93E822"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bookmarkStart w:id="1" w:name="_Hlk212373724"/>
            <w:r w:rsidRPr="001F49E7">
              <w:rPr>
                <w:rFonts w:eastAsia="Times New Roman" w:cstheme="minorHAnsi"/>
                <w:color w:val="000000" w:themeColor="text1"/>
                <w:kern w:val="0"/>
                <w:sz w:val="16"/>
                <w:szCs w:val="16"/>
                <w14:ligatures w14:val="none"/>
              </w:rPr>
              <w:t xml:space="preserve">A. A. Momenan 2011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{"citationID":"mnwU9LzD","properties":{"unsorted":false,"formattedCitation":"(1)","plainCitation":"(1)","noteIndex":0},"citationItems":[{"id":74,"uris":["http://zotero.org/users/local/SBvLfXY8/items/RIHBE8Y3"],"itemData":{"id":74,"type":"article-journal","abstract":"The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FBA402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Leisure</w:t>
            </w:r>
            <w:r w:rsidRPr="001F49E7">
              <w:rPr>
                <w:rFonts w:eastAsia="Times New Roman" w:cstheme="minorHAnsi"/>
                <w:color w:val="000000" w:themeColor="text1"/>
                <w:kern w:val="0"/>
                <w:sz w:val="16"/>
                <w:szCs w:val="16"/>
                <w14:ligatures w14:val="none"/>
              </w:rPr>
              <w:noBreakHyphen/>
              <w:t>time PA MET</w:t>
            </w:r>
            <w:r w:rsidRPr="001F49E7">
              <w:rPr>
                <w:rFonts w:eastAsia="Times New Roman" w:cstheme="minorHAnsi"/>
                <w:color w:val="000000" w:themeColor="text1"/>
                <w:kern w:val="0"/>
                <w:sz w:val="16"/>
                <w:szCs w:val="16"/>
                <w14:ligatures w14:val="none"/>
              </w:rPr>
              <w:noBreakHyphen/>
              <w:t xml:space="preserve">min/week in sex groups [median]; prevalence of LTPA in specific groups of age, </w:t>
            </w:r>
            <w:r w:rsidRPr="001F49E7">
              <w:rPr>
                <w:rFonts w:eastAsia="Times New Roman" w:cstheme="minorHAnsi"/>
                <w:color w:val="000000" w:themeColor="text1"/>
                <w:kern w:val="0"/>
                <w:sz w:val="16"/>
                <w:szCs w:val="16"/>
                <w14:ligatures w14:val="none"/>
              </w:rPr>
              <w:lastRenderedPageBreak/>
              <w:t>occupation, smoking, education, hrs worked</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low PA OR for education, smoking, BMI, hrs worked</w:t>
            </w:r>
          </w:p>
        </w:tc>
        <w:tc>
          <w:tcPr>
            <w:tcW w:w="548" w:type="pct"/>
            <w:shd w:val="clear" w:color="auto" w:fill="FFFFFF"/>
            <w:tcMar>
              <w:top w:w="30" w:type="dxa"/>
              <w:left w:w="45" w:type="dxa"/>
              <w:bottom w:w="30" w:type="dxa"/>
              <w:right w:w="45" w:type="dxa"/>
            </w:tcMar>
            <w:vAlign w:val="center"/>
            <w:hideMark/>
          </w:tcPr>
          <w:p w14:paraId="773D01E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MAQ </w:t>
            </w:r>
          </w:p>
        </w:tc>
        <w:tc>
          <w:tcPr>
            <w:tcW w:w="1097" w:type="pct"/>
            <w:shd w:val="clear" w:color="auto" w:fill="FFFFFF"/>
            <w:tcMar>
              <w:top w:w="30" w:type="dxa"/>
              <w:left w:w="45" w:type="dxa"/>
              <w:bottom w:w="30" w:type="dxa"/>
              <w:right w:w="45" w:type="dxa"/>
            </w:tcMar>
            <w:vAlign w:val="center"/>
            <w:hideMark/>
          </w:tcPr>
          <w:p w14:paraId="7A7F9312" w14:textId="61CC27B1"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PA</w:t>
            </w:r>
            <w:r w:rsidR="00770B51" w:rsidRPr="001F49E7">
              <w:rPr>
                <w:rFonts w:eastAsia="Times New Roman" w:cstheme="minorHAnsi"/>
                <w:color w:val="000000" w:themeColor="text1"/>
                <w:kern w:val="0"/>
                <w:sz w:val="16"/>
                <w:szCs w:val="16"/>
                <w14:ligatures w14:val="none"/>
              </w:rPr>
              <w:t>:</w:t>
            </w:r>
            <w:r w:rsidRPr="001F49E7">
              <w:rPr>
                <w:rFonts w:eastAsia="Times New Roman" w:cstheme="minorHAnsi"/>
                <w:color w:val="000000" w:themeColor="text1"/>
                <w:kern w:val="0"/>
                <w:sz w:val="16"/>
                <w:szCs w:val="16"/>
                <w14:ligatures w14:val="none"/>
              </w:rPr>
              <w:t xml:space="preserve"> active and inactive</w:t>
            </w:r>
          </w:p>
        </w:tc>
        <w:tc>
          <w:tcPr>
            <w:tcW w:w="457" w:type="pct"/>
            <w:shd w:val="clear" w:color="auto" w:fill="FFFFFF"/>
            <w:tcMar>
              <w:top w:w="30" w:type="dxa"/>
              <w:left w:w="45" w:type="dxa"/>
              <w:bottom w:w="30" w:type="dxa"/>
              <w:right w:w="45" w:type="dxa"/>
            </w:tcMar>
            <w:vAlign w:val="center"/>
            <w:hideMark/>
          </w:tcPr>
          <w:p w14:paraId="0B3A1FB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4FE0556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educational levels, smoking, high BMI, and more work hours</w:t>
            </w:r>
          </w:p>
        </w:tc>
        <w:tc>
          <w:tcPr>
            <w:tcW w:w="1067" w:type="pct"/>
            <w:shd w:val="clear" w:color="auto" w:fill="FFFFFF"/>
            <w:tcMar>
              <w:top w:w="30" w:type="dxa"/>
              <w:left w:w="45" w:type="dxa"/>
              <w:bottom w:w="30" w:type="dxa"/>
              <w:right w:w="45" w:type="dxa"/>
            </w:tcMar>
            <w:vAlign w:val="center"/>
            <w:hideMark/>
          </w:tcPr>
          <w:p w14:paraId="0825A66D" w14:textId="00A95D3E"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Focus on education improvement, reducing/modifying work hours, and reducing cigarette smoking. Public health </w:t>
            </w:r>
            <w:r w:rsidRPr="001F49E7">
              <w:rPr>
                <w:rFonts w:eastAsia="Times New Roman" w:cstheme="minorHAnsi"/>
                <w:color w:val="000000" w:themeColor="text1"/>
                <w:kern w:val="0"/>
                <w:sz w:val="16"/>
                <w:szCs w:val="16"/>
                <w14:ligatures w14:val="none"/>
              </w:rPr>
              <w:lastRenderedPageBreak/>
              <w:t xml:space="preserve">efforts to improve people's participation in physical activities in Iran </w:t>
            </w:r>
          </w:p>
        </w:tc>
      </w:tr>
      <w:tr w:rsidR="00F243D9" w:rsidRPr="001F49E7" w14:paraId="56266316" w14:textId="77777777" w:rsidTr="007E49A6">
        <w:trPr>
          <w:trHeight w:val="315"/>
        </w:trPr>
        <w:tc>
          <w:tcPr>
            <w:tcW w:w="550" w:type="pct"/>
            <w:shd w:val="clear" w:color="auto" w:fill="FFFFFF"/>
            <w:tcMar>
              <w:top w:w="30" w:type="dxa"/>
              <w:left w:w="45" w:type="dxa"/>
              <w:bottom w:w="30" w:type="dxa"/>
              <w:right w:w="45" w:type="dxa"/>
            </w:tcMar>
            <w:vAlign w:val="center"/>
            <w:hideMark/>
          </w:tcPr>
          <w:p w14:paraId="6E48A4F4" w14:textId="03EE7500"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M. Jessri 2011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{"citationID":"hVqAwHo2","properties":{"formattedCitation":"(2)","plainCitation":"(2)","noteIndex":0},"citationItems":[{"id":"ulROLKvl/6YRPMA5h","uris":["http://zotero.org/users/16072611/items/9DRMCNCQ"],"itemData":{"id":474,"type":"article-journal","abstract":"BACKGROUND: Although Iran is a high-risk region for esophageal squamous cell carcinoma (ESCC), dietary factors that may contribute to this high incidence have not been thoroughly studied. The aim of this study was to evaluate the effect of macronutrients, vitamins and minerals on the risk of ESCC.\nMETHODS: In this hospital-based case-control study, 47 cases with incident ESCC and 96 controls were interviewed and usual dietary intakes were collected using a validated food frequency questionnaire. Data were modeled through unconditional multiple logistic regression to estimate odds ratios (OR) and 95% confidence intervals (CI), controlling for age, sex, gastrointestinal reflux, body mass index, smoking history (status, intensity and duration), physical activity, and education.\nRESULTS: ESCC cases consumed significantly more hot foods and beverages and fried and barbecued meals, compared to the controls (p &lt; 0.05). After adjusting for potential confounders, the risk of ESCC increased significantly in the highest tertiles of saturated fat [OR:2.88,95%CI:1.15-3.08], cholesterol [OR:1.53, 95%CI: 1.41-4.13], discretionary calorie [OR:1.51, 95%CI: 1.06-3.84], sodium [OR:1.49,95%CI:1.12-2.89] and total fat intakes [OR:1.48, 95%CI:1.09-3.04]. In contrast, being in the highest tertile of carbohydrate, dietary fiber and (n-3) fatty acid intake reduced the ESCC risk by 78%, 71% and 68%, respectively. The most cancer-protective effect was observed for the combination of high folate and vitamin E intakes (OR: 0.02, 95%CI: 0.00-0.87; p &lt; 0.001). Controls consumed 623.5 times higher selenium, 5.48 times as much β-carotene and 1.98 times as much α-tocopherol as the amount ESCC cases consumed.\nCONCLUSION: This study suggests that high intake of nutrients primarily found in plant-based foods is associated with a reduced esophageal cancer risk. Some nutrients such as folate, vitamin E and selenium might play major roles in the etiology of ESCC and their status may eventually be used as an epidemiological marker for esophageal cancer in Iran, and perhaps other high-risk regions.","container-title":"Nutrition Journal","DOI":"10.1186/1475-2891-10-137","ISSN":"1475-2891","journalAbbreviation":"Nutr J","language":"eng","page":"137","PMID":"22185224","PMCID":"PMC3260093","source":"PubMed","title":"Macronutrients, vitamins and minerals intake and risk of esophageal squamous cell carcinoma: a case-control study in Iran","title-short":"Macronutrients, vitamins and minerals intake and risk of esophageal squamous cell carcinoma","volume":"10","author":[{"family":"Jessri","given":"Mahsa"},{"family":"Rashidkhani","given":"Bahram"},{"family":"Hajizadeh","given":"Bahareh"},{"family":"Jessri","given":"Maryam"},{"family":"Gotay","given":"Carolyn"}],"issued":{"date-parts":[["2011",12,20]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73ED063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ESCC</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Sex-specific PA prevalence as a covariate</w:t>
            </w:r>
          </w:p>
        </w:tc>
        <w:tc>
          <w:tcPr>
            <w:tcW w:w="548" w:type="pct"/>
            <w:shd w:val="clear" w:color="auto" w:fill="FFFFFF"/>
            <w:tcMar>
              <w:top w:w="30" w:type="dxa"/>
              <w:left w:w="45" w:type="dxa"/>
              <w:bottom w:w="30" w:type="dxa"/>
              <w:right w:w="45" w:type="dxa"/>
            </w:tcMar>
            <w:vAlign w:val="center"/>
            <w:hideMark/>
          </w:tcPr>
          <w:p w14:paraId="6713992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kern w:val="0"/>
                <w:sz w:val="16"/>
                <w:szCs w:val="16"/>
                <w14:ligatures w14:val="none"/>
              </w:rPr>
              <w:t>A Danish MET-based questionnaire</w:t>
            </w:r>
            <w:r w:rsidRPr="001F49E7">
              <w:rPr>
                <w:rFonts w:eastAsia="Times New Roman" w:cstheme="minorHAnsi"/>
                <w:kern w:val="0"/>
                <w:sz w:val="16"/>
                <w:szCs w:val="16"/>
                <w:vertAlign w:val="superscript"/>
                <w14:ligatures w14:val="none"/>
              </w:rPr>
              <w:t>1</w:t>
            </w:r>
            <w:r w:rsidRPr="001F49E7">
              <w:rPr>
                <w:rFonts w:eastAsia="Times New Roman" w:cstheme="minorHAnsi"/>
                <w:kern w:val="0"/>
                <w:sz w:val="16"/>
                <w:szCs w:val="16"/>
                <w14:ligatures w14:val="none"/>
              </w:rPr>
              <w:t xml:space="preserve"> </w:t>
            </w:r>
          </w:p>
        </w:tc>
        <w:tc>
          <w:tcPr>
            <w:tcW w:w="1097" w:type="pct"/>
            <w:shd w:val="clear" w:color="auto" w:fill="FFFFFF"/>
            <w:tcMar>
              <w:top w:w="30" w:type="dxa"/>
              <w:left w:w="45" w:type="dxa"/>
              <w:bottom w:w="30" w:type="dxa"/>
              <w:right w:w="45" w:type="dxa"/>
            </w:tcMar>
            <w:vAlign w:val="center"/>
            <w:hideMark/>
          </w:tcPr>
          <w:p w14:paraId="75E8850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Light/Heavy PA</w:t>
            </w:r>
          </w:p>
        </w:tc>
        <w:tc>
          <w:tcPr>
            <w:tcW w:w="457" w:type="pct"/>
            <w:shd w:val="clear" w:color="auto" w:fill="FFFFFF"/>
            <w:tcMar>
              <w:top w:w="30" w:type="dxa"/>
              <w:left w:w="45" w:type="dxa"/>
              <w:bottom w:w="30" w:type="dxa"/>
              <w:right w:w="45" w:type="dxa"/>
            </w:tcMar>
            <w:vAlign w:val="center"/>
            <w:hideMark/>
          </w:tcPr>
          <w:p w14:paraId="7443448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53A93F9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3FF9330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68F98634" w14:textId="77777777" w:rsidTr="007E49A6">
        <w:trPr>
          <w:trHeight w:val="315"/>
        </w:trPr>
        <w:tc>
          <w:tcPr>
            <w:tcW w:w="550" w:type="pct"/>
            <w:shd w:val="clear" w:color="auto" w:fill="FFFFFF"/>
            <w:tcMar>
              <w:top w:w="30" w:type="dxa"/>
              <w:left w:w="45" w:type="dxa"/>
              <w:bottom w:w="30" w:type="dxa"/>
              <w:right w:w="45" w:type="dxa"/>
            </w:tcMar>
            <w:vAlign w:val="center"/>
            <w:hideMark/>
          </w:tcPr>
          <w:p w14:paraId="2F1EB967" w14:textId="46CB1628"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S. Esmaeilzadeh 2013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{"citationID":"6evgycaU","properties":{"formattedCitation":"(3)","plainCitation":"(3)","noteIndex":0},"citationItems":[{"id":"ulROLKvl/POMc7oym","uris":["http://zotero.org/users/16072611/items/VAYI5YWZ"],"itemData":{"id":471,"type":"article-journal","abstract":"INTRODUCTION: The experience of infertility is a common medical condition in the developing countries. The aim of this retrospective epidemiologic study was to determine fertility status and parity in Babol, Iran and then identify physical activity and body mass index (BMI) among women who have experienced infertility.\nMATERIAL AND METHODS: A total of 1,081 women aged 20-45 years were selected using cluster sampling. The current physical activity was measured using the original International Physical Activity Questionnaire short form. Lifestyle factors were compared between those who had experienced infertility (n = 168) and the rest of the women. A face-to-face household interview was conducted using a specially designed interview questionnaire.\nRESULTS: After adjusting for suspected confounding factors, women with infertility experience had a 4.8-fold increased risk of obesity (OR = 2.02, CI = 0.70, 5.84) and almost a 3.8-fold increased risk of being overweight (OR = 2.11, CI = 0.72, 6.17) compared to women without infertility. No significant differences were found in Met-minutes of sedentary activity, intensity of walking, moderate, vigorous, and total physical activity, self-reported dietary intake, exercise, and level of physical activity between women with and without experience of infertility.\nCONCLUSIONS: Since both obesity and infertility are increasing public health issues in Iranian women, more attention should be paid to lifestyle behaviors, especially gaining weight in women who have experienced infertility.","container-title":"Archives of medical science: AMS","DOI":"10.5114/aoms.2013.35342","ISSN":"1734-1922","issue":"3","journalAbbreviation":"Arch Med Sci","language":"eng","page":"499-505","PMID":"23847673","PMCID":"PMC3701979","source":"PubMed","title":"Physical activity and body mass index among women who have experienced infertility","volume":"9","author":[{"family":"Esmaeilzadeh","given":"Seddigheh"},{"family":"Delavar","given":"Mouloud Agajani"},{"family":"Basirat","given":"Zahra"},{"family":"Shafi","given":"Hamid"}],"issued":{"date-parts":[["2013",6,20]]}}}],"schema":"https://github.com/citation-style-language/schema/raw/master/csl-citation.json"}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(3)</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48BB7DE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 Primary outcome: PA levels and BMI levels in fertile and infertile groups </w:t>
            </w:r>
          </w:p>
        </w:tc>
        <w:tc>
          <w:tcPr>
            <w:tcW w:w="548" w:type="pct"/>
            <w:shd w:val="clear" w:color="auto" w:fill="FFFFFF"/>
            <w:tcMar>
              <w:top w:w="30" w:type="dxa"/>
              <w:left w:w="45" w:type="dxa"/>
              <w:bottom w:w="30" w:type="dxa"/>
              <w:right w:w="45" w:type="dxa"/>
            </w:tcMar>
            <w:vAlign w:val="center"/>
            <w:hideMark/>
          </w:tcPr>
          <w:p w14:paraId="5BD91C4B" w14:textId="1E97DF8A" w:rsidR="00F243D9" w:rsidRPr="001F49E7" w:rsidRDefault="00097F30"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hideMark/>
          </w:tcPr>
          <w:p w14:paraId="331F573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Low/Moderate/High PA</w:t>
            </w:r>
          </w:p>
        </w:tc>
        <w:tc>
          <w:tcPr>
            <w:tcW w:w="457" w:type="pct"/>
            <w:shd w:val="clear" w:color="auto" w:fill="FFFFFF"/>
            <w:tcMar>
              <w:top w:w="30" w:type="dxa"/>
              <w:left w:w="45" w:type="dxa"/>
              <w:bottom w:w="30" w:type="dxa"/>
              <w:right w:w="45" w:type="dxa"/>
            </w:tcMar>
            <w:vAlign w:val="center"/>
            <w:hideMark/>
          </w:tcPr>
          <w:p w14:paraId="5462B1E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694EBBB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659A3BEB" w14:textId="6FFC03B5"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Public</w:t>
            </w:r>
            <w:r w:rsidRPr="001F49E7">
              <w:rPr>
                <w:rFonts w:eastAsia="Times New Roman" w:cstheme="minorHAnsi"/>
                <w:color w:val="000000" w:themeColor="text1"/>
                <w:kern w:val="0"/>
                <w:sz w:val="16"/>
                <w:szCs w:val="16"/>
                <w14:ligatures w14:val="none"/>
              </w:rPr>
              <w:noBreakHyphen/>
              <w:t>health programs to control weight gain and promote a healthy lifestyle in women with infertility</w:t>
            </w:r>
          </w:p>
        </w:tc>
      </w:tr>
      <w:tr w:rsidR="00F243D9" w:rsidRPr="001F49E7" w14:paraId="4709A237" w14:textId="77777777" w:rsidTr="007E49A6">
        <w:trPr>
          <w:trHeight w:val="315"/>
        </w:trPr>
        <w:tc>
          <w:tcPr>
            <w:tcW w:w="550" w:type="pct"/>
            <w:shd w:val="clear" w:color="auto" w:fill="FFFFFF"/>
            <w:tcMar>
              <w:top w:w="30" w:type="dxa"/>
              <w:left w:w="45" w:type="dxa"/>
              <w:bottom w:w="30" w:type="dxa"/>
              <w:right w:w="45" w:type="dxa"/>
            </w:tcMar>
            <w:vAlign w:val="center"/>
          </w:tcPr>
          <w:p w14:paraId="21AD2C87"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Sadeghi 2015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qQrc754G","properties":{"unsorted":false,"formattedCitation":"(4)","plainCitation":"(4)","noteIndex":0},"citationItems":[{"id":233,"uris":["http://zotero.org/users/local/SBvLfXY8/items/W8ED7XA3"],"itemData":{"id":233,"type":"article-journal","abstract":"Introduction: Infertility is one of the major health problem in different communities. A considerable part of infertility is related to environmental factors and is preventable. According to the prevalence of infertility in iran, and the role of life-style related factors such as: dietary pattern, exercise and weight management in causing reproductive problems, this study was performed with aim to compare food intake, physical activity and weight of infertile women and healthy women aged 25-40 years. Methods: This descriptive and analytic study was performed on 144 infertile women and 144 healthy women referred to Vali-Asr Fertility Research Center, Tehran Gynecology Hospital, and Health Center of East Tehran during 2013 to 2014. General information, dietary intake and physical activity were collected through interviews. Anthropometric measurements were recorded. Data were analyzed by SPSS software (version 16) and using T- test, Chi-square test and logistic regression. PResults: Mean weight was 69.01±11.29 kg and 64.48±7.95 kg in infertile and healthy women, respectively. Mean weight (P= 0.007) and body mass index (P = 0.009) were significantly different between two groups. The duration of daily physical activity in infertile women was less than healthy women, and mainly had light activity, but, there was no significant difference between two groups (P&gt;0.05). Intake of calorie (P= 0.027), protein (P=0.008), carbohydrate (P&lt; 0.001), selenium (P = 0.004), zinc (P&lt;0.001), and vitamin C (P=0.019) were more in infertile women than healthy women. Total fat (P= 0.04), vitamin E (P=0.038) and iron (P&lt;0.001) intake was higher in healthy women than infertile women. After adjusting for confounding factor (consumed energy), only carbohydrate intake was significant between two groups (P&lt;0.05). Conclusion: lack of physical activity and extra calorie intake are of the causes of obesity. Since the frequency of overweight and obesity in infertile women was 2.2 times more than healthy women, it seems that proper nutrition and exercise can play a role in the prevention and treatment of infertility.","container-title":"The Iranian Journal of Obstetrics, Gynecology and Infertility","DOI":"10.22038/ijogi.2015.6367","ISSN":"1680-2993","issue":"173","note":"_eprint: https://ijogi.mums.ac.ir/article_6367_103b49ded984bee7ecf4430d3984a8c3.pdf","page":"32-40","publisher":"Mashhad University of Medical Sciences","title":"Comparison of Food intake, physical activity and weight in infertile and healthy women aged 25-40 years","volume":"18","author":[{"family":"Sadeghi","given":"Fargol"},{"family":"Miri","given":"Nastaran"},{"family":"Barikani","given":"Ameneh"},{"family":"Hossein Rashidi","given":"Batool"},{"family":"Ghasemi Nejad","given":"Azizeh"},{"family":"Hojaji","given":"Elham"},{"family":"Javadi","given":"Maryam"}],"issued":{"date-parts":[["2015"]]}}}],"schema":"https://github.com/citation-style-language/schema/raw/master/csl-citation.json"}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(4)</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0B91FCE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 Comparing total PA between fertile and infertile women</w:t>
            </w:r>
          </w:p>
        </w:tc>
        <w:tc>
          <w:tcPr>
            <w:tcW w:w="548" w:type="pct"/>
            <w:shd w:val="clear" w:color="auto" w:fill="FFFFFF"/>
            <w:tcMar>
              <w:top w:w="30" w:type="dxa"/>
              <w:left w:w="45" w:type="dxa"/>
              <w:bottom w:w="30" w:type="dxa"/>
              <w:right w:w="45" w:type="dxa"/>
            </w:tcMar>
            <w:vAlign w:val="center"/>
          </w:tcPr>
          <w:p w14:paraId="7A9F024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kern w:val="0"/>
                <w:sz w:val="16"/>
                <w:szCs w:val="16"/>
                <w14:ligatures w14:val="none"/>
              </w:rPr>
              <w:t>A Danish MET-based questionnaire</w:t>
            </w:r>
            <w:r w:rsidRPr="001F49E7">
              <w:rPr>
                <w:rFonts w:eastAsia="Times New Roman" w:cstheme="minorHAnsi"/>
                <w:kern w:val="0"/>
                <w:sz w:val="16"/>
                <w:szCs w:val="16"/>
                <w:vertAlign w:val="superscript"/>
                <w14:ligatures w14:val="none"/>
              </w:rPr>
              <w:t>1</w:t>
            </w:r>
            <w:r w:rsidRPr="001F49E7">
              <w:rPr>
                <w:rFonts w:eastAsia="Times New Roman" w:cstheme="minorHAnsi"/>
                <w:kern w:val="0"/>
                <w:sz w:val="16"/>
                <w:szCs w:val="16"/>
                <w14:ligatures w14:val="none"/>
              </w:rPr>
              <w:t xml:space="preserve"> </w:t>
            </w:r>
          </w:p>
        </w:tc>
        <w:tc>
          <w:tcPr>
            <w:tcW w:w="1097" w:type="pct"/>
            <w:shd w:val="clear" w:color="auto" w:fill="FFFFFF"/>
            <w:tcMar>
              <w:top w:w="30" w:type="dxa"/>
              <w:left w:w="45" w:type="dxa"/>
              <w:bottom w:w="30" w:type="dxa"/>
              <w:right w:w="45" w:type="dxa"/>
            </w:tcMar>
            <w:vAlign w:val="center"/>
          </w:tcPr>
          <w:p w14:paraId="4128378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 medium and high PA</w:t>
            </w:r>
          </w:p>
        </w:tc>
        <w:tc>
          <w:tcPr>
            <w:tcW w:w="457" w:type="pct"/>
            <w:shd w:val="clear" w:color="auto" w:fill="FFFFFF"/>
            <w:tcMar>
              <w:top w:w="30" w:type="dxa"/>
              <w:left w:w="45" w:type="dxa"/>
              <w:bottom w:w="30" w:type="dxa"/>
              <w:right w:w="45" w:type="dxa"/>
            </w:tcMar>
            <w:vAlign w:val="center"/>
          </w:tcPr>
          <w:p w14:paraId="3EE67A0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tcPr>
          <w:p w14:paraId="2AE4256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002C857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16CE22B2" w14:textId="77777777" w:rsidTr="007E49A6">
        <w:trPr>
          <w:trHeight w:val="315"/>
        </w:trPr>
        <w:tc>
          <w:tcPr>
            <w:tcW w:w="550" w:type="pct"/>
            <w:shd w:val="clear" w:color="auto" w:fill="FFFFFF"/>
            <w:tcMar>
              <w:top w:w="30" w:type="dxa"/>
              <w:left w:w="45" w:type="dxa"/>
              <w:bottom w:w="30" w:type="dxa"/>
              <w:right w:w="45" w:type="dxa"/>
            </w:tcMar>
            <w:vAlign w:val="center"/>
            <w:hideMark/>
          </w:tcPr>
          <w:p w14:paraId="53980EC9" w14:textId="6EACA92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Y. Pasdar 2016 </w:t>
            </w:r>
            <w:r w:rsidRPr="001F49E7">
              <w:rPr>
                <w:rFonts w:eastAsia="Times New Roman" w:cstheme="minorHAnsi"/>
                <w:color w:val="000000" w:themeColor="text1"/>
                <w:kern w:val="0"/>
                <w:sz w:val="16"/>
                <w:szCs w:val="16"/>
                <w14:ligatures w14:val="none"/>
              </w:rPr>
              <w:fldChar w:fldCharType="begin"/>
            </w:r>
            <w:r w:rsidR="001F7B79" w:rsidRPr="001F49E7">
              <w:rPr>
                <w:rFonts w:eastAsia="Times New Roman" w:cstheme="minorHAnsi"/>
                <w:color w:val="000000" w:themeColor="text1"/>
                <w:kern w:val="0"/>
                <w:sz w:val="16"/>
                <w:szCs w:val="16"/>
                <w14:ligatures w14:val="none"/>
              </w:rPr>
              <w:instrText xml:space="preserve"> ADDIN ZOTERO_ITEM CSL_CITATION {"citationID":"Kv8iXzPP","properties":{"unsorted":false,"formattedCitation":"(5)","plainCitation":"(5)","noteIndex":0},"citationItems":[{"id":244,"uris":["http://zotero.org/users/local/SBvLfXY8/items/MWPBQRYT"],"itemData":{"id":244,"type":"article-journal","page":"12837-12846","title":"The relationship between anthropometric indexes and blood biomarkers with fatty liver-a case-control study; Kermanshah, Iran","volume":"8","author":[{"family":"Pasdar","given":"Yahya"},{"family":"Rahimi","given":"Fateme"},{"family":"Salehi","given":"Mohammad"},{"family":"Darbandi","given":"Mitra"},{"family":"Nazar","given":"Mehdi"},{"family":"Niazi","given":"Parisa"},{"family":"Nachvak","given":"Seyed"}],"issued":{"date-parts":[["2016",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1F7B79" w:rsidRPr="001F49E7">
              <w:rPr>
                <w:rFonts w:ascii="Aptos" w:hAnsi="Aptos"/>
                <w:sz w:val="16"/>
              </w:rPr>
              <w:t>(5)</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B7C29E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The role of anthropometric indices and blood biomarkers in developing NAFLD</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as a covariate</w:t>
            </w:r>
          </w:p>
        </w:tc>
        <w:tc>
          <w:tcPr>
            <w:tcW w:w="548" w:type="pct"/>
            <w:shd w:val="clear" w:color="auto" w:fill="FFFFFF"/>
            <w:tcMar>
              <w:top w:w="30" w:type="dxa"/>
              <w:left w:w="45" w:type="dxa"/>
              <w:bottom w:w="30" w:type="dxa"/>
              <w:right w:w="45" w:type="dxa"/>
            </w:tcMar>
            <w:vAlign w:val="center"/>
            <w:hideMark/>
          </w:tcPr>
          <w:p w14:paraId="356090E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54A3F62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(less than 600 Met min/Week)/Moderate (at least 600 Met-min/Week)/High (at least 3000 Met-min/Week) PA</w:t>
            </w:r>
          </w:p>
        </w:tc>
        <w:tc>
          <w:tcPr>
            <w:tcW w:w="457" w:type="pct"/>
            <w:shd w:val="clear" w:color="auto" w:fill="FFFFFF"/>
            <w:tcMar>
              <w:top w:w="30" w:type="dxa"/>
              <w:left w:w="45" w:type="dxa"/>
              <w:bottom w:w="30" w:type="dxa"/>
              <w:right w:w="45" w:type="dxa"/>
            </w:tcMar>
            <w:vAlign w:val="center"/>
            <w:hideMark/>
          </w:tcPr>
          <w:p w14:paraId="31267F19" w14:textId="5D4C69DF"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r w:rsidR="005A7582" w:rsidRPr="001F49E7">
              <w:rPr>
                <w:rFonts w:eastAsia="Times New Roman" w:cstheme="minorHAnsi"/>
                <w:color w:val="000000" w:themeColor="text1"/>
                <w:kern w:val="0"/>
                <w:sz w:val="16"/>
                <w:szCs w:val="16"/>
                <w14:ligatures w14:val="none"/>
              </w:rPr>
              <w:t xml:space="preserve"> &amp; Active environments</w:t>
            </w:r>
          </w:p>
        </w:tc>
        <w:tc>
          <w:tcPr>
            <w:tcW w:w="518" w:type="pct"/>
            <w:shd w:val="clear" w:color="auto" w:fill="FFFFFF"/>
            <w:tcMar>
              <w:top w:w="30" w:type="dxa"/>
              <w:left w:w="45" w:type="dxa"/>
              <w:bottom w:w="30" w:type="dxa"/>
              <w:right w:w="45" w:type="dxa"/>
            </w:tcMar>
            <w:vAlign w:val="center"/>
            <w:hideMark/>
          </w:tcPr>
          <w:p w14:paraId="2CE6A88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2F92337E" w14:textId="1B8B3255"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Preparing a suitable environment to encourage PA, and consult on managing weight </w:t>
            </w:r>
          </w:p>
        </w:tc>
      </w:tr>
      <w:tr w:rsidR="00F243D9" w:rsidRPr="001F49E7" w14:paraId="5852F447" w14:textId="77777777" w:rsidTr="007E49A6">
        <w:trPr>
          <w:trHeight w:val="315"/>
        </w:trPr>
        <w:tc>
          <w:tcPr>
            <w:tcW w:w="550" w:type="pct"/>
            <w:shd w:val="clear" w:color="auto" w:fill="FFFFFF"/>
            <w:tcMar>
              <w:top w:w="30" w:type="dxa"/>
              <w:left w:w="45" w:type="dxa"/>
              <w:bottom w:w="30" w:type="dxa"/>
              <w:right w:w="45" w:type="dxa"/>
            </w:tcMar>
            <w:vAlign w:val="center"/>
            <w:hideMark/>
          </w:tcPr>
          <w:p w14:paraId="47EB8DB9" w14:textId="436C5D51"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N. Khademi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{"citationID":"HecUdOGd","properties":{"unsorted":false,"formattedCitation":"(6)","plainCitation":"(6)","noteIndex":0},"citationItems":[{"id":79,"uris":["http://zotero.org/users/local/SBvLfXY8/items/9FYTWKNS"],"itemData":{"id":79,"type":"article-journal","abstract":"The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(6)</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32A8BA5D" w14:textId="49890149"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gender- and age-related prevalence of RFs of NCDs </w:t>
            </w:r>
            <w:r w:rsidRPr="001F49E7">
              <w:rPr>
                <w:rFonts w:eastAsia="Times New Roman" w:cstheme="minorHAnsi"/>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PA prevalence</w:t>
            </w:r>
            <w:r w:rsidR="00C343B5" w:rsidRPr="001F49E7">
              <w:rPr>
                <w:rFonts w:eastAsia="Times New Roman" w:cstheme="minorHAnsi"/>
                <w:color w:val="000000" w:themeColor="text1"/>
                <w:kern w:val="0"/>
                <w:sz w:val="16"/>
                <w:szCs w:val="16"/>
                <w14:ligatures w14:val="none"/>
              </w:rPr>
              <w:t xml:space="preserve"> as a covariate</w:t>
            </w:r>
          </w:p>
        </w:tc>
        <w:tc>
          <w:tcPr>
            <w:tcW w:w="548" w:type="pct"/>
            <w:shd w:val="clear" w:color="auto" w:fill="FFFFFF"/>
            <w:tcMar>
              <w:top w:w="30" w:type="dxa"/>
              <w:left w:w="45" w:type="dxa"/>
              <w:bottom w:w="30" w:type="dxa"/>
              <w:right w:w="45" w:type="dxa"/>
            </w:tcMar>
            <w:vAlign w:val="center"/>
            <w:hideMark/>
          </w:tcPr>
          <w:p w14:paraId="0E02588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GPAQ</w:t>
            </w:r>
          </w:p>
        </w:tc>
        <w:tc>
          <w:tcPr>
            <w:tcW w:w="1097" w:type="pct"/>
            <w:shd w:val="clear" w:color="auto" w:fill="FFFFFF"/>
            <w:tcMar>
              <w:top w:w="30" w:type="dxa"/>
              <w:left w:w="45" w:type="dxa"/>
              <w:bottom w:w="30" w:type="dxa"/>
              <w:right w:w="45" w:type="dxa"/>
            </w:tcMar>
            <w:vAlign w:val="center"/>
            <w:hideMark/>
          </w:tcPr>
          <w:p w14:paraId="0B0C001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Low/Moderate/High PA, respectively defined as &lt;600, 600–2999, and ≥3000 MET min/week</w:t>
            </w:r>
          </w:p>
        </w:tc>
        <w:tc>
          <w:tcPr>
            <w:tcW w:w="457" w:type="pct"/>
            <w:shd w:val="clear" w:color="auto" w:fill="FFFFFF"/>
            <w:tcMar>
              <w:top w:w="30" w:type="dxa"/>
              <w:left w:w="45" w:type="dxa"/>
              <w:bottom w:w="30" w:type="dxa"/>
              <w:right w:w="45" w:type="dxa"/>
            </w:tcMar>
            <w:vAlign w:val="center"/>
            <w:hideMark/>
          </w:tcPr>
          <w:p w14:paraId="666CA7F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Systems</w:t>
            </w:r>
          </w:p>
        </w:tc>
        <w:tc>
          <w:tcPr>
            <w:tcW w:w="518" w:type="pct"/>
            <w:shd w:val="clear" w:color="auto" w:fill="FFFFFF"/>
            <w:tcMar>
              <w:top w:w="30" w:type="dxa"/>
              <w:left w:w="45" w:type="dxa"/>
              <w:bottom w:w="30" w:type="dxa"/>
              <w:right w:w="45" w:type="dxa"/>
            </w:tcMar>
            <w:vAlign w:val="center"/>
            <w:hideMark/>
          </w:tcPr>
          <w:p w14:paraId="71752D6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5F33911D" w14:textId="281987F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More preventive programs, such as health education for employees </w:t>
            </w:r>
          </w:p>
        </w:tc>
      </w:tr>
      <w:tr w:rsidR="00F243D9" w:rsidRPr="001F49E7" w14:paraId="6568861F" w14:textId="77777777" w:rsidTr="007E49A6">
        <w:trPr>
          <w:trHeight w:val="315"/>
        </w:trPr>
        <w:tc>
          <w:tcPr>
            <w:tcW w:w="550" w:type="pct"/>
            <w:shd w:val="clear" w:color="auto" w:fill="FFFFFF"/>
            <w:tcMar>
              <w:top w:w="30" w:type="dxa"/>
              <w:left w:w="45" w:type="dxa"/>
              <w:bottom w:w="30" w:type="dxa"/>
              <w:right w:w="45" w:type="dxa"/>
            </w:tcMar>
            <w:vAlign w:val="center"/>
            <w:hideMark/>
          </w:tcPr>
          <w:p w14:paraId="152D36BF" w14:textId="23620132"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P. Noormohammadpour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F9jWuMvA","properties":{"formattedCitation":"(7)","plainCitation":"(7)","noteIndex":0},"citationItems":[{"id":"ulROLKvl/sr4fDVOx","uris":["http://zotero.org/users/16072611/items/TCS3IWD3","http://zotero.org/users/16072611/items/GTX3AFRT"],"itemData":{"id":509,"type":"article-journal","abstract":"BACKGROUND: Chronic musculoskeletal pain (CMP) is increasing in prevalence rapidly. Over the past 2 decades low back pain has been ranked globally as the primary cause of years lived with disability. The primary objective of this study was to investigate the prevalence of chronic neck pain (CNP), chronic low back pain (CLBP), and chronic knee pain (CKP) and their related risk factors in the national Iranian population.\nMETHODS: We analyzed data obtained through a cross-sectional, population-based survey of 7889 Iranians who were aged between 30 and 70 years.\nRESULTS: The prevalence of CNP, CLBP, and CKP was 15.34%, 27.18%, and 29.97%, respectively. Female sex, aging, body mass index≥25, Lur or Arab ethnicity, illiteracy, passive smoking, positive osteoporosis history, and low or high physical activity levels were risk factors for CLBP, CNP, and CKP after adjustment for potential confounders. For example, in participants with a body mass index≥30, odds ratios for CNP, CLBP, and CKP adjusted for age, sex, ethnicity, living area, education, employment status, smoking, and physical activity levels were 1.26 (95% confidence interval [CI], 1.04-1.52), 1.37 (95% CI, 1.17-1.59), and 1.64 (95% CI, 1.41-1.91), respectively.\nCONCLUSIONS: This is the first study investigating the prevalence of CNP, CLBP, and CKP in the national population of Iran. It shows some modifiable risk factors for CMP, and suggests that affordable planning for these risk factors can be valuable in preventing CMP globally. However, this is a cross-sectional study and future longitudinal studies in this field are necessary.","container-title":"The Clinical Journal of Pain","DOI":"10.1097/AJP.0000000000000396","ISSN":"1536-5409","issue":"2","journalAbbreviation":"Clin J Pain","language":"eng","page":"181-187","PMID":"27258995","source":"PubMed","title":"Prevalence of Chronic Neck Pain, Low Back Pain, and Knee Pain and Their Related Factors in Community-Dwelling Adults in Iran: A Population-based National Study","title-short":"Prevalence of Chronic Neck Pain, Low Back Pain, and Knee Pain and Their Related Factors in Community-Dwelling Adults in Iran","volume":"33","author":[{"family":"Noormohammadpour","given":"Pardis"},{"family":"Mansournia","given":"Mohammad Ali"},{"family":"Koohpayehzadeh","given":"Jalil"},{"family":"Asgari","given":"Fereshteh"},{"family":"Rostami","given":"Mohsen"},{"family":"Rafei","given":"Ali"},{"family":"Kordi","given":"Ramin"}],"issued":{"date-parts":[["2017",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(7)</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29A010D" w14:textId="3B927B6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=Prevalence of chronic neck pain, low back pain, and knee pain</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PA prevalence and AOR of PA in neck pain, knee pain, and low back pain</w:t>
            </w:r>
            <w:r w:rsidR="00D02C14" w:rsidRPr="001F49E7">
              <w:rPr>
                <w:rFonts w:eastAsia="Times New Roman" w:cstheme="minorHAnsi"/>
                <w:color w:val="000000" w:themeColor="text1"/>
                <w:kern w:val="0"/>
                <w:sz w:val="16"/>
                <w:szCs w:val="16"/>
                <w14:ligatures w14:val="none"/>
              </w:rPr>
              <w:t xml:space="preserve"> as a covariate</w:t>
            </w:r>
            <w:r w:rsidRPr="001F49E7">
              <w:rPr>
                <w:rFonts w:eastAsia="Times New Roman" w:cstheme="minorHAnsi"/>
                <w:color w:val="000000" w:themeColor="text1"/>
                <w:kern w:val="0"/>
                <w:sz w:val="16"/>
                <w:szCs w:val="16"/>
                <w14:ligatures w14:val="none"/>
              </w:rPr>
              <w:t xml:space="preserve"> </w:t>
            </w:r>
          </w:p>
        </w:tc>
        <w:tc>
          <w:tcPr>
            <w:tcW w:w="548" w:type="pct"/>
            <w:shd w:val="clear" w:color="auto" w:fill="FFFFFF"/>
            <w:tcMar>
              <w:top w:w="30" w:type="dxa"/>
              <w:left w:w="45" w:type="dxa"/>
              <w:bottom w:w="30" w:type="dxa"/>
              <w:right w:w="45" w:type="dxa"/>
            </w:tcMar>
            <w:vAlign w:val="center"/>
            <w:hideMark/>
          </w:tcPr>
          <w:p w14:paraId="69270F8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GPAQ</w:t>
            </w:r>
          </w:p>
        </w:tc>
        <w:tc>
          <w:tcPr>
            <w:tcW w:w="1097" w:type="pct"/>
            <w:shd w:val="clear" w:color="auto" w:fill="FFFFFF"/>
            <w:tcMar>
              <w:top w:w="30" w:type="dxa"/>
              <w:left w:w="45" w:type="dxa"/>
              <w:bottom w:w="30" w:type="dxa"/>
              <w:right w:w="45" w:type="dxa"/>
            </w:tcMar>
            <w:vAlign w:val="center"/>
            <w:hideMark/>
          </w:tcPr>
          <w:p w14:paraId="1A8B67E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Low/Moderate/High PA</w:t>
            </w:r>
          </w:p>
        </w:tc>
        <w:tc>
          <w:tcPr>
            <w:tcW w:w="457" w:type="pct"/>
            <w:shd w:val="clear" w:color="auto" w:fill="FFFFFF"/>
            <w:tcMar>
              <w:top w:w="30" w:type="dxa"/>
              <w:left w:w="45" w:type="dxa"/>
              <w:bottom w:w="30" w:type="dxa"/>
              <w:right w:w="45" w:type="dxa"/>
            </w:tcMar>
            <w:vAlign w:val="center"/>
            <w:hideMark/>
          </w:tcPr>
          <w:p w14:paraId="711ED8E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Systems</w:t>
            </w:r>
          </w:p>
        </w:tc>
        <w:tc>
          <w:tcPr>
            <w:tcW w:w="518" w:type="pct"/>
            <w:shd w:val="clear" w:color="auto" w:fill="FFFFFF"/>
            <w:tcMar>
              <w:top w:w="30" w:type="dxa"/>
              <w:left w:w="45" w:type="dxa"/>
              <w:bottom w:w="30" w:type="dxa"/>
              <w:right w:w="45" w:type="dxa"/>
            </w:tcMar>
            <w:vAlign w:val="center"/>
            <w:hideMark/>
          </w:tcPr>
          <w:p w14:paraId="4773B55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3514435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09380E77" w14:textId="77777777" w:rsidTr="007E49A6">
        <w:trPr>
          <w:trHeight w:val="315"/>
        </w:trPr>
        <w:tc>
          <w:tcPr>
            <w:tcW w:w="550" w:type="pct"/>
            <w:shd w:val="clear" w:color="auto" w:fill="FFFFFF"/>
            <w:tcMar>
              <w:top w:w="30" w:type="dxa"/>
              <w:left w:w="45" w:type="dxa"/>
              <w:bottom w:w="30" w:type="dxa"/>
              <w:right w:w="45" w:type="dxa"/>
            </w:tcMar>
            <w:vAlign w:val="center"/>
            <w:hideMark/>
          </w:tcPr>
          <w:p w14:paraId="4EAC5FF3" w14:textId="3A909E18"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E. Shakiba 2017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{"citationID":"n4jJSQpU","properties":{"formattedCitation":"(8)","plainCitation":"(8)","noteIndex":0},"citationItems":[{"id":"ulROLKvl/WXx5GQO9","uris":["http://zotero.org/users/16072611/items/G6D7W4QU"],"itemData":{"id":292,"type":"article-journal","abstract":"Background: There is some evidence suggesting that Body Mass Index (BMI) may increase plasma lipoprotein levels.Objectives: This study aimed to evaluate the possible association between BMI and dyslipidemia among the government staff of Kermanshah.Methods: This descriptive-analytical cross-sectional study was performed on the staff of 13 governmental organizations in Kerman shah (a city located in the west of Iran) in 2012. The staff was recruited using census method. We obtained information of 1496 staff aged 22 - 69 through the standardized stepwise questionnaire for NCDs risk factor surveillance. The staff was then physically examined by trained persons. Finally, their blood samples were obtained.Results: The prevalence of dyslipidemia was 16.6% in the study group, with the prevalence of 18.2% in men and 7.9% in women. There were also 53% (55.8% in men and 7.9% in women) and 17.8% (17.6% in men and 38.1% in women) prevalence rates for overweight and obesity, respectively. Dyslipidemia was significantly associated with factors such as BMI (P value = 0.004), gender (P value &lt; 0.001), marital status (P value = 0.01), cigarette smoking (P value = 0.008), and hookah smoking (P value = 0.002), but not with passive smoking, age, education level, physical activity, FBS (fast blood sugar), WHR (waist to hip ratio), hypertension, waist size, and hip size.In the adjusted model, there was a link merely between obesity and dyslipidemia while no statistically significant association was found between dyslipidemia and overweight. Moreover, a non-linear dose-response association was observed between dyslipidemia and BMI.Conclusions: Since dyslipidemia was significantly prevalent among men, fat people, and smokers, a particular attention is crucial to be paid to these groups.","container-title":"Iranian Red Crescent Medical Journal (IRCMJ)","DOI":"10.5812/ircmj.58335","ISSN":"2074-1804","issue":"8","language":"en","page":"1-6","publisher":"Red Crescent Organization","source":"www.ircmj.com","title":"Association of Body Mass Index with Dyslipidemia among the Government Staff of Kermanshah, Iran: A Cross-Sectional Study","title-short":"Association of Body Mass Index with Dyslipidemia among the Government Staff of Kermanshah, Iran","volume":"19","author":[{"family":"Shakiba","given":"Ebrahim"},{"family":"Khademi","given":"Nahid"},{"family":"Khoramdad","given":"Malihe"},{"family":"Alimohamadi","given":"Yousef"},{"family":"Izadi","given":"Neda"}],"issued":{"date-parts":[["2017",8,1]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(8)</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45E9DCB2" w14:textId="1E7B3855"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Association of body mass index with dyslipidemia</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PA prevalence</w:t>
            </w:r>
            <w:r w:rsidR="00C97E8E" w:rsidRPr="001F49E7">
              <w:rPr>
                <w:rFonts w:eastAsia="Times New Roman" w:cstheme="minorHAnsi"/>
                <w:color w:val="000000" w:themeColor="text1"/>
                <w:kern w:val="0"/>
                <w:sz w:val="16"/>
                <w:szCs w:val="16"/>
                <w14:ligatures w14:val="none"/>
              </w:rPr>
              <w:t xml:space="preserve"> as a covariate</w:t>
            </w:r>
          </w:p>
        </w:tc>
        <w:tc>
          <w:tcPr>
            <w:tcW w:w="548" w:type="pct"/>
            <w:shd w:val="clear" w:color="auto" w:fill="FFFFFF"/>
            <w:tcMar>
              <w:top w:w="30" w:type="dxa"/>
              <w:left w:w="45" w:type="dxa"/>
              <w:bottom w:w="30" w:type="dxa"/>
              <w:right w:w="45" w:type="dxa"/>
            </w:tcMar>
            <w:vAlign w:val="center"/>
            <w:hideMark/>
          </w:tcPr>
          <w:p w14:paraId="37C4765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kern w:val="0"/>
                <w:sz w:val="16"/>
                <w:szCs w:val="16"/>
                <w14:ligatures w14:val="none"/>
              </w:rPr>
              <w:t>Not specified</w:t>
            </w:r>
          </w:p>
        </w:tc>
        <w:tc>
          <w:tcPr>
            <w:tcW w:w="1097" w:type="pct"/>
            <w:shd w:val="clear" w:color="auto" w:fill="FFFFFF"/>
            <w:tcMar>
              <w:top w:w="30" w:type="dxa"/>
              <w:left w:w="45" w:type="dxa"/>
              <w:bottom w:w="30" w:type="dxa"/>
              <w:right w:w="45" w:type="dxa"/>
            </w:tcMar>
            <w:vAlign w:val="center"/>
            <w:hideMark/>
          </w:tcPr>
          <w:p w14:paraId="06FC29F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 or &lt; 600 MET- minutes/week</w:t>
            </w:r>
          </w:p>
        </w:tc>
        <w:tc>
          <w:tcPr>
            <w:tcW w:w="457" w:type="pct"/>
            <w:shd w:val="clear" w:color="auto" w:fill="FFFFFF"/>
            <w:tcMar>
              <w:top w:w="30" w:type="dxa"/>
              <w:left w:w="45" w:type="dxa"/>
              <w:bottom w:w="30" w:type="dxa"/>
              <w:right w:w="45" w:type="dxa"/>
            </w:tcMar>
            <w:vAlign w:val="center"/>
            <w:hideMark/>
          </w:tcPr>
          <w:p w14:paraId="12E1C99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7AFF3A7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435E06C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716DED06" w14:textId="77777777" w:rsidTr="007E49A6">
        <w:trPr>
          <w:trHeight w:val="315"/>
        </w:trPr>
        <w:tc>
          <w:tcPr>
            <w:tcW w:w="550" w:type="pct"/>
            <w:shd w:val="clear" w:color="auto" w:fill="FFFFFF"/>
            <w:tcMar>
              <w:top w:w="30" w:type="dxa"/>
              <w:left w:w="45" w:type="dxa"/>
              <w:bottom w:w="30" w:type="dxa"/>
              <w:right w:w="45" w:type="dxa"/>
            </w:tcMar>
            <w:vAlign w:val="center"/>
          </w:tcPr>
          <w:p w14:paraId="102707A7" w14:textId="392071D0"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SM. Mojtahedzadeh 2017 </w:t>
            </w:r>
            <w:r w:rsidRPr="001F49E7">
              <w:rPr>
                <w:rFonts w:eastAsia="Times New Roman" w:cstheme="minorHAnsi"/>
                <w:kern w:val="0"/>
                <w:sz w:val="16"/>
                <w:szCs w:val="16"/>
                <w14:ligatures w14:val="none"/>
              </w:rPr>
              <w:fldChar w:fldCharType="begin"/>
            </w:r>
            <w:r w:rsidR="007A0269" w:rsidRPr="001F49E7">
              <w:rPr>
                <w:rFonts w:eastAsia="Times New Roman" w:cstheme="minorHAnsi"/>
                <w:kern w:val="0"/>
                <w:sz w:val="16"/>
                <w:szCs w:val="16"/>
                <w14:ligatures w14:val="none"/>
              </w:rPr>
              <w:instrText xml:space="preserve"> ADDIN ZOTERO_ITEM CSL_CITATION {"citationID":"48xA0zk6","properties":{"unsorted":false,"formattedCitation":"(9)","plainCitation":"(9)","noteIndex":0},"citationItems":[{"id":241,"uris":["http://zotero.org/users/local/SBvLfXY8/items/QYGARS68"],"itemData":{"id":241,"type":"article-journal","abstract":"</w:instrText>
            </w:r>
            <w:r w:rsidR="007A0269" w:rsidRPr="001F49E7">
              <w:rPr>
                <w:rFonts w:eastAsia="Times New Roman" w:cs="Times New Roman"/>
                <w:kern w:val="0"/>
                <w:sz w:val="16"/>
                <w:szCs w:val="16"/>
                <w:rtl/>
                <w14:ligatures w14:val="none"/>
              </w:rPr>
              <w:instrText>زمینه و هدف: با توجه به صیانت از نیروی کار و مسولیت در حفظ سلامت کارکنان صنایع، این مطالعه با هدف بررسی شیوع چاقی و افزایش وزن در پالایشگاه آبادان بعنوان بزرگترین پالایشگاه ایران بعمل آمد. روش</w:instrText>
            </w:r>
            <w:r w:rsidR="007A0269" w:rsidRPr="001F49E7">
              <w:rPr>
                <w:rFonts w:eastAsia="Times New Roman" w:cstheme="minorHAnsi"/>
                <w:kern w:val="0"/>
                <w:sz w:val="16"/>
                <w:szCs w:val="16"/>
                <w14:ligatures w14:val="none"/>
              </w:rPr>
              <w:instrText xml:space="preserve">&amp;zwnj; </w:instrText>
            </w:r>
            <w:r w:rsidR="007A0269" w:rsidRPr="001F49E7">
              <w:rPr>
                <w:rFonts w:eastAsia="Times New Roman" w:cs="Times New Roman"/>
                <w:kern w:val="0"/>
                <w:sz w:val="16"/>
                <w:szCs w:val="16"/>
                <w:rtl/>
                <w14:ligatures w14:val="none"/>
              </w:rPr>
              <w:instrText>کار: در این مطالعه 721 نفر از پرسنل پالایشگاه آبادان از فهرست پرونده های معاینات سلامت شغلی سالیانه انتخاب، و پس از تن</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سنجی و تکمیل پرسشنامه و اخذ نمونه خون، اطلاعات آنها از طریق پرسشنامه سبک زندگی</w:instrText>
            </w:r>
            <w:r w:rsidR="007A0269" w:rsidRPr="001F49E7">
              <w:rPr>
                <w:rFonts w:eastAsia="Times New Roman" w:cstheme="minorHAnsi"/>
                <w:kern w:val="0"/>
                <w:sz w:val="16"/>
                <w:szCs w:val="16"/>
                <w14:ligatures w14:val="none"/>
              </w:rPr>
              <w:instrText xml:space="preserve"> Breslow </w:instrText>
            </w:r>
            <w:r w:rsidR="007A0269" w:rsidRPr="001F49E7">
              <w:rPr>
                <w:rFonts w:eastAsia="Times New Roman" w:cs="Times New Roman"/>
                <w:kern w:val="0"/>
                <w:sz w:val="16"/>
                <w:szCs w:val="16"/>
                <w:rtl/>
                <w14:ligatures w14:val="none"/>
              </w:rPr>
              <w:instrText>و پرسشنامه استاندارد فعالیت فیزیکی</w:instrText>
            </w:r>
            <w:r w:rsidR="007A0269" w:rsidRPr="001F49E7">
              <w:rPr>
                <w:rFonts w:eastAsia="Times New Roman" w:cstheme="minorHAnsi"/>
                <w:kern w:val="0"/>
                <w:sz w:val="16"/>
                <w:szCs w:val="16"/>
                <w14:ligatures w14:val="none"/>
              </w:rPr>
              <w:instrText xml:space="preserve"> Global Physical Activity Questionnaire (GPAQ) </w:instrText>
            </w:r>
            <w:r w:rsidR="007A0269" w:rsidRPr="001F49E7">
              <w:rPr>
                <w:rFonts w:eastAsia="Times New Roman" w:cs="Times New Roman"/>
                <w:kern w:val="0"/>
                <w:sz w:val="16"/>
                <w:szCs w:val="16"/>
                <w:rtl/>
                <w14:ligatures w14:val="none"/>
              </w:rPr>
              <w:instrText>ثبت و در نهایت تجزیه و تحلیل گردید. نتایج: متوسط نمایه توده بدنی در مردان و زنان به ترتیب2/28 و 5/27 بود. شاخص توده بدنی و شیوع چاقی در این مرکز صنعتی به ترتیب برابر با 8/29 % و 7/48% بود. شیوع افزایش</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وزن و چاقی در مردان به</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ترتیب 6/48% و 24/30% و در زنان به ترتیب50% و 15% بود که با سن، سطح قند خون، چربی خون، و فشارخون بالا دارای ارتباط معنی</w:instrText>
            </w:r>
            <w:r w:rsidR="007A0269" w:rsidRPr="001F49E7">
              <w:rPr>
                <w:rFonts w:eastAsia="Times New Roman" w:cstheme="minorHAnsi"/>
                <w:kern w:val="0"/>
                <w:sz w:val="16"/>
                <w:szCs w:val="16"/>
                <w14:ligatures w14:val="none"/>
              </w:rPr>
              <w:instrText>&amp;zwnj;</w:instrText>
            </w:r>
            <w:r w:rsidR="007A0269" w:rsidRPr="001F49E7">
              <w:rPr>
                <w:rFonts w:eastAsia="Times New Roman" w:cs="Times New Roman"/>
                <w:kern w:val="0"/>
                <w:sz w:val="16"/>
                <w:szCs w:val="16"/>
                <w:rtl/>
                <w14:ligatures w14:val="none"/>
              </w:rPr>
              <w:instrText>دار بود</w:instrText>
            </w:r>
            <w:r w:rsidR="007A0269" w:rsidRPr="001F49E7">
              <w:rPr>
                <w:rFonts w:eastAsia="Times New Roman" w:cstheme="minorHAnsi"/>
                <w:kern w:val="0"/>
                <w:sz w:val="16"/>
                <w:szCs w:val="16"/>
                <w14:ligatures w14:val="none"/>
              </w:rPr>
              <w:instrText xml:space="preserve"> ( </w:instrText>
            </w:r>
            <w:r w:rsidR="007A0269" w:rsidRPr="001F49E7">
              <w:rPr>
                <w:rFonts w:eastAsia="Times New Roman" w:cs="Times New Roman"/>
                <w:kern w:val="0"/>
                <w:sz w:val="16"/>
                <w:szCs w:val="16"/>
                <w:rtl/>
                <w14:ligatures w14:val="none"/>
              </w:rPr>
              <w:instrText>برای تمام موارد001/0</w:instrText>
            </w:r>
            <w:r w:rsidR="007A0269" w:rsidRPr="001F49E7">
              <w:rPr>
                <w:rFonts w:eastAsia="Times New Roman" w:cstheme="minorHAnsi"/>
                <w:kern w:val="0"/>
                <w:sz w:val="16"/>
                <w:szCs w:val="16"/>
                <w14:ligatures w14:val="none"/>
              </w:rPr>
              <w:instrText xml:space="preserve"> p &amp;lt; ) . </w:instrText>
            </w:r>
            <w:r w:rsidR="007A0269" w:rsidRPr="001F49E7">
              <w:rPr>
                <w:rFonts w:eastAsia="Times New Roman" w:cs="Times New Roman"/>
                <w:kern w:val="0"/>
                <w:sz w:val="16"/>
                <w:szCs w:val="16"/>
                <w:rtl/>
                <w14:ligatures w14:val="none"/>
              </w:rPr>
              <w:instrText>نتیجه گیری: در مجموع شیوع اضافه وزن و چاقی در کارکنان پالایشگاه آبادان بالاتر از میانگین</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کشوری و صنایع مشابه در نقاط دیگر جهان می باشد. توجه به برنامه های ترویج سبک زندگی سالم در مناطق صنعتی با تاکید بر گروه های پرخطر مانند افراد میانسال، با وضعیت اقتصادی-اجتماعی نامناسب، و شاغل در شیفت های غیر صبحکار می تواند بر بهبود وضعیت جسمانی و سلامتی</w:instrText>
            </w:r>
            <w:r w:rsidR="007A0269" w:rsidRPr="001F49E7">
              <w:rPr>
                <w:rFonts w:eastAsia="Times New Roman" w:cstheme="minorHAnsi"/>
                <w:kern w:val="0"/>
                <w:sz w:val="16"/>
                <w:szCs w:val="16"/>
                <w14:ligatures w14:val="none"/>
              </w:rPr>
              <w:instrText xml:space="preserve"> </w:instrText>
            </w:r>
            <w:r w:rsidR="007A0269" w:rsidRPr="001F49E7">
              <w:rPr>
                <w:rFonts w:eastAsia="Times New Roman" w:cs="Times New Roman"/>
                <w:kern w:val="0"/>
                <w:sz w:val="16"/>
                <w:szCs w:val="16"/>
                <w:rtl/>
                <w14:ligatures w14:val="none"/>
              </w:rPr>
              <w:instrText>کارکنان نقش موثری داشته باشد</w:instrText>
            </w:r>
            <w:r w:rsidR="007A0269" w:rsidRPr="001F49E7">
              <w:rPr>
                <w:rFonts w:eastAsia="Times New Roman" w:cstheme="minorHAnsi"/>
                <w:kern w:val="0"/>
                <w:sz w:val="16"/>
                <w:szCs w:val="16"/>
                <w14:ligatures w14:val="none"/>
              </w:rPr>
              <w:instrText xml:space="preserve">.","container-title":"Journal of School of Public Health and Institute of Public Health Research","issue":"1","note":"_eprint: http://sjsph.tums.ac.ir/article-1-5477-fa.pdf","title":"Prevalence of Overweight and Obesity in the Personnel of Abadan Oil Refinery and Factors Related to It","URL":"http://sjsph.tums.ac.ir/article-1-5477-fa.html","volume":"15","author":[{"family":"Mojtahedzadeh","given":"Seyed Mohammad"},{"family":"Holakouie-Naieni","given":"Kourosh"},{"family":"Nematollahi","given":"Shahrzad"},{"family":"Mazarei","given":"Amir Hossein"}],"issued":{"date-parts":[["2017"]]}}}],"schema":"https://github.com/citation-style-language/schema/raw/master/csl-citation.json"}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(9)</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445D40A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 Primary: Obesity prevalence </w:t>
            </w:r>
          </w:p>
          <w:p w14:paraId="4885F5D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Secondary: PA prevalence as an important factor in Obesity</w:t>
            </w:r>
          </w:p>
        </w:tc>
        <w:tc>
          <w:tcPr>
            <w:tcW w:w="548" w:type="pct"/>
            <w:shd w:val="clear" w:color="auto" w:fill="FFFFFF"/>
            <w:tcMar>
              <w:top w:w="30" w:type="dxa"/>
              <w:left w:w="45" w:type="dxa"/>
              <w:bottom w:w="30" w:type="dxa"/>
              <w:right w:w="45" w:type="dxa"/>
            </w:tcMar>
            <w:vAlign w:val="center"/>
          </w:tcPr>
          <w:p w14:paraId="5636567C"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097" w:type="pct"/>
            <w:shd w:val="clear" w:color="auto" w:fill="FFFFFF"/>
            <w:tcMar>
              <w:top w:w="30" w:type="dxa"/>
              <w:left w:w="45" w:type="dxa"/>
              <w:bottom w:w="30" w:type="dxa"/>
              <w:right w:w="45" w:type="dxa"/>
            </w:tcMar>
            <w:vAlign w:val="center"/>
          </w:tcPr>
          <w:p w14:paraId="7DA0B12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 medium and high PA</w:t>
            </w:r>
          </w:p>
        </w:tc>
        <w:tc>
          <w:tcPr>
            <w:tcW w:w="457" w:type="pct"/>
            <w:shd w:val="clear" w:color="auto" w:fill="FFFFFF"/>
            <w:tcMar>
              <w:top w:w="30" w:type="dxa"/>
              <w:left w:w="45" w:type="dxa"/>
              <w:bottom w:w="30" w:type="dxa"/>
              <w:right w:w="45" w:type="dxa"/>
            </w:tcMar>
            <w:vAlign w:val="center"/>
          </w:tcPr>
          <w:p w14:paraId="18B92AC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systems &amp; Active people </w:t>
            </w:r>
          </w:p>
        </w:tc>
        <w:tc>
          <w:tcPr>
            <w:tcW w:w="518" w:type="pct"/>
            <w:shd w:val="clear" w:color="auto" w:fill="FFFFFF"/>
            <w:tcMar>
              <w:top w:w="30" w:type="dxa"/>
              <w:left w:w="45" w:type="dxa"/>
              <w:bottom w:w="30" w:type="dxa"/>
              <w:right w:w="45" w:type="dxa"/>
            </w:tcMar>
            <w:vAlign w:val="center"/>
          </w:tcPr>
          <w:p w14:paraId="12AA75F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140726F3" w14:textId="3F9985B3"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Promoting healthy lifestyle programs in industrial areas</w:t>
            </w:r>
          </w:p>
        </w:tc>
      </w:tr>
      <w:tr w:rsidR="00F243D9" w:rsidRPr="001F49E7" w14:paraId="53FFB65B" w14:textId="77777777" w:rsidTr="007E49A6">
        <w:trPr>
          <w:trHeight w:val="315"/>
        </w:trPr>
        <w:tc>
          <w:tcPr>
            <w:tcW w:w="550" w:type="pct"/>
            <w:shd w:val="clear" w:color="auto" w:fill="FFFFFF"/>
            <w:tcMar>
              <w:top w:w="30" w:type="dxa"/>
              <w:left w:w="45" w:type="dxa"/>
              <w:bottom w:w="30" w:type="dxa"/>
              <w:right w:w="45" w:type="dxa"/>
            </w:tcMar>
            <w:vAlign w:val="center"/>
            <w:hideMark/>
          </w:tcPr>
          <w:p w14:paraId="08DC2CA1" w14:textId="473ADA9B"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F. Gholizadeh 2018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{"citationID":"iJbV9pAi","properties":{"formattedCitation":"(10)","plainCitation":"(10)","noteIndex":0},"citationItems":[{"id":"ulROLKvl/ztXmzMcm","uris":["http://zotero.org/users/16072611/items/6URRLUPZ"],"itemData":{"id":321,"type":"article-journal","abstract":"INTRODUCTION: Prediabetes is considered as an increased risk factor for cardiovascular disease and overt diabetes and is the precursor stage of diabetes. Dietary Diversity Score (DDS) is recognized as an essential factor of a high-quality diet. However, diets with more varieties of food items might increase calorie intake and body weight. Therefore, this study was carried out to determine the association of DDS with metabolic syndrome features in adults with prediabetes.\nMETHODS: Three hundred subjects were randomly selected from participants who were undergone diabetes test screening program. Dietary intake was assessed by using a validated semi-quantitative food frequency questionnaire. DDS was calculated by scoring food intake as nine food groups. The 18-items USDA household food securities and International Physical Activity (IPAQ) were also measured. The metabolic syndrome was defined according to the Adult Treatment Panel III.\nRESULTS: DDS mean for cases and controls were 4.43 and 4.9, respectively (p&lt;0.005). The prevalence of food insecurity was 67/3% in cases and 55/4% in controls group. The decrease in metabolic syndrome probability was compatible with quartiles of DDS (the quartiles odds ratios: 0.6, 0.5, 0.4, 0.19, P=0.05). A higher DDS was associated with lower level of fasting blood glucose, HDL-cholesterol, TG and Waist circumference.\nCONCLUSION: Lower DDS was associated with high probability of metabolic syndrome and with some features of it, like high fasting blood glucose. Therefore, it seems that increase in dietary diversity scores could prevent the pre diabetes development to overt diabetes.","container-title":"Primary Care Diabetes","DOI":"10.1016/j.pcd.2018.03.003","ISSN":"1878-0210","issue":"4","journalAbbreviation":"Prim Care Diabetes","language":"eng","page":"338-344","PMID":"29650341","source":"PubMed","title":"The relation of Dietary diversity score and food insecurity to metabolic syndrome features and glucose level among pre-diabetes subjects","volume":"12","author":[{"family":"Gholizadeh","given":"Farhad"},{"family":"Moludi","given":"Jalal"},{"family":"Lotfi Yagin","given":"Ned"},{"family":"Alizadeh","given":"Mohammad"},{"family":"Mostafa Nachvak","given":"Seyed"},{"family":"Abdollahzad","given":"Hadi"},{"family":"Mirzaei","given":"Khadijeh"},{"family":"Mostafazadeh","given":"Mostafa"}],"issued":{"date-parts":[["2018",8]]}}}],"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(10)</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1A8D1B1" w14:textId="161B9744"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DDS</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 Total PA prevalence </w:t>
            </w:r>
            <w:r w:rsidR="00C97E8E" w:rsidRPr="001F49E7">
              <w:rPr>
                <w:rFonts w:eastAsia="Times New Roman" w:cstheme="minorHAnsi"/>
                <w:color w:val="000000" w:themeColor="text1"/>
                <w:kern w:val="0"/>
                <w:sz w:val="16"/>
                <w:szCs w:val="16"/>
                <w14:ligatures w14:val="none"/>
              </w:rPr>
              <w:t xml:space="preserve">as a covariate </w:t>
            </w:r>
            <w:r w:rsidRPr="001F49E7">
              <w:rPr>
                <w:rFonts w:eastAsia="Times New Roman" w:cstheme="minorHAnsi"/>
                <w:color w:val="000000" w:themeColor="text1"/>
                <w:kern w:val="0"/>
                <w:sz w:val="16"/>
                <w:szCs w:val="16"/>
                <w14:ligatures w14:val="none"/>
              </w:rPr>
              <w:t>in pre-DM and healthy</w:t>
            </w:r>
          </w:p>
        </w:tc>
        <w:tc>
          <w:tcPr>
            <w:tcW w:w="548" w:type="pct"/>
            <w:shd w:val="clear" w:color="auto" w:fill="FFFFFF"/>
            <w:tcMar>
              <w:top w:w="30" w:type="dxa"/>
              <w:left w:w="45" w:type="dxa"/>
              <w:bottom w:w="30" w:type="dxa"/>
              <w:right w:w="45" w:type="dxa"/>
            </w:tcMar>
            <w:vAlign w:val="center"/>
            <w:hideMark/>
          </w:tcPr>
          <w:p w14:paraId="4481256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2985B44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Light/Moderate/Heavy PA</w:t>
            </w:r>
          </w:p>
        </w:tc>
        <w:tc>
          <w:tcPr>
            <w:tcW w:w="457" w:type="pct"/>
            <w:shd w:val="clear" w:color="auto" w:fill="FFFFFF"/>
            <w:tcMar>
              <w:top w:w="30" w:type="dxa"/>
              <w:left w:w="45" w:type="dxa"/>
              <w:bottom w:w="30" w:type="dxa"/>
              <w:right w:w="45" w:type="dxa"/>
            </w:tcMar>
            <w:vAlign w:val="center"/>
            <w:hideMark/>
          </w:tcPr>
          <w:p w14:paraId="0962838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235D9E0D" w14:textId="31E6C2A4" w:rsidR="00F243D9" w:rsidRPr="001F49E7" w:rsidRDefault="00DE4ACC"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Barriers to a healthy lifestyle include l</w:t>
            </w:r>
            <w:r w:rsidR="00F243D9" w:rsidRPr="001F49E7">
              <w:rPr>
                <w:rFonts w:eastAsia="Times New Roman" w:cstheme="minorHAnsi"/>
                <w:color w:val="000000" w:themeColor="text1"/>
                <w:kern w:val="0"/>
                <w:sz w:val="16"/>
                <w:szCs w:val="16"/>
                <w14:ligatures w14:val="none"/>
              </w:rPr>
              <w:t>ow DDS (≤</w:t>
            </w:r>
            <w:r w:rsidR="00F243D9" w:rsidRPr="001F49E7">
              <w:rPr>
                <w:rFonts w:ascii="Arial" w:eastAsia="Times New Roman" w:hAnsi="Arial" w:cs="Arial"/>
                <w:color w:val="000000" w:themeColor="text1"/>
                <w:kern w:val="0"/>
                <w:sz w:val="16"/>
                <w:szCs w:val="16"/>
                <w14:ligatures w14:val="none"/>
              </w:rPr>
              <w:t> </w:t>
            </w:r>
            <w:r w:rsidR="00F243D9" w:rsidRPr="001F49E7">
              <w:rPr>
                <w:rFonts w:eastAsia="Times New Roman" w:cstheme="minorHAnsi"/>
                <w:color w:val="000000" w:themeColor="text1"/>
                <w:kern w:val="0"/>
                <w:sz w:val="16"/>
                <w:szCs w:val="16"/>
                <w14:ligatures w14:val="none"/>
              </w:rPr>
              <w:t>4 food</w:t>
            </w:r>
            <w:r w:rsidR="00F243D9" w:rsidRPr="001F49E7">
              <w:rPr>
                <w:rFonts w:eastAsia="Times New Roman" w:cstheme="minorHAnsi"/>
                <w:color w:val="000000" w:themeColor="text1"/>
                <w:kern w:val="0"/>
                <w:sz w:val="16"/>
                <w:szCs w:val="16"/>
                <w14:ligatures w14:val="none"/>
              </w:rPr>
              <w:noBreakHyphen/>
              <w:t>group variety), food insecurity in 55</w:t>
            </w:r>
            <w:r w:rsidR="00F243D9" w:rsidRPr="001F49E7">
              <w:rPr>
                <w:rFonts w:ascii="Arial" w:eastAsia="Times New Roman" w:hAnsi="Arial" w:cs="Arial"/>
                <w:color w:val="000000" w:themeColor="text1"/>
                <w:kern w:val="0"/>
                <w:sz w:val="16"/>
                <w:szCs w:val="16"/>
                <w14:ligatures w14:val="none"/>
              </w:rPr>
              <w:t> </w:t>
            </w:r>
            <w:r w:rsidR="00F243D9" w:rsidRPr="001F49E7">
              <w:rPr>
                <w:rFonts w:ascii="Aptos" w:eastAsia="Times New Roman" w:hAnsi="Aptos" w:cs="Aptos"/>
                <w:color w:val="000000" w:themeColor="text1"/>
                <w:kern w:val="0"/>
                <w:sz w:val="16"/>
                <w:szCs w:val="16"/>
                <w14:ligatures w14:val="none"/>
              </w:rPr>
              <w:t>–</w:t>
            </w:r>
            <w:r w:rsidR="00F243D9" w:rsidRPr="001F49E7">
              <w:rPr>
                <w:rFonts w:ascii="Arial" w:eastAsia="Times New Roman" w:hAnsi="Arial" w:cs="Arial"/>
                <w:color w:val="000000" w:themeColor="text1"/>
                <w:kern w:val="0"/>
                <w:sz w:val="16"/>
                <w:szCs w:val="16"/>
                <w14:ligatures w14:val="none"/>
              </w:rPr>
              <w:lastRenderedPageBreak/>
              <w:t> </w:t>
            </w:r>
            <w:r w:rsidR="00F243D9" w:rsidRPr="001F49E7">
              <w:rPr>
                <w:rFonts w:eastAsia="Times New Roman" w:cstheme="minorHAnsi"/>
                <w:color w:val="000000" w:themeColor="text1"/>
                <w:kern w:val="0"/>
                <w:sz w:val="16"/>
                <w:szCs w:val="16"/>
                <w14:ligatures w14:val="none"/>
              </w:rPr>
              <w:t>67</w:t>
            </w:r>
            <w:r w:rsidR="00F243D9" w:rsidRPr="001F49E7">
              <w:rPr>
                <w:rFonts w:ascii="Arial" w:eastAsia="Times New Roman" w:hAnsi="Arial" w:cs="Arial"/>
                <w:color w:val="000000" w:themeColor="text1"/>
                <w:kern w:val="0"/>
                <w:sz w:val="16"/>
                <w:szCs w:val="16"/>
                <w14:ligatures w14:val="none"/>
              </w:rPr>
              <w:t> </w:t>
            </w:r>
            <w:r w:rsidR="00F243D9" w:rsidRPr="001F49E7">
              <w:rPr>
                <w:rFonts w:eastAsia="Times New Roman" w:cstheme="minorHAnsi"/>
                <w:color w:val="000000" w:themeColor="text1"/>
                <w:kern w:val="0"/>
                <w:sz w:val="16"/>
                <w:szCs w:val="16"/>
                <w14:ligatures w14:val="none"/>
              </w:rPr>
              <w:t>% of participants (limited purchasing power, irregular food supply), high intake of refined, energy-dense foods (trans</w:t>
            </w:r>
            <w:r w:rsidR="00F243D9" w:rsidRPr="001F49E7">
              <w:rPr>
                <w:rFonts w:eastAsia="Times New Roman" w:cstheme="minorHAnsi"/>
                <w:color w:val="000000" w:themeColor="text1"/>
                <w:kern w:val="0"/>
                <w:sz w:val="16"/>
                <w:szCs w:val="16"/>
                <w14:ligatures w14:val="none"/>
              </w:rPr>
              <w:noBreakHyphen/>
              <w:t>fat, saturated</w:t>
            </w:r>
            <w:r w:rsidR="00F243D9" w:rsidRPr="001F49E7">
              <w:rPr>
                <w:rFonts w:eastAsia="Times New Roman" w:cstheme="minorHAnsi"/>
                <w:color w:val="000000" w:themeColor="text1"/>
                <w:kern w:val="0"/>
                <w:sz w:val="16"/>
                <w:szCs w:val="16"/>
                <w14:ligatures w14:val="none"/>
              </w:rPr>
              <w:noBreakHyphen/>
              <w:t>fat, added sugar), insufficient fiber, vitamin</w:t>
            </w:r>
            <w:r w:rsidR="00F243D9" w:rsidRPr="001F49E7">
              <w:rPr>
                <w:rFonts w:ascii="Arial" w:eastAsia="Times New Roman" w:hAnsi="Arial" w:cs="Arial"/>
                <w:color w:val="000000" w:themeColor="text1"/>
                <w:kern w:val="0"/>
                <w:sz w:val="16"/>
                <w:szCs w:val="16"/>
                <w14:ligatures w14:val="none"/>
              </w:rPr>
              <w:t> </w:t>
            </w:r>
            <w:r w:rsidR="00F243D9" w:rsidRPr="001F49E7">
              <w:rPr>
                <w:rFonts w:eastAsia="Times New Roman" w:cstheme="minorHAnsi"/>
                <w:color w:val="000000" w:themeColor="text1"/>
                <w:kern w:val="0"/>
                <w:sz w:val="16"/>
                <w:szCs w:val="16"/>
                <w14:ligatures w14:val="none"/>
              </w:rPr>
              <w:t>B2, and calcium intake</w:t>
            </w:r>
          </w:p>
        </w:tc>
        <w:tc>
          <w:tcPr>
            <w:tcW w:w="1067" w:type="pct"/>
            <w:shd w:val="clear" w:color="auto" w:fill="FFFFFF"/>
            <w:tcMar>
              <w:top w:w="30" w:type="dxa"/>
              <w:left w:w="45" w:type="dxa"/>
              <w:bottom w:w="30" w:type="dxa"/>
              <w:right w:w="45" w:type="dxa"/>
            </w:tcMar>
            <w:vAlign w:val="center"/>
            <w:hideMark/>
          </w:tcPr>
          <w:p w14:paraId="651439F1" w14:textId="71C3CA45" w:rsidR="00F243D9" w:rsidRPr="001F49E7" w:rsidRDefault="008164DB"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Solutions for promoting a healthy lifestyle include n</w:t>
            </w:r>
            <w:r w:rsidR="00F243D9" w:rsidRPr="001F49E7">
              <w:rPr>
                <w:rFonts w:eastAsia="Times New Roman" w:cstheme="minorHAnsi"/>
                <w:color w:val="000000" w:themeColor="text1"/>
                <w:kern w:val="0"/>
                <w:sz w:val="16"/>
                <w:szCs w:val="16"/>
                <w14:ligatures w14:val="none"/>
              </w:rPr>
              <w:t>utrition</w:t>
            </w:r>
            <w:r w:rsidR="00F243D9" w:rsidRPr="001F49E7">
              <w:rPr>
                <w:rFonts w:eastAsia="Times New Roman" w:cstheme="minorHAnsi"/>
                <w:color w:val="000000" w:themeColor="text1"/>
                <w:kern w:val="0"/>
                <w:sz w:val="16"/>
                <w:szCs w:val="16"/>
                <w14:ligatures w14:val="none"/>
              </w:rPr>
              <w:noBreakHyphen/>
              <w:t>education for pre</w:t>
            </w:r>
            <w:r w:rsidR="00F243D9" w:rsidRPr="001F49E7">
              <w:rPr>
                <w:rFonts w:eastAsia="Times New Roman" w:cstheme="minorHAnsi"/>
                <w:color w:val="000000" w:themeColor="text1"/>
                <w:kern w:val="0"/>
                <w:sz w:val="16"/>
                <w:szCs w:val="16"/>
                <w14:ligatures w14:val="none"/>
              </w:rPr>
              <w:noBreakHyphen/>
              <w:t>diabetic adults, policies to reduce household food</w:t>
            </w:r>
            <w:r w:rsidR="00F243D9" w:rsidRPr="001F49E7">
              <w:rPr>
                <w:rFonts w:eastAsia="Times New Roman" w:cstheme="minorHAnsi"/>
                <w:color w:val="000000" w:themeColor="text1"/>
                <w:kern w:val="0"/>
                <w:sz w:val="16"/>
                <w:szCs w:val="16"/>
                <w14:ligatures w14:val="none"/>
              </w:rPr>
              <w:noBreakHyphen/>
              <w:t>insecurity, embedding dietary</w:t>
            </w:r>
            <w:r w:rsidR="00F243D9" w:rsidRPr="001F49E7">
              <w:rPr>
                <w:rFonts w:eastAsia="Times New Roman" w:cstheme="minorHAnsi"/>
                <w:color w:val="000000" w:themeColor="text1"/>
                <w:kern w:val="0"/>
                <w:sz w:val="16"/>
                <w:szCs w:val="16"/>
                <w14:ligatures w14:val="none"/>
              </w:rPr>
              <w:noBreakHyphen/>
              <w:t xml:space="preserve">diversity assessment and counselling in routine </w:t>
            </w:r>
            <w:r w:rsidR="00F243D9" w:rsidRPr="001F49E7">
              <w:rPr>
                <w:rFonts w:eastAsia="Times New Roman" w:cstheme="minorHAnsi"/>
                <w:color w:val="000000" w:themeColor="text1"/>
                <w:kern w:val="0"/>
                <w:sz w:val="16"/>
                <w:szCs w:val="16"/>
                <w14:ligatures w14:val="none"/>
              </w:rPr>
              <w:lastRenderedPageBreak/>
              <w:t>primary</w:t>
            </w:r>
            <w:r w:rsidR="00F243D9" w:rsidRPr="001F49E7">
              <w:rPr>
                <w:rFonts w:eastAsia="Times New Roman" w:cstheme="minorHAnsi"/>
                <w:color w:val="000000" w:themeColor="text1"/>
                <w:kern w:val="0"/>
                <w:sz w:val="16"/>
                <w:szCs w:val="16"/>
                <w14:ligatures w14:val="none"/>
              </w:rPr>
              <w:noBreakHyphen/>
              <w:t>care of pre</w:t>
            </w:r>
            <w:r w:rsidR="00F243D9" w:rsidRPr="001F49E7">
              <w:rPr>
                <w:rFonts w:eastAsia="Times New Roman" w:cstheme="minorHAnsi"/>
                <w:color w:val="000000" w:themeColor="text1"/>
                <w:kern w:val="0"/>
                <w:sz w:val="16"/>
                <w:szCs w:val="16"/>
                <w14:ligatures w14:val="none"/>
              </w:rPr>
              <w:noBreakHyphen/>
              <w:t>diabetics, Community</w:t>
            </w:r>
            <w:r w:rsidR="00F243D9" w:rsidRPr="001F49E7">
              <w:rPr>
                <w:rFonts w:eastAsia="Times New Roman" w:cstheme="minorHAnsi"/>
                <w:color w:val="000000" w:themeColor="text1"/>
                <w:kern w:val="0"/>
                <w:sz w:val="16"/>
                <w:szCs w:val="16"/>
                <w14:ligatures w14:val="none"/>
              </w:rPr>
              <w:noBreakHyphen/>
              <w:t>level actions to improve access to affordable, diverse foods in low-income districts</w:t>
            </w:r>
          </w:p>
        </w:tc>
      </w:tr>
      <w:tr w:rsidR="00F243D9" w:rsidRPr="001F49E7" w14:paraId="363129AC" w14:textId="77777777" w:rsidTr="007E49A6">
        <w:trPr>
          <w:trHeight w:val="315"/>
        </w:trPr>
        <w:tc>
          <w:tcPr>
            <w:tcW w:w="550" w:type="pct"/>
            <w:shd w:val="clear" w:color="auto" w:fill="FFFFFF"/>
            <w:tcMar>
              <w:top w:w="30" w:type="dxa"/>
              <w:left w:w="45" w:type="dxa"/>
              <w:bottom w:w="30" w:type="dxa"/>
              <w:right w:w="45" w:type="dxa"/>
            </w:tcMar>
            <w:vAlign w:val="center"/>
            <w:hideMark/>
          </w:tcPr>
          <w:p w14:paraId="6909BED8" w14:textId="20C60690"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K. Hajian-Tilaki 2018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{"citationID":"LaVGKI8C","properties":{"formattedCitation":"(11)","plainCitation":"(11)","noteIndex":0},"citationItems":[{"id":"ulROLKvl/VRd7RIXb","uris":["http://zotero.org/users/16072611/items/PLZSMS6W"],"itemData":{"id":298,"type":"article-journal","abstract":"AIMS: The objective of this study was to determine the prevalence and the associated factors of metabolically unhealthy in normal-weight and metabolically healthy in obese.\nMETHODS: We analyzed the data of a representative sample of 986 participants recruited among adult population of north of Iran. Data were collected regarding demographic characteristics, lifestyle, body mass index, abdominal obesity measures, blood pressure, and lipid profiles. The participants were classified as metabolically healthy obese (MHO) and metabolically unhealthy normal-weight (MUNW). Metabolically unhealthy was defined as the presence of</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 xml:space="preserve"> </w:instrText>
            </w:r>
            <w:r w:rsidR="00207711" w:rsidRPr="001F49E7">
              <w:rPr>
                <w:rFonts w:ascii="Aptos" w:eastAsia="Times New Roman" w:hAnsi="Aptos" w:cs="Aptos"/>
                <w:color w:val="000000" w:themeColor="text1"/>
                <w:kern w:val="0"/>
                <w:sz w:val="16"/>
                <w:szCs w:val="16"/>
                <w14:ligatures w14:val="none"/>
              </w:rPr>
              <w:instrText>≥</w:instrText>
            </w:r>
            <w:r w:rsidR="00207711" w:rsidRPr="001F49E7">
              <w:rPr>
                <w:rFonts w:eastAsia="Times New Roman" w:cstheme="minorHAnsi"/>
                <w:color w:val="000000" w:themeColor="text1"/>
                <w:kern w:val="0"/>
                <w:sz w:val="16"/>
                <w:szCs w:val="16"/>
                <w14:ligatures w14:val="none"/>
              </w:rPr>
              <w:instrText xml:space="preserve">2 non-obese components of metabolic syndrome based on ATP III criteria.\nRESULTS: The prevalence rate of MUNW and MHO accounted for 17.2% and 15.1% respectively. Mean age of participants with metabolically unhealthy was significantly greater than metabolically healthy in both normal weight and overweight/obese (P=0.001). The results of multiple logistic regression analysis showed in normal-weight individuals, a significant association of MUNW was found with age group of 50-59 years(OR=3.83, 95%CI: 1.71-8.57) and 60-70 years by OR=4.74(95%CI:1.79-12.54) as compared with age group of 20-29 years. It was also associated with current smoking. While metabolically healthy state in overweight/obese was inversely associated with age 50-59 years by OR=0.26 (95%CI:0.13-0.54) and age 60-70 years by OR=0.15 (95%CI:0.05- 0.39) and higher WC by OR=0.47 (95%CI:0.31-0.72) but positively associated with female-sex by OR=1.74 (95%CI:1.07-2.82).\nCONCLUSION: Aging and smoking are significantly associated with metabolic abnormalities in normal-weight while aging, abdominal obesity negatively and female positively associated with metabolically healthy in obese.","container-title":"Diabetes &amp; Metabolic Syndrome","DOI":"10.1016/j.dsx.2017.11.005","ISSN":"1878-0334","issue":"2","journalAbbreviation":"Diabetes Metab Syndr","language":"eng","page":"129-134","PMID":"29196231","source":"PubMed","title":"Metabolically healthy obese and unhealthy normal weight in Iranian adult population: Prevalence and the associated factors","title-short":"Metabolically healthy obese and unhealthy normal weight in Iranian adult population","volume":"12","author":[{"family":"Hajian-Tilaki","given":"Karimollah"},{"family":"Heidari","given":"Behzad"}],"issued":{"date-parts":[["2018"]]}}}],"schema":"https://github.com/citation-style-language/schema/raw/master/csl-citation.json"}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(11)</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35EB648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Associated factors of metabolically unhealthy in normal-weight and metabolically healthy in obese</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as a covariate</w:t>
            </w:r>
          </w:p>
        </w:tc>
        <w:tc>
          <w:tcPr>
            <w:tcW w:w="548" w:type="pct"/>
            <w:shd w:val="clear" w:color="auto" w:fill="FFFFFF"/>
            <w:tcMar>
              <w:top w:w="30" w:type="dxa"/>
              <w:left w:w="45" w:type="dxa"/>
              <w:bottom w:w="30" w:type="dxa"/>
              <w:right w:w="45" w:type="dxa"/>
            </w:tcMar>
            <w:vAlign w:val="center"/>
            <w:hideMark/>
          </w:tcPr>
          <w:p w14:paraId="227C2C6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hideMark/>
          </w:tcPr>
          <w:p w14:paraId="10C0C02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Low/Moderate/Vigorous PA</w:t>
            </w:r>
          </w:p>
        </w:tc>
        <w:tc>
          <w:tcPr>
            <w:tcW w:w="457" w:type="pct"/>
            <w:shd w:val="clear" w:color="auto" w:fill="FFFFFF"/>
            <w:tcMar>
              <w:top w:w="30" w:type="dxa"/>
              <w:left w:w="45" w:type="dxa"/>
              <w:bottom w:w="30" w:type="dxa"/>
              <w:right w:w="45" w:type="dxa"/>
            </w:tcMar>
            <w:vAlign w:val="center"/>
            <w:hideMark/>
          </w:tcPr>
          <w:p w14:paraId="4D97F28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5941046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18CE1CB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4585CA93" w14:textId="77777777" w:rsidTr="007E49A6">
        <w:trPr>
          <w:trHeight w:val="315"/>
        </w:trPr>
        <w:tc>
          <w:tcPr>
            <w:tcW w:w="550" w:type="pct"/>
            <w:shd w:val="clear" w:color="auto" w:fill="FFFFFF"/>
            <w:tcMar>
              <w:top w:w="30" w:type="dxa"/>
              <w:left w:w="45" w:type="dxa"/>
              <w:bottom w:w="30" w:type="dxa"/>
              <w:right w:w="45" w:type="dxa"/>
            </w:tcMar>
            <w:vAlign w:val="center"/>
          </w:tcPr>
          <w:p w14:paraId="1E8103B6"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Sahebkar 2019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BfCNeTZk","properties":{"unsorted":false,"formattedCitation":"(12)","plainCitation":"(12)","noteIndex":0},"citationItems":[{"id":234,"uris":["http://zotero.org/users/local/SBvLfXY8/items/IGNVSUBP"],"itemData":{"id":234,"type":"article-journal","abstract":"BACKGROUND: To investigate the geographical distribution of physical activity (PA) prevalence among adults aged 15-64 years old across Iran provinces using  geographic maps. METHODS: Data from 4 consecutive national surveys conducted  between 2007 and 2010 were pooled to determine the geographical distribution.  Prevalence of low PA with 95% confidence interval was estimated by  sociodemographic subpopulations over provinces using complex survey design.  RESULTS: In total, 119,560 participants (49.9% females) were included in the  analyses. The mean (SD) age of participants was 39.5 (14.3) years. The prevalence  of the low PA in the pooled 2007-2010 was 35.8% (95% confidence interval,  34.1-37.6). The 3 provinces with the highest prevalence of low PA were Sistan and  Baluchestan, Yazd, and Hormozgan. The results of hot spot analysis showed that  the Kerman province was a hot spot, and Ilam, Kermanshah, Hamedan, and Markazi  were cold spots for low PA. Ilam, Kohgiluyeh and Boyer-Ahmad, and Mazandaran had  the highest total PA volume (metabolic equivalent minutes per week). Hot spot  analysis showed that Ilam and Khuzestan provinces were hot spots for the total PA  volume. CONCLUSIONS: The regions with low and high PA are predominately situated  in the near center/southeast and west, respectively.","container-title":"Journal of physical activity &amp; health","DOI":"10.1123/jpah.2019-0053","ISSN":"1543-5474 1543-3080","issue":"12","journalAbbreviation":"J Phys Act Health","language":"eng","page":"1071-1077","PMID":"31541069","publisher-place":"United States","title":"Geographical Patterning of Physical Activity Prevalence in Iran: Spatial Analysis of 4 Pooled National Health Surveys Among 119,560 Adults.","volume":"16","author":[{"family":"Sahebkar","given":"Mohammad"},{"family":"Heidarian Miri","given":"Hamid"},{"family":"Noormohammadpour","given":"Pardis"},{"family":"Tiyuri","given":"Amir"},{"family":"Pakzad","given":"Reza"},{"family":"Mansournia","given":"Nasrin"},{"family":"Heidari","given":"Zahra"},{"family":"Mansournia","given":"Mohammad Ali"},{"family":"Stamatakis","given":"Emmanuel"}],"issued":{"date-parts":[["2019",12,1]]}}}],"schema":"https://github.com/citation-style-language/schema/raw/master/csl-citation.json"}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(12)</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5678275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 PA prevalence</w:t>
            </w:r>
          </w:p>
        </w:tc>
        <w:tc>
          <w:tcPr>
            <w:tcW w:w="548" w:type="pct"/>
            <w:shd w:val="clear" w:color="auto" w:fill="FFFFFF"/>
            <w:tcMar>
              <w:top w:w="30" w:type="dxa"/>
              <w:left w:w="45" w:type="dxa"/>
              <w:bottom w:w="30" w:type="dxa"/>
              <w:right w:w="45" w:type="dxa"/>
            </w:tcMar>
            <w:vAlign w:val="center"/>
          </w:tcPr>
          <w:p w14:paraId="5A8B419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GPAQ </w:t>
            </w:r>
          </w:p>
        </w:tc>
        <w:tc>
          <w:tcPr>
            <w:tcW w:w="1097" w:type="pct"/>
            <w:shd w:val="clear" w:color="auto" w:fill="FFFFFF"/>
            <w:tcMar>
              <w:top w:w="30" w:type="dxa"/>
              <w:left w:w="45" w:type="dxa"/>
              <w:bottom w:w="30" w:type="dxa"/>
              <w:right w:w="45" w:type="dxa"/>
            </w:tcMar>
            <w:vAlign w:val="center"/>
          </w:tcPr>
          <w:p w14:paraId="2B5F8AF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High: Vigorous intensity activity in 3 days with a minimum total expenditure of 1500 MET-min/week; or a mixture of activities, such as walking and moderate/vigorous-intensity activities in at least 7 days with at least consumption of 3000 MET-min/week.; Moderate: Persons who did not match the criteria for the high level and who reported vigorous intensity activity for at least 20 minutes in 3 or more days per week; or moderate intensity activity or walking for at least 30 minutes on 5 or more days per week; or any mixture of vigorous or moderate intensity activity or walking with minimum 600 MET-min/week.; Low: Persons not classified in any of the previously mentioned groups </w:t>
            </w:r>
          </w:p>
        </w:tc>
        <w:tc>
          <w:tcPr>
            <w:tcW w:w="457" w:type="pct"/>
            <w:shd w:val="clear" w:color="auto" w:fill="FFFFFF"/>
            <w:tcMar>
              <w:top w:w="30" w:type="dxa"/>
              <w:left w:w="45" w:type="dxa"/>
              <w:bottom w:w="30" w:type="dxa"/>
              <w:right w:w="45" w:type="dxa"/>
            </w:tcMar>
            <w:vAlign w:val="center"/>
          </w:tcPr>
          <w:p w14:paraId="0B638C3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systems, Active environments </w:t>
            </w:r>
          </w:p>
        </w:tc>
        <w:tc>
          <w:tcPr>
            <w:tcW w:w="518" w:type="pct"/>
            <w:shd w:val="clear" w:color="auto" w:fill="FFFFFF"/>
            <w:tcMar>
              <w:top w:w="30" w:type="dxa"/>
              <w:left w:w="45" w:type="dxa"/>
              <w:bottom w:w="30" w:type="dxa"/>
              <w:right w:w="45" w:type="dxa"/>
            </w:tcMar>
            <w:vAlign w:val="center"/>
          </w:tcPr>
          <w:p w14:paraId="0506C2F8" w14:textId="426BDCD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socioeconomic status, very high temperature and desert climate discouraging people to move without a vehicle, sports facilities (e.g., sports fields and swimming pools) not correspond</w:t>
            </w:r>
            <w:r w:rsidR="00C776D9" w:rsidRPr="001F49E7">
              <w:rPr>
                <w:rFonts w:eastAsia="Times New Roman" w:cstheme="minorHAnsi"/>
                <w:color w:val="000000" w:themeColor="text1"/>
                <w:kern w:val="0"/>
                <w:sz w:val="16"/>
                <w:szCs w:val="16"/>
                <w14:ligatures w14:val="none"/>
              </w:rPr>
              <w:t>ing</w:t>
            </w:r>
            <w:r w:rsidRPr="001F49E7">
              <w:rPr>
                <w:rFonts w:eastAsia="Times New Roman" w:cstheme="minorHAnsi"/>
                <w:color w:val="000000" w:themeColor="text1"/>
                <w:kern w:val="0"/>
                <w:sz w:val="16"/>
                <w:szCs w:val="16"/>
                <w14:ligatures w14:val="none"/>
              </w:rPr>
              <w:t xml:space="preserve"> with demand, fewer people having an active occupation like farming or growing livestock </w:t>
            </w:r>
          </w:p>
        </w:tc>
        <w:tc>
          <w:tcPr>
            <w:tcW w:w="1067" w:type="pct"/>
            <w:shd w:val="clear" w:color="auto" w:fill="FFFFFF"/>
            <w:tcMar>
              <w:top w:w="30" w:type="dxa"/>
              <w:left w:w="45" w:type="dxa"/>
              <w:bottom w:w="30" w:type="dxa"/>
              <w:right w:w="45" w:type="dxa"/>
            </w:tcMar>
            <w:vAlign w:val="center"/>
          </w:tcPr>
          <w:p w14:paraId="4F3B25B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Developing and implementing a mixture of different interventions that are tailored to the geographical, climatic and socioeconomic profile of a large county like Iran.</w:t>
            </w:r>
          </w:p>
          <w:p w14:paraId="12A4560C" w14:textId="7F53DC66"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(The regions with low PA are predominately situated in the southeast and near to the center of Iran; conversely, high PA regions are mainly located in the west)</w:t>
            </w:r>
          </w:p>
        </w:tc>
      </w:tr>
      <w:tr w:rsidR="00F243D9" w:rsidRPr="001F49E7" w14:paraId="0CD964A8" w14:textId="77777777" w:rsidTr="007E49A6">
        <w:trPr>
          <w:trHeight w:val="315"/>
        </w:trPr>
        <w:tc>
          <w:tcPr>
            <w:tcW w:w="550" w:type="pct"/>
            <w:shd w:val="clear" w:color="auto" w:fill="FFFFFF"/>
            <w:tcMar>
              <w:top w:w="30" w:type="dxa"/>
              <w:left w:w="45" w:type="dxa"/>
              <w:bottom w:w="30" w:type="dxa"/>
              <w:right w:w="45" w:type="dxa"/>
            </w:tcMar>
            <w:vAlign w:val="center"/>
            <w:hideMark/>
          </w:tcPr>
          <w:p w14:paraId="3469E950" w14:textId="75A8EF9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B. Cheraghian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{"citationID":"6lMOZZsd","properties":{"formattedCitation":"(13)","plainCitation":"(13)","noteIndex":0},"citationItems":[{"id":"ulROLKvl/G8PK6kjs","uris":["http://zotero.org/users/16072611/items/MV2D7RFS"],"itemData":{"id":463,"type":"article-journal","abstract":"BACKGROUND: Non-communicable diseases (NCDs) are the leading cause of death worldwide, with a disproportionally rising burden among low- and middle-income populations. While preventable risk factors highly contribute to this burden, population-based studies assessing these factors and the health status of these populations, are scarce.\nMETHODS: The Khuzestan Comprehensive Health Study (KCHS)-a cross sectional study-was conducted between 2016-2019, including 30,506 Iranians aged 20 to 65 years, from 27 counties of Khuzestan province, southwest of Iran. KCHS aimed to provide a comprehensive health overview by investigating the prevalence and risk factors of NCDs and psychological disorders, along with viral hepatitis as a common communicable disease. Upon registration, 15 mL of blood and anthropometric measurements were obtained from participants. Afterwards, several interviewer-administered questionnaires were completed to gather data on demographics, socioeconomic status, sleep quality, physical activity, lifestyle habits, nutrition, and medical history.\nRESULTS: The mean ± SD age of participants was 41.7 ± 11.9 years. The majority were female (64.3%), of the Arab ethnicity (49%), married (83%), and urban residents (73.1%). About 70% had an educational level below high school diploma. Overall, 10.8%, 5.2%, and 2.8% of participants had used cigarettes, hookah, and drugs at least once in their lifetime, respectively. While body mass index and serum cholesterol levels were higher in females, blood pressure was higher in males (P&lt;0.001).\nCONCLUSION: KCHS assessed many aspects of health in the Khuzestan province. In addition to develop a biobank along with a comprehensive dataset, KCHS will serve as a valuable infrastructure for future research.","container-title":"Archives of Iranian Medicine","DOI":"10.34172/aim.2020.82","ISSN":"1735-3947","issue":"10","journalAbbreviation":"Arch Iran Med","language":"eng","page":"653-657","PMID":"33107305","source":"PubMed","title":"The Khuzestan Comprehensive Health Study (KCHS): Methodology and Profile of Participants","title-short":"The Khuzestan Comprehensive Health Study (KCHS)","volume":"23","author":[{"family":"Cheraghian","given":"Bahman"},{"family":"Sharafkhah","given":"Maryam"},{"family":"Mohammadi","given":"Zahra"},{"family":"Hariri","given":"Sanam"},{"family":"Rahimi","given":"Zahra"},{"family":"Danehchin","given":"Leila"},{"family":"Paridar","given":"Yousef"},{"family":"Abolnejadian","given":"Farhad"},{"family":"Noori","given":"Mohammad"},{"family":"Mard","given":"Seyed Ali"},{"family":"Eghtesad","given":"Sareh"},{"family":"Shayanrad","given":"Amaneh"},{"family":"Etemadi","given":"Arash"},{"family":"Ghanbari","given":"Reza"},{"family":"Hashemi","given":"Farnaz"},{"family":"Masoudi","given":"Sahar"},{"family":"Shayesteh","given":"Ali Akbar"},{"family":"Poustchi","given":"Hossein"}],"issued":{"date-parts":[["2020",10,1]]}}}],"schema":"https://github.com/citation-style-language/schema/raw/master/csl-citation.json"}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(13)</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5E286340" w14:textId="18843F02"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Total PA prevalence</w:t>
            </w:r>
            <w:r w:rsidR="00AC204B" w:rsidRPr="001F49E7">
              <w:rPr>
                <w:rFonts w:eastAsia="Times New Roman" w:cstheme="minorHAnsi"/>
                <w:color w:val="000000" w:themeColor="text1"/>
                <w:kern w:val="0"/>
                <w:sz w:val="16"/>
                <w:szCs w:val="16"/>
                <w14:ligatures w14:val="none"/>
              </w:rPr>
              <w:t xml:space="preserve"> as one variable</w:t>
            </w:r>
          </w:p>
        </w:tc>
        <w:tc>
          <w:tcPr>
            <w:tcW w:w="548" w:type="pct"/>
            <w:shd w:val="clear" w:color="auto" w:fill="FFFFFF"/>
            <w:tcMar>
              <w:top w:w="30" w:type="dxa"/>
              <w:left w:w="45" w:type="dxa"/>
              <w:bottom w:w="30" w:type="dxa"/>
              <w:right w:w="45" w:type="dxa"/>
            </w:tcMar>
            <w:vAlign w:val="center"/>
            <w:hideMark/>
          </w:tcPr>
          <w:p w14:paraId="4E746923" w14:textId="783BFD1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IPAQ </w:t>
            </w:r>
          </w:p>
        </w:tc>
        <w:tc>
          <w:tcPr>
            <w:tcW w:w="1097" w:type="pct"/>
            <w:shd w:val="clear" w:color="auto" w:fill="FFFFFF"/>
            <w:tcMar>
              <w:top w:w="30" w:type="dxa"/>
              <w:left w:w="45" w:type="dxa"/>
              <w:bottom w:w="30" w:type="dxa"/>
              <w:right w:w="45" w:type="dxa"/>
            </w:tcMar>
            <w:vAlign w:val="center"/>
            <w:hideMark/>
          </w:tcPr>
          <w:p w14:paraId="62F24A3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 moderate, and high PA</w:t>
            </w:r>
          </w:p>
        </w:tc>
        <w:tc>
          <w:tcPr>
            <w:tcW w:w="457" w:type="pct"/>
            <w:shd w:val="clear" w:color="auto" w:fill="FFFFFF"/>
            <w:tcMar>
              <w:top w:w="30" w:type="dxa"/>
              <w:left w:w="45" w:type="dxa"/>
              <w:bottom w:w="30" w:type="dxa"/>
              <w:right w:w="45" w:type="dxa"/>
            </w:tcMar>
            <w:vAlign w:val="center"/>
            <w:hideMark/>
          </w:tcPr>
          <w:p w14:paraId="04160C6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systems </w:t>
            </w:r>
          </w:p>
        </w:tc>
        <w:tc>
          <w:tcPr>
            <w:tcW w:w="518" w:type="pct"/>
            <w:shd w:val="clear" w:color="auto" w:fill="FFFFFF"/>
            <w:tcMar>
              <w:top w:w="30" w:type="dxa"/>
              <w:left w:w="45" w:type="dxa"/>
              <w:bottom w:w="30" w:type="dxa"/>
              <w:right w:w="45" w:type="dxa"/>
            </w:tcMar>
            <w:vAlign w:val="center"/>
            <w:hideMark/>
          </w:tcPr>
          <w:p w14:paraId="5CE69EE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07CADEF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2ECEF4E9" w14:textId="77777777" w:rsidTr="007E49A6">
        <w:trPr>
          <w:trHeight w:val="315"/>
        </w:trPr>
        <w:tc>
          <w:tcPr>
            <w:tcW w:w="550" w:type="pct"/>
            <w:shd w:val="clear" w:color="auto" w:fill="FFFFFF"/>
            <w:tcMar>
              <w:top w:w="30" w:type="dxa"/>
              <w:left w:w="45" w:type="dxa"/>
              <w:bottom w:w="30" w:type="dxa"/>
              <w:right w:w="45" w:type="dxa"/>
            </w:tcMar>
            <w:vAlign w:val="center"/>
            <w:hideMark/>
          </w:tcPr>
          <w:p w14:paraId="4B27340F" w14:textId="32EACD74"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H. Najafipour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0d3eyUGG","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(14)</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3A04FE90" w14:textId="472F7715"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Raw and standardized prevalence of different levels of PA in total and by age groups</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Standardized prevalence of LPA in the participants by sex, education, and occupation; Age Sex</w:t>
            </w:r>
            <w:r w:rsidRPr="001F49E7">
              <w:rPr>
                <w:rFonts w:ascii="Aptos" w:eastAsia="Times New Roman" w:hAnsi="Aptos" w:cs="Aptos"/>
                <w:color w:val="000000" w:themeColor="text1"/>
                <w:kern w:val="0"/>
                <w:sz w:val="16"/>
                <w:szCs w:val="16"/>
                <w14:ligatures w14:val="none"/>
              </w:rPr>
              <w:t>–</w:t>
            </w:r>
            <w:r w:rsidRPr="001F49E7">
              <w:rPr>
                <w:rFonts w:eastAsia="Times New Roman" w:cstheme="minorHAnsi"/>
                <w:color w:val="000000" w:themeColor="text1"/>
                <w:kern w:val="0"/>
                <w:sz w:val="16"/>
                <w:szCs w:val="16"/>
                <w14:ligatures w14:val="none"/>
              </w:rPr>
              <w:lastRenderedPageBreak/>
              <w:t>Specific incidence rate (per</w:t>
            </w:r>
            <w:r w:rsidR="00174E9E"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100</w:t>
            </w:r>
            <w:r w:rsidR="00292E3E"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Person-Year) of LPA</w:t>
            </w:r>
          </w:p>
        </w:tc>
        <w:tc>
          <w:tcPr>
            <w:tcW w:w="548" w:type="pct"/>
            <w:shd w:val="clear" w:color="auto" w:fill="FFFFFF"/>
            <w:tcMar>
              <w:top w:w="30" w:type="dxa"/>
              <w:left w:w="45" w:type="dxa"/>
              <w:bottom w:w="30" w:type="dxa"/>
              <w:right w:w="45" w:type="dxa"/>
            </w:tcMar>
            <w:vAlign w:val="center"/>
            <w:hideMark/>
          </w:tcPr>
          <w:p w14:paraId="6CA6AF5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GPAQ</w:t>
            </w:r>
          </w:p>
        </w:tc>
        <w:tc>
          <w:tcPr>
            <w:tcW w:w="1097" w:type="pct"/>
            <w:shd w:val="clear" w:color="auto" w:fill="FFFFFF"/>
            <w:tcMar>
              <w:top w:w="30" w:type="dxa"/>
              <w:left w:w="45" w:type="dxa"/>
              <w:bottom w:w="30" w:type="dxa"/>
              <w:right w:w="45" w:type="dxa"/>
            </w:tcMar>
            <w:vAlign w:val="center"/>
            <w:hideMark/>
          </w:tcPr>
          <w:p w14:paraId="51A2161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&lt;1500 MET / Moderate: 1500-3000 MET / Intense: &gt;= 3000 MET</w:t>
            </w:r>
          </w:p>
        </w:tc>
        <w:tc>
          <w:tcPr>
            <w:tcW w:w="457" w:type="pct"/>
            <w:shd w:val="clear" w:color="auto" w:fill="FFFFFF"/>
            <w:tcMar>
              <w:top w:w="30" w:type="dxa"/>
              <w:left w:w="45" w:type="dxa"/>
              <w:bottom w:w="30" w:type="dxa"/>
              <w:right w:w="45" w:type="dxa"/>
            </w:tcMar>
            <w:vAlign w:val="center"/>
            <w:hideMark/>
          </w:tcPr>
          <w:p w14:paraId="523751A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2F43EB2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26874781" w14:textId="24A955DE"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Focus on increasing educational status, advocating for women PA; focus on the age group 15- to 24 years </w:t>
            </w:r>
          </w:p>
        </w:tc>
      </w:tr>
      <w:tr w:rsidR="00F243D9" w:rsidRPr="001F49E7" w14:paraId="3E5C1BF4" w14:textId="77777777" w:rsidTr="007E49A6">
        <w:trPr>
          <w:trHeight w:val="315"/>
        </w:trPr>
        <w:tc>
          <w:tcPr>
            <w:tcW w:w="550" w:type="pct"/>
            <w:shd w:val="clear" w:color="auto" w:fill="FFFFFF"/>
            <w:tcMar>
              <w:top w:w="30" w:type="dxa"/>
              <w:left w:w="45" w:type="dxa"/>
              <w:bottom w:w="30" w:type="dxa"/>
              <w:right w:w="45" w:type="dxa"/>
            </w:tcMar>
            <w:vAlign w:val="center"/>
            <w:hideMark/>
          </w:tcPr>
          <w:p w14:paraId="24620634" w14:textId="19A036E6"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Z. Abbaspoor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J3pfTR9n","properties":{"formattedCitation":"(15)","plainCitation":"(15)","noteIndex":0},"citationItems":[{"id":"ulROLKvl/hwLzGBhV","uris":["http://zotero.org/users/16072611/items/DH7ZU5AQ","http://zotero.org/users/16072611/items/6RHSA6TM","http://zotero.org/users/16072611/items/IW7MAZHV","http://zotero.org/users/16072611/items/QT4LT4IW"],"itemData":{"id":529,"type":"article-journal","container-title":"Family Medicine &amp; Primary Care Review","DOI":"10.5114/fmpcr.2020.92499","ISSN":"1734-3402","issue":"1","journalAbbreviation":"Family Medicine &amp; Primary Care Review","page":"7-12","title":"The prevalence of determinants of obesity, metabolic syndrome and overweight in middle-aged urban women living in a megacity","volume":"22","author":[{"family":"Abbaspoor","given":"Zahra"},{"family":"Miryan","given":"Mahsa"},{"family":"Haghighi</w:instrText>
            </w:r>
            <w:r w:rsidR="00207711" w:rsidRPr="001F49E7">
              <w:rPr>
                <w:rFonts w:ascii="Cambria Math" w:eastAsia="Times New Roman" w:hAnsi="Cambria Math" w:cs="Cambria Math"/>
                <w:color w:val="000000" w:themeColor="text1"/>
                <w:kern w:val="0"/>
                <w:sz w:val="16"/>
                <w:szCs w:val="16"/>
                <w14:ligatures w14:val="none"/>
              </w:rPr>
              <w:instrText>‐</w:instrText>
            </w:r>
            <w:r w:rsidR="00207711" w:rsidRPr="001F49E7">
              <w:rPr>
                <w:rFonts w:eastAsia="Times New Roman" w:cstheme="minorHAnsi"/>
                <w:color w:val="000000" w:themeColor="text1"/>
                <w:kern w:val="0"/>
                <w:sz w:val="16"/>
                <w:szCs w:val="16"/>
                <w14:ligatures w14:val="none"/>
              </w:rPr>
              <w:instrText xml:space="preserve">Zadeh","given":"Mohamad"},{"family":"Rashidi","given":"Homeira"},{"family":"Sharifipoor","given":"Frozan"},{"family":"Amani","given":"Reza"}],"issued":{"date-parts":[["2020"]]}}}],"schema":"https://github.com/citation-style-language/schema/raw/master/csl-citation.json"}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(15)</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5F94AF2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Obesity, overweight, and metabolic syndrome prevalences </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Total PA prevalence by BMI groups</w:t>
            </w:r>
          </w:p>
        </w:tc>
        <w:tc>
          <w:tcPr>
            <w:tcW w:w="548" w:type="pct"/>
            <w:shd w:val="clear" w:color="auto" w:fill="FFFFFF"/>
            <w:tcMar>
              <w:top w:w="30" w:type="dxa"/>
              <w:left w:w="45" w:type="dxa"/>
              <w:bottom w:w="30" w:type="dxa"/>
              <w:right w:w="45" w:type="dxa"/>
            </w:tcMar>
            <w:vAlign w:val="center"/>
            <w:hideMark/>
          </w:tcPr>
          <w:p w14:paraId="660FBF0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052096A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light (Less than 600 Met-min/week) /Moderate (between 600 and 3,000 Met-min/week)/Severe PA (more</w:t>
            </w:r>
          </w:p>
          <w:p w14:paraId="4E3FA0F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than 3,000 Met-min/week)</w:t>
            </w:r>
          </w:p>
        </w:tc>
        <w:tc>
          <w:tcPr>
            <w:tcW w:w="457" w:type="pct"/>
            <w:shd w:val="clear" w:color="auto" w:fill="FFFFFF"/>
            <w:tcMar>
              <w:top w:w="30" w:type="dxa"/>
              <w:left w:w="45" w:type="dxa"/>
              <w:bottom w:w="30" w:type="dxa"/>
              <w:right w:w="45" w:type="dxa"/>
            </w:tcMar>
            <w:vAlign w:val="center"/>
            <w:hideMark/>
          </w:tcPr>
          <w:p w14:paraId="7A0DFA1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05403B9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289A3125" w14:textId="4E954C34"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Education promotion for women, smaller family size, healthy diet (↓ fast food/red meat, ↑ fruit/veg).</w:t>
            </w:r>
          </w:p>
        </w:tc>
      </w:tr>
      <w:tr w:rsidR="00F243D9" w:rsidRPr="001F49E7" w14:paraId="0EACDBB5" w14:textId="77777777" w:rsidTr="007E49A6">
        <w:trPr>
          <w:trHeight w:val="315"/>
        </w:trPr>
        <w:tc>
          <w:tcPr>
            <w:tcW w:w="550" w:type="pct"/>
            <w:shd w:val="clear" w:color="auto" w:fill="FFFFFF"/>
            <w:tcMar>
              <w:top w:w="30" w:type="dxa"/>
              <w:left w:w="45" w:type="dxa"/>
              <w:bottom w:w="30" w:type="dxa"/>
              <w:right w:w="45" w:type="dxa"/>
            </w:tcMar>
            <w:vAlign w:val="center"/>
            <w:hideMark/>
          </w:tcPr>
          <w:p w14:paraId="6B17EBFC" w14:textId="668B0016"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S. Bashirian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FHm3hDMf","properties":{"formattedCitation":"(16)","plainCitation":"(16)","noteIndex":0},"citationItems":[{"id":"ulROLKvl/g5NbywSw","uris":["http://zotero.org/users/16072611/items/SL8IC8EM","http://zotero.org/users/16072611/items/N4XHMV7K"],"itemData":{"id":511,"type":"article-journal","container-title":"International Quarterly of Community Health Education","DOI":"10.1177/0272684X19858897","ISSN":"1541-3519","issue":"2","journalAbbreviation":"Int Q Community Health Educ","language":"eng","page":"151-158","PMID":"31242087","source":"PubMed","title":"Effect of an Educational Intervention Based on the BASNEF Model on Promoting Physical Activity Among Postpartum Women","volume":"40","author":[{"family":"Bashirian","given":"Saeed"},{"family":"Ouji","given":"Zohreh"},{"family":"Afshari","given":"Maryam"},{"family":"Barati","given":"Majid"},{"family":"Heydarimoghadam","given":"Rashid"},{"family":"Soltanian","given":"Alireza"}],"issued":{"date-parts":[["2020",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(16)</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FC51AA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Effect of education on PA</w:t>
            </w:r>
          </w:p>
        </w:tc>
        <w:tc>
          <w:tcPr>
            <w:tcW w:w="548" w:type="pct"/>
            <w:shd w:val="clear" w:color="auto" w:fill="FFFFFF"/>
            <w:tcMar>
              <w:top w:w="30" w:type="dxa"/>
              <w:left w:w="45" w:type="dxa"/>
              <w:bottom w:w="30" w:type="dxa"/>
              <w:right w:w="45" w:type="dxa"/>
            </w:tcMar>
            <w:vAlign w:val="center"/>
            <w:hideMark/>
          </w:tcPr>
          <w:p w14:paraId="179C7F7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69D2C94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Light and Medium/Heavy</w:t>
            </w:r>
          </w:p>
          <w:p w14:paraId="56817D5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(Moderate: at least 600 met-min/week. Severe:</w:t>
            </w:r>
          </w:p>
          <w:p w14:paraId="40B261C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Fulfilling one of 1) The total energy consumed for intense PA has</w:t>
            </w:r>
          </w:p>
          <w:p w14:paraId="165EBE3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reached 1,500 met-min/week during at least 3 days of the past</w:t>
            </w:r>
          </w:p>
          <w:p w14:paraId="4BB49F3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7 days; 2) within at least the past 7 days, the total energy</w:t>
            </w:r>
          </w:p>
          <w:p w14:paraId="6B4D139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consumed to perform a combination of moderate, severe, or</w:t>
            </w:r>
          </w:p>
          <w:p w14:paraId="06F659F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walking activity has reached at least 3,000 met-min/week</w:t>
            </w:r>
          </w:p>
        </w:tc>
        <w:tc>
          <w:tcPr>
            <w:tcW w:w="457" w:type="pct"/>
            <w:shd w:val="clear" w:color="auto" w:fill="FFFFFF"/>
            <w:tcMar>
              <w:top w:w="30" w:type="dxa"/>
              <w:left w:w="45" w:type="dxa"/>
              <w:bottom w:w="30" w:type="dxa"/>
              <w:right w:w="45" w:type="dxa"/>
            </w:tcMar>
            <w:vAlign w:val="center"/>
            <w:hideMark/>
          </w:tcPr>
          <w:p w14:paraId="33E4EEE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societies</w:t>
            </w:r>
          </w:p>
        </w:tc>
        <w:tc>
          <w:tcPr>
            <w:tcW w:w="518" w:type="pct"/>
            <w:shd w:val="clear" w:color="auto" w:fill="FFFFFF"/>
            <w:tcMar>
              <w:top w:w="30" w:type="dxa"/>
              <w:left w:w="45" w:type="dxa"/>
              <w:bottom w:w="30" w:type="dxa"/>
              <w:right w:w="45" w:type="dxa"/>
            </w:tcMar>
            <w:vAlign w:val="center"/>
            <w:hideMark/>
          </w:tcPr>
          <w:p w14:paraId="70AD0B6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educational level</w:t>
            </w:r>
          </w:p>
        </w:tc>
        <w:tc>
          <w:tcPr>
            <w:tcW w:w="1067" w:type="pct"/>
            <w:shd w:val="clear" w:color="auto" w:fill="FFFFFF"/>
            <w:tcMar>
              <w:top w:w="30" w:type="dxa"/>
              <w:left w:w="45" w:type="dxa"/>
              <w:bottom w:w="30" w:type="dxa"/>
              <w:right w:w="45" w:type="dxa"/>
            </w:tcMar>
            <w:vAlign w:val="center"/>
            <w:hideMark/>
          </w:tcPr>
          <w:p w14:paraId="0FBADC94" w14:textId="72C5E2C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Educational PA programs for postpartum mothers</w:t>
            </w:r>
          </w:p>
        </w:tc>
      </w:tr>
      <w:tr w:rsidR="00F243D9" w:rsidRPr="001F49E7" w14:paraId="1102C58C" w14:textId="77777777" w:rsidTr="007E49A6">
        <w:trPr>
          <w:trHeight w:val="315"/>
        </w:trPr>
        <w:tc>
          <w:tcPr>
            <w:tcW w:w="550" w:type="pct"/>
            <w:shd w:val="clear" w:color="auto" w:fill="FFFFFF"/>
            <w:tcMar>
              <w:top w:w="30" w:type="dxa"/>
              <w:left w:w="45" w:type="dxa"/>
              <w:bottom w:w="30" w:type="dxa"/>
              <w:right w:w="45" w:type="dxa"/>
            </w:tcMar>
            <w:vAlign w:val="center"/>
            <w:hideMark/>
          </w:tcPr>
          <w:p w14:paraId="69604D73" w14:textId="7197A74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 Kamalian 2021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{"citationID":"C1Albj6R","properties":{"formattedCitation":"(17)","plainCitation":"(17)","noteIndex":0},"citationItems":[{"id":"ulROLKvl/KwsPezOY","uris":["http://zotero.org/users/16072611/items/NCCURUBB"],"itemData":{"id":197,"type":"article-journal","abstract":"Insufficient physical activity (IPA) caused approximately 5% of mortalities in 2017 in Iran, almost double its global average. Despite the relatively considerable burden, a knowledge gap exists regarding the trend of IPA in recent years. We described the trend of IPA prevalence utilizing the data from six rounds of STEPwise approach to risk factor Surveillance (STEPS) in Iran. We estimated the physical activity status of Iranian adults from 2006 to 2016 after adjusting for years of schooling, urbanization percentage, and wealth index. We used the spatiotemporal model to interpolate and extrapolate the IPA prevalence for the years in-between the series and from 2001 to 2006, respectively. We used the data of 177,910 participants from six STEPS surveys and found that the national prevalence of IPA had steadily increased over the course of 16 years and had almost doubled in this time period (23.1% in 2001 to 55.4% in 2016). The increase was persistent across all age and gender strata and in every province. Moreover, IPA was more prevalent among women than their male peers regardless of their age category or province of residence. The prevalence of IPA in Khuzestan (highest prevalence) was almost double compared to that in Lorestan (lowest prevalence) in 2016. The IPA prevalence increased considerably and almost doubled in 16 years among Iranian adults, particularly women. Policies need to target IPA as a high priority contributing to the burden of Non-communicable diseases.","container-title":"Scientific Reports","DOI":"10.1038/s41598-021-00252-3","ISSN":"2045-2322","issue":"1","journalAbbreviation":"Sci Rep","language":"eng","page":"21441","PMID":"34728645","PMCID":"PMC8564525","source":"PubMed","title":"A national and sub-national metaregression of the trend of insufficient physical activity among Iranian adults between 2001 and 2016","volume":"11","author":[{"family":"Kamalian","given":"Aida"},{"family":"Khosravi Shadmani","given":"Fatemeh"},{"family":"Yoosefi","given":"Moein"},{"family":"Mohajer","given":"Bahram"},{"family":"Mohebi","given":"Farnam"},{"family":"Naderimagham","given":"Shohreh"},{"family":"Rezaei","given":"Negar"},{"family":"Ghasemi","given":"Erfan"},{"family":"Rouhifard Khalilabad","given":"Mahtab"},{"family":"Hassanmirzaei","given":"Bahar"},{"family":"Selk Ghaffari","given":"Maryam"},{"family":"Khosravi","given":"Afifeh"},{"family":"Kordi","given":"Ramin"},{"family":"Farzadfar","given":"Farshad"}],"issued":{"date-parts":[["2021",11,2]]}}}],"schema":"https://github.com/citation-style-language/schema/raw/master/csl-citation.json"}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(17)</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2E8824F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2001-2016</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Trend of PA and Sex-specific PA</w:t>
            </w:r>
          </w:p>
        </w:tc>
        <w:tc>
          <w:tcPr>
            <w:tcW w:w="548" w:type="pct"/>
            <w:shd w:val="clear" w:color="auto" w:fill="FFFFFF"/>
            <w:tcMar>
              <w:top w:w="30" w:type="dxa"/>
              <w:left w:w="45" w:type="dxa"/>
              <w:bottom w:w="30" w:type="dxa"/>
              <w:right w:w="45" w:type="dxa"/>
            </w:tcMar>
            <w:vAlign w:val="center"/>
            <w:hideMark/>
          </w:tcPr>
          <w:p w14:paraId="37FE2E8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GPAQ2</w:t>
            </w:r>
          </w:p>
        </w:tc>
        <w:tc>
          <w:tcPr>
            <w:tcW w:w="1097" w:type="pct"/>
            <w:shd w:val="clear" w:color="auto" w:fill="FFFFFF"/>
            <w:tcMar>
              <w:top w:w="30" w:type="dxa"/>
              <w:left w:w="45" w:type="dxa"/>
              <w:bottom w:w="30" w:type="dxa"/>
              <w:right w:w="45" w:type="dxa"/>
            </w:tcMar>
            <w:vAlign w:val="center"/>
            <w:hideMark/>
          </w:tcPr>
          <w:p w14:paraId="2D4BF05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Prevalence of </w:t>
            </w:r>
          </w:p>
          <w:p w14:paraId="5550511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 (MET&lt;600)</w:t>
            </w:r>
          </w:p>
        </w:tc>
        <w:tc>
          <w:tcPr>
            <w:tcW w:w="457" w:type="pct"/>
            <w:shd w:val="clear" w:color="auto" w:fill="FFFFFF"/>
            <w:tcMar>
              <w:top w:w="30" w:type="dxa"/>
              <w:left w:w="45" w:type="dxa"/>
              <w:bottom w:w="30" w:type="dxa"/>
              <w:right w:w="45" w:type="dxa"/>
            </w:tcMar>
            <w:vAlign w:val="center"/>
            <w:hideMark/>
          </w:tcPr>
          <w:p w14:paraId="054483A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Active environments, &amp; Active systems </w:t>
            </w:r>
          </w:p>
        </w:tc>
        <w:tc>
          <w:tcPr>
            <w:tcW w:w="518" w:type="pct"/>
            <w:shd w:val="clear" w:color="auto" w:fill="FFFFFF"/>
            <w:tcMar>
              <w:top w:w="30" w:type="dxa"/>
              <w:left w:w="45" w:type="dxa"/>
              <w:bottom w:w="30" w:type="dxa"/>
              <w:right w:w="45" w:type="dxa"/>
            </w:tcMar>
            <w:vAlign w:val="center"/>
            <w:hideMark/>
          </w:tcPr>
          <w:p w14:paraId="307B676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Lack of awareness and facilities for PA</w:t>
            </w:r>
          </w:p>
        </w:tc>
        <w:tc>
          <w:tcPr>
            <w:tcW w:w="1067" w:type="pct"/>
            <w:shd w:val="clear" w:color="auto" w:fill="FFFFFF"/>
            <w:tcMar>
              <w:top w:w="30" w:type="dxa"/>
              <w:left w:w="45" w:type="dxa"/>
              <w:bottom w:w="30" w:type="dxa"/>
              <w:right w:w="45" w:type="dxa"/>
            </w:tcMar>
            <w:vAlign w:val="center"/>
            <w:hideMark/>
          </w:tcPr>
          <w:p w14:paraId="24DB6D74" w14:textId="6D0F05B3"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Policies focusing on the psychosocial and environmental barriers of subpopulations with higher IPA prevalence</w:t>
            </w:r>
          </w:p>
        </w:tc>
      </w:tr>
      <w:tr w:rsidR="00F243D9" w:rsidRPr="001F49E7" w14:paraId="60F997B9" w14:textId="77777777" w:rsidTr="007E49A6">
        <w:trPr>
          <w:trHeight w:val="315"/>
        </w:trPr>
        <w:tc>
          <w:tcPr>
            <w:tcW w:w="550" w:type="pct"/>
            <w:shd w:val="clear" w:color="auto" w:fill="FFFFFF"/>
            <w:tcMar>
              <w:top w:w="30" w:type="dxa"/>
              <w:left w:w="45" w:type="dxa"/>
              <w:bottom w:w="30" w:type="dxa"/>
              <w:right w:w="45" w:type="dxa"/>
            </w:tcMar>
            <w:vAlign w:val="center"/>
            <w:hideMark/>
          </w:tcPr>
          <w:p w14:paraId="59E6DF78" w14:textId="2473A3B1"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 Mirzaei 2021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{"citationID":"hgD92L1N","properties":{"formattedCitation":"(18)","plainCitation":"(18)","noteIndex":0},"citationItems":[{"id":"ulROLKvl/EVOUpfgD","uris":["http://zotero.org/users/16072611/items/P8LS7TAX"],"itemData":{"id":479,"type":"article-journal","abstract":"BACKGROUND\nThe prevalence of hypertension (HTN) varies across countries due to differences in its related risk factors. This study aimed to investigate the prevalence of HTN and related risk factors among adults.\n\nMETHODS\nThis study was conducted on the data from the recruitment phase of Yazd Health Study. Using multi-stage random cluster sampling, 10000 adults of 20-69 years were selected. Self-reported HTN (diagnosed by a physician) was recorded in a home visit. Blood pressure (BP) was measured using a standard protocol and categorized based on the Seventh Report of the Joint National Committee on Prevention, Detection, Evaluation, and ýTreatment of High Blood Pressure (JNC-7) classification. T-test was used to examine the gender differences. Qualitative variables were presented as number (frequency). Chi-square test and bivariate logistic regression were carried out to determine the association between risk factors.\n\nRESULTS\nThe response rate was 95% (n = 9975). The prevalence of positive history of HTN was 18.5%. The mean systolic and diastolic BP was 126.5 ± 18.4 and 80.2 ± 12.5 mmHg, respectively. The prevalence of HTN was 36.0% (95%CI: 35.1-36.9). Its prevalence reduced by high-education, physical activity, lower BMI, and lack of history of diabetes mellitus (DM) (P &lt; 0.0001). HTN is less common in smokers (P &lt; 0.0001). Logistic regression analysis showed that HTN was higher among men (OR: 1.83; 95%CI: 1.64-2.03), the elderly (OR: 5.15; 95%CI: 4.20-6.31), low-educated (OR: 1.40; 95%CI: 1.17-1.67), and diabetics (OR: 1.20; 95%CI: 1.05-1.38). The prevalence of HTN was 2 times higher in obeses. HTN did not have a significant relationship with inactivity, smoking, and hypercholesterolemia.\n\nCONCLUSION\nThe prevalence of HTN was high. By identifying modifiable risk factors, health policymakers can prioritize intervention programs. It is necessary to inform younger adult groups how these factors can be managed through a healthy lifestyle and nutritional habits.","container-title":"ARYA Atherosclerosis","DOI":"10.22122/arya.v17i0.2045","ISSN":"1735-3955","issue":"1","journalAbbreviation":"ARYA Atheroscler","page":"1-9","PMID":"34703488","PMCID":"PMC8519624","source":"PubMed Central","title":"Prevalence of hypertension and related risk factors in central Iran: Results from Yazd Health Study","title-short":"Prevalence of hypertension and related risk factors in central Iran","volume":"17","author":[{"family":"Mirzaei","given":"Masoud"},{"family":"Mirzaei","given":"Mohsen"},{"family":"Gholami","given":"Somaye"},{"family":"Abolhosseini","given":"Hossein"}],"issued":{"date-parts":[["2021",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(18)</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917F2B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HTN and its RFs</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and Sex-specific PA, OR for HTN</w:t>
            </w:r>
          </w:p>
        </w:tc>
        <w:tc>
          <w:tcPr>
            <w:tcW w:w="548" w:type="pct"/>
            <w:shd w:val="clear" w:color="auto" w:fill="FFFFFF"/>
            <w:tcMar>
              <w:top w:w="30" w:type="dxa"/>
              <w:left w:w="45" w:type="dxa"/>
              <w:bottom w:w="30" w:type="dxa"/>
              <w:right w:w="45" w:type="dxa"/>
            </w:tcMar>
            <w:vAlign w:val="center"/>
            <w:hideMark/>
          </w:tcPr>
          <w:p w14:paraId="76C7DE9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hideMark/>
          </w:tcPr>
          <w:p w14:paraId="6CB39EA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Low/Moderate/High PA</w:t>
            </w:r>
          </w:p>
        </w:tc>
        <w:tc>
          <w:tcPr>
            <w:tcW w:w="457" w:type="pct"/>
            <w:shd w:val="clear" w:color="auto" w:fill="FFFFFF"/>
            <w:tcMar>
              <w:top w:w="30" w:type="dxa"/>
              <w:left w:w="45" w:type="dxa"/>
              <w:bottom w:w="30" w:type="dxa"/>
              <w:right w:w="45" w:type="dxa"/>
            </w:tcMar>
            <w:vAlign w:val="center"/>
            <w:hideMark/>
          </w:tcPr>
          <w:p w14:paraId="41DA24F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518" w:type="pct"/>
            <w:shd w:val="clear" w:color="auto" w:fill="FFFFFF"/>
            <w:tcMar>
              <w:top w:w="30" w:type="dxa"/>
              <w:left w:w="45" w:type="dxa"/>
              <w:bottom w:w="30" w:type="dxa"/>
              <w:right w:w="45" w:type="dxa"/>
            </w:tcMar>
            <w:vAlign w:val="center"/>
            <w:hideMark/>
          </w:tcPr>
          <w:p w14:paraId="68C7F4E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04663B3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21647308" w14:textId="77777777" w:rsidTr="007E49A6">
        <w:trPr>
          <w:trHeight w:val="315"/>
        </w:trPr>
        <w:tc>
          <w:tcPr>
            <w:tcW w:w="550" w:type="pct"/>
            <w:shd w:val="clear" w:color="auto" w:fill="FFFFFF"/>
            <w:tcMar>
              <w:top w:w="30" w:type="dxa"/>
              <w:left w:w="45" w:type="dxa"/>
              <w:bottom w:w="30" w:type="dxa"/>
              <w:right w:w="45" w:type="dxa"/>
            </w:tcMar>
            <w:vAlign w:val="center"/>
            <w:hideMark/>
          </w:tcPr>
          <w:p w14:paraId="110D88A7" w14:textId="71A3386E"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 Ghafouri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9iYBFz3d","properties":{"formattedCitation":"(19)","plainCitation":"(19)","noteIndex":0},"citationItems":[{"id":"ulROLKvl/bBRN2Lxi","uris":["http://zotero.org/users/16072611/items/CJN6HDMQ","http://zotero.org/users/16072611/items/82HKIPHZ"],"itemData":{"id":504,"type":"article-journal","abstract":"BACKGROUND AND OBJECTIVES: Low back pain (LBP) is a common health condition in populations. Limited large-scale population-based studies evaluated the prevalence and predictors of LBP in developing countries. This study aimed to evaluate the prevalence and factors associated with LBP among the Iranian population.\nMETHODS: We used baseline information from the Prospective Epidemiological Research Studies in Iran (PERSIAN), including individuals from 16 provinces of Iran. LBP was defined as the history of back pain interfering with daily activities for more than one week during an individual's lifetime. Various factors hypothesized to affect LBP, such as age, sex, marital status, educational status, ethnicity, living area, employment status, history of smoking, body mass index (BMI), physical activity, sleep duration, wealth score, history of joint pain, and history of morning stiffness in the joints were evaluated.\nRESULTS: In total, 163770 Iranians with a mean age of 49.37 (SD = 9.15) were included in this study, 44.8% of whom were male. The prevalence of LBP was 25.2% among participants. After adjusting for confounders, the female gender [OR:1.244(1.02-1.50)], middle and older ages [OR:1.23(1.10-1.33) and OR:1.13(1.07-1.42), respectively], being overweight or obese [OR:1.13(1.07-1.19) and OR:1.21(1.16-1.27), respectively], former and current smokers (OR:1.25(1.16-1.36) and OR:1.28(1.17-1.39), respectively], low physical activity [OR:1.07(1.01-1.14)], and short sleep duration [OR: 1.09(1.02-1.17)] were significantly associated with LBP.\nCONCLUSION: In this large-scale study, we found the lifetime prevalence of LBP to be lower among the Iranian population in comparison to the global prevalence of LBP; further studies are warranted to evaluate the causality of risk factors on LBP.","container-title":"Annals of Medicine and Surgery (2012)","DOI":"10.1016/j.amsu.2022.103243","ISSN":"2049-0801","journalAbbreviation":"Ann Med Surg (Lond)","language":"eng","page":"103243","PMID":"35145656","PMCID":"PMC8801351","source":"PubMed","title":"Prevalence and predictors of low back pain among the Iranian population: Results from the Persian cohort study","title-short":"Prevalence and predictors of low back pain among the Iranian population","volume":"74","author":[{"family":"Ghafouri","given":"Mohammad"},{"family":"Teymourzadeh","given":"Azin"},{"family":"Nakhostin-Ansari","given":"Amin"},{"family":"Sepanlou","given":"Sadaf G."},{"family":"Dalvand","given":"Sahar"},{"family":"Moradpour","given":"Farhad"},{"family":"Bavarsad","given":"Amir Hooshang"},{"family":"Boogar","given":"Shahrokh Sadeghi"},{"family":"Dehghan","given":"Morteza"},{"family":"Ostadrahimi","given":"Alireza"},{"family":"Aghazadeh-Attari","given":"Javad"},{"family":"Kahnooji","given":"Mahmood"},{"family":"Hosseinipour","given":"Ali"},{"family":"Gohari","given":"Ali"},{"family":"Hosseini","given":"Seyed Vahid"},{"family":"Mirzaei","given":"Masoud"},{"family":"Khorram","given":"Alireza"},{"family":"Shahmoradi","given":"Mehdi"},{"family":"Pourfarzi","given":"Farhad"},{"family":"Moosazadeh","given":"Mahmood"},{"family":"Mansour-Ghanaei","given":"Fariborz"},{"family":"Marioryad","given":"Hossein"},{"family":"Najafi","given":"Farid"},{"family":"Genevay","given":"Stephane"},{"family":"Moghadam","given":"Navid"},{"family":"Kordi","given":"Ramin"}],"issued":{"date-parts":[["2022",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(19)</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4F4036A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 Prevalence and risk factors of LBP </w:t>
            </w:r>
          </w:p>
          <w:p w14:paraId="6D7E53A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different levels of PA as a covariate</w:t>
            </w:r>
          </w:p>
        </w:tc>
        <w:tc>
          <w:tcPr>
            <w:tcW w:w="548" w:type="pct"/>
            <w:shd w:val="clear" w:color="auto" w:fill="FFFFFF"/>
            <w:tcMar>
              <w:top w:w="30" w:type="dxa"/>
              <w:left w:w="45" w:type="dxa"/>
              <w:bottom w:w="30" w:type="dxa"/>
              <w:right w:w="45" w:type="dxa"/>
            </w:tcMar>
            <w:vAlign w:val="center"/>
            <w:hideMark/>
          </w:tcPr>
          <w:p w14:paraId="225D02F8" w14:textId="77777777" w:rsidR="00F243D9" w:rsidRPr="001F49E7" w:rsidRDefault="00F243D9" w:rsidP="001F49E7">
            <w:pPr>
              <w:spacing w:after="0" w:line="240" w:lineRule="auto"/>
              <w:jc w:val="center"/>
              <w:rPr>
                <w:rFonts w:eastAsia="Times New Roman" w:cstheme="minorHAnsi"/>
                <w:color w:val="000000" w:themeColor="text1"/>
                <w:kern w:val="0"/>
                <w:sz w:val="16"/>
                <w:szCs w:val="16"/>
                <w:vertAlign w:val="superscript"/>
                <w14:ligatures w14:val="none"/>
              </w:rPr>
            </w:pPr>
            <w:r w:rsidRPr="001F49E7">
              <w:rPr>
                <w:rFonts w:eastAsia="Times New Roman" w:cstheme="minorHAnsi"/>
                <w:kern w:val="0"/>
                <w:sz w:val="16"/>
                <w:szCs w:val="16"/>
                <w14:ligatures w14:val="none"/>
              </w:rPr>
              <w:t>A Danish MET-based questionnaire</w:t>
            </w:r>
            <w:r w:rsidRPr="001F49E7">
              <w:rPr>
                <w:rFonts w:eastAsia="Times New Roman" w:cstheme="minorHAnsi"/>
                <w:kern w:val="0"/>
                <w:sz w:val="16"/>
                <w:szCs w:val="16"/>
                <w:vertAlign w:val="superscript"/>
                <w14:ligatures w14:val="none"/>
              </w:rPr>
              <w:t>1</w:t>
            </w:r>
            <w:r w:rsidRPr="001F49E7">
              <w:rPr>
                <w:rFonts w:eastAsia="Times New Roman" w:cstheme="minorHAnsi"/>
                <w:kern w:val="0"/>
                <w:sz w:val="16"/>
                <w:szCs w:val="16"/>
                <w14:ligatures w14:val="none"/>
              </w:rPr>
              <w:t xml:space="preserve"> </w:t>
            </w:r>
          </w:p>
        </w:tc>
        <w:tc>
          <w:tcPr>
            <w:tcW w:w="1097" w:type="pct"/>
            <w:shd w:val="clear" w:color="auto" w:fill="FFFFFF"/>
            <w:tcMar>
              <w:top w:w="30" w:type="dxa"/>
              <w:left w:w="45" w:type="dxa"/>
              <w:bottom w:w="30" w:type="dxa"/>
              <w:right w:w="45" w:type="dxa"/>
            </w:tcMar>
            <w:vAlign w:val="center"/>
            <w:hideMark/>
          </w:tcPr>
          <w:p w14:paraId="6547A5F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lower than average, medium, and higher than average PA (in total)</w:t>
            </w:r>
          </w:p>
          <w:p w14:paraId="08B674E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 medium, high PA in Low back pain participants)</w:t>
            </w:r>
          </w:p>
        </w:tc>
        <w:tc>
          <w:tcPr>
            <w:tcW w:w="457" w:type="pct"/>
            <w:shd w:val="clear" w:color="auto" w:fill="FFFFFF"/>
            <w:tcMar>
              <w:top w:w="30" w:type="dxa"/>
              <w:left w:w="45" w:type="dxa"/>
              <w:bottom w:w="30" w:type="dxa"/>
              <w:right w:w="45" w:type="dxa"/>
            </w:tcMar>
            <w:vAlign w:val="center"/>
            <w:hideMark/>
          </w:tcPr>
          <w:p w14:paraId="5AAEC38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7D8F686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17E0AD4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3A74B36B" w14:textId="77777777" w:rsidTr="007E49A6">
        <w:trPr>
          <w:trHeight w:val="315"/>
        </w:trPr>
        <w:tc>
          <w:tcPr>
            <w:tcW w:w="550" w:type="pct"/>
            <w:shd w:val="clear" w:color="auto" w:fill="FFFFFF"/>
            <w:tcMar>
              <w:top w:w="30" w:type="dxa"/>
              <w:left w:w="45" w:type="dxa"/>
              <w:bottom w:w="30" w:type="dxa"/>
              <w:right w:w="45" w:type="dxa"/>
            </w:tcMar>
            <w:vAlign w:val="center"/>
            <w:hideMark/>
          </w:tcPr>
          <w:p w14:paraId="32682CC8" w14:textId="6D4AB8D4"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 Nakhostin-Ansari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{"citationID":"jo5QfulJ","properties":{"formattedCitation":"(20)","plainCitation":"(20)","noteIndex":0},"citationItems":[{"id":"ulROLKvl/7rSaiFs4","uris":["http://zotero.org/users/16072611/items/9RYGGJ5L"],"itemData":{"id":284,"type":"article-journal","abstract":"BACKGROUND: There are limited studies on food security, physical activity, and social capital in the Iranian population. This study aimed to evaluate the social capital's associations with physical inactivity and food insecurity in a large-scale study in Iran, Urban HEART-2.\nMETHODS: This cross-sectional study was conducted in 22 districts of Tehran, the capital of Iran. Residents of Tehran who were 15 years or older were selected by a multi-stage, stratified, and random sampling method. Food insecurity and physical activity were evaluated using Household Food Security Scale and Global Physical Activity Questionnaire, respectively, and their associations with social capital were evaluated.\nRESULTS: A total of 5030 individuals were included in this study, with 3139 (62.4%) males. The mean age of participants was 44.08 years (SD</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16.33, range</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15-90). Participation in social events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0.893,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0.819-0.974,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0.011), social network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0.849,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0.786,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and voluntary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0.865,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0.812-0.921,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were all negatively associated with food insecurity. Also, voluntary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0.823,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0.776-0.872,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and participation in the associations activities (OR</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0.665, 95% CI</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0.582-0.759,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 xml:space="preserve">0.001) were negatively associated with physical inactivity.\nCONCLUSION: The prevalence of food insecurity and physical inactivity is relatively high among Tehran residents. As a factor affecting the physical activity and food security, social capital can be targeted in interventions to improve physical activity and food security among Iranians.","container-title":"TheScientificWorldJournal","DOI":"10.1155/2022/5410611","ISSN":"1537-744X","journalAbbreviation":"ScientificWorldJournal","language":"eng","page":"5410611","PMID":"36398032","PMCID":"PMC9666025","source":"PubMed","title":"Physical Inactivity and Food Insecurity Are Associated with Social Capital: A Large-Scale Population-Based Study in Tehran","title-short":"Physical Inactivity and Food Insecurity Are Associated with Social Capital","volume":"2022","author":[{"family":"Nakhostin-Ansari","given":"Amin"},{"family":"Akbari","given":"Paria"},{"family":"Selk-Ghaffari","given":"Maryam"},{"family":"Memari","given":"Amir Hossein"},{"family":"Vaez-Mahdavi","given":"Mohamad-Reza"},{"family":"Asadi-Lari","given":"Mohsen"}],"issued":{"date-parts":[["2022"]]}}}],"schema":"https://github.com/citation-style-language/schema/raw/master/csl-citation.json"}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(20)</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618AB7D4" w14:textId="4A337A66"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=Prevalence of PA active and inactive</w:t>
            </w:r>
            <w:r w:rsidR="00467859" w:rsidRPr="001F49E7">
              <w:rPr>
                <w:rFonts w:eastAsia="Times New Roman" w:cstheme="minorHAnsi"/>
                <w:color w:val="000000" w:themeColor="text1"/>
                <w:kern w:val="0"/>
                <w:sz w:val="16"/>
                <w:szCs w:val="16"/>
                <w14:ligatures w14:val="none"/>
              </w:rPr>
              <w:t xml:space="preserve"> and food insecurity </w:t>
            </w:r>
            <w:r w:rsidRPr="001F49E7">
              <w:rPr>
                <w:rFonts w:eastAsia="Times New Roman" w:cstheme="minorHAnsi"/>
                <w:color w:val="000000" w:themeColor="text1"/>
                <w:kern w:val="0"/>
                <w:sz w:val="16"/>
                <w:szCs w:val="16"/>
                <w14:ligatures w14:val="none"/>
              </w:rPr>
              <w:t>in groups of gender, age, BMI, education, marital status, occupation</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social capital elements [mean SD/ number %] in groups of PA active and inactive</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Tertiary: LPA OR for gender, marital, housewife, voluntary </w:t>
            </w:r>
            <w:r w:rsidRPr="001F49E7">
              <w:rPr>
                <w:rFonts w:eastAsia="Times New Roman" w:cstheme="minorHAnsi"/>
                <w:color w:val="000000" w:themeColor="text1"/>
                <w:kern w:val="0"/>
                <w:sz w:val="16"/>
                <w:szCs w:val="16"/>
                <w14:ligatures w14:val="none"/>
              </w:rPr>
              <w:lastRenderedPageBreak/>
              <w:t xml:space="preserve">activities, view on cultural status, participation in association activity </w:t>
            </w:r>
          </w:p>
        </w:tc>
        <w:tc>
          <w:tcPr>
            <w:tcW w:w="548" w:type="pct"/>
            <w:shd w:val="clear" w:color="auto" w:fill="FFFFFF"/>
            <w:tcMar>
              <w:top w:w="30" w:type="dxa"/>
              <w:left w:w="45" w:type="dxa"/>
              <w:bottom w:w="30" w:type="dxa"/>
              <w:right w:w="45" w:type="dxa"/>
            </w:tcMar>
            <w:vAlign w:val="center"/>
            <w:hideMark/>
          </w:tcPr>
          <w:p w14:paraId="21BB26E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GPAQ</w:t>
            </w:r>
          </w:p>
        </w:tc>
        <w:tc>
          <w:tcPr>
            <w:tcW w:w="1097" w:type="pct"/>
            <w:shd w:val="clear" w:color="auto" w:fill="FFFFFF"/>
            <w:tcMar>
              <w:top w:w="30" w:type="dxa"/>
              <w:left w:w="45" w:type="dxa"/>
              <w:bottom w:w="30" w:type="dxa"/>
              <w:right w:w="45" w:type="dxa"/>
            </w:tcMar>
            <w:vAlign w:val="center"/>
            <w:hideMark/>
          </w:tcPr>
          <w:p w14:paraId="23D151A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PA active and inactive (The level of</w:t>
            </w:r>
          </w:p>
          <w:p w14:paraId="303546C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activity below 600 Mets-hours/week was considered physically</w:t>
            </w:r>
          </w:p>
          <w:p w14:paraId="06EA4B5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inactive.)</w:t>
            </w:r>
          </w:p>
        </w:tc>
        <w:tc>
          <w:tcPr>
            <w:tcW w:w="457" w:type="pct"/>
            <w:shd w:val="clear" w:color="auto" w:fill="FFFFFF"/>
            <w:tcMar>
              <w:top w:w="30" w:type="dxa"/>
              <w:left w:w="45" w:type="dxa"/>
              <w:bottom w:w="30" w:type="dxa"/>
              <w:right w:w="45" w:type="dxa"/>
            </w:tcMar>
            <w:vAlign w:val="center"/>
            <w:hideMark/>
          </w:tcPr>
          <w:p w14:paraId="65582D4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societies &amp; Active people</w:t>
            </w:r>
          </w:p>
        </w:tc>
        <w:tc>
          <w:tcPr>
            <w:tcW w:w="518" w:type="pct"/>
            <w:shd w:val="clear" w:color="auto" w:fill="FFFFFF"/>
            <w:tcMar>
              <w:top w:w="30" w:type="dxa"/>
              <w:left w:w="45" w:type="dxa"/>
              <w:bottom w:w="30" w:type="dxa"/>
              <w:right w:w="45" w:type="dxa"/>
            </w:tcMar>
            <w:vAlign w:val="center"/>
            <w:hideMark/>
          </w:tcPr>
          <w:p w14:paraId="02CDE83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0868E062" w14:textId="6D1CC053" w:rsidR="00CE71CF"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Focus on females</w:t>
            </w:r>
            <w:r w:rsidR="00CE71CF" w:rsidRPr="001F49E7">
              <w:rPr>
                <w:rFonts w:eastAsia="Times New Roman" w:cstheme="minorHAnsi"/>
                <w:color w:val="000000" w:themeColor="text1"/>
                <w:kern w:val="0"/>
                <w:sz w:val="16"/>
                <w:szCs w:val="16"/>
                <w14:ligatures w14:val="none"/>
              </w:rPr>
              <w:t xml:space="preserve"> (being female increased the odds of IPA by 21%)</w:t>
            </w:r>
            <w:r w:rsidRPr="001F49E7">
              <w:rPr>
                <w:rFonts w:eastAsia="Times New Roman" w:cstheme="minorHAnsi"/>
                <w:color w:val="000000" w:themeColor="text1"/>
                <w:kern w:val="0"/>
                <w:sz w:val="16"/>
                <w:szCs w:val="16"/>
                <w14:ligatures w14:val="none"/>
              </w:rPr>
              <w:t>, non-single</w:t>
            </w:r>
            <w:r w:rsidR="00CE71CF" w:rsidRPr="001F49E7">
              <w:rPr>
                <w:rFonts w:eastAsia="Times New Roman" w:cstheme="minorHAnsi"/>
                <w:color w:val="000000" w:themeColor="text1"/>
                <w:kern w:val="0"/>
                <w:sz w:val="16"/>
                <w:szCs w:val="16"/>
                <w14:ligatures w14:val="none"/>
              </w:rPr>
              <w:t xml:space="preserve"> (the odds of IPA were nearly 24% lower in single marital status when compared to being married, divorced, or widowed)</w:t>
            </w:r>
            <w:r w:rsidRPr="001F49E7">
              <w:rPr>
                <w:rFonts w:eastAsia="Times New Roman" w:cstheme="minorHAnsi"/>
                <w:color w:val="000000" w:themeColor="text1"/>
                <w:kern w:val="0"/>
                <w:sz w:val="16"/>
                <w:szCs w:val="16"/>
                <w14:ligatures w14:val="none"/>
              </w:rPr>
              <w:t>, housewives</w:t>
            </w:r>
            <w:r w:rsidR="00CE71CF" w:rsidRPr="001F49E7">
              <w:rPr>
                <w:rFonts w:eastAsia="Times New Roman" w:cstheme="minorHAnsi"/>
                <w:color w:val="000000" w:themeColor="text1"/>
                <w:kern w:val="0"/>
                <w:sz w:val="16"/>
                <w:szCs w:val="16"/>
                <w14:ligatures w14:val="none"/>
              </w:rPr>
              <w:t xml:space="preserve"> (1.4-fold higher odds of IPA compared to being employed, unemployed, student, or retired)</w:t>
            </w:r>
            <w:r w:rsidRPr="001F49E7">
              <w:rPr>
                <w:rFonts w:eastAsia="Times New Roman" w:cstheme="minorHAnsi"/>
                <w:color w:val="000000" w:themeColor="text1"/>
                <w:kern w:val="0"/>
                <w:sz w:val="16"/>
                <w:szCs w:val="16"/>
                <w14:ligatures w14:val="none"/>
              </w:rPr>
              <w:t xml:space="preserve">. </w:t>
            </w:r>
            <w:r w:rsidR="00CE71CF" w:rsidRPr="001F49E7">
              <w:rPr>
                <w:rFonts w:eastAsia="Times New Roman" w:cstheme="minorHAnsi"/>
                <w:color w:val="000000" w:themeColor="text1"/>
                <w:kern w:val="0"/>
                <w:sz w:val="16"/>
                <w:szCs w:val="16"/>
                <w14:ligatures w14:val="none"/>
              </w:rPr>
              <w:t>Consider i</w:t>
            </w:r>
            <w:r w:rsidRPr="001F49E7">
              <w:rPr>
                <w:rFonts w:eastAsia="Times New Roman" w:cstheme="minorHAnsi"/>
                <w:color w:val="000000" w:themeColor="text1"/>
                <w:kern w:val="0"/>
                <w:sz w:val="16"/>
                <w:szCs w:val="16"/>
                <w14:ligatures w14:val="none"/>
              </w:rPr>
              <w:t>nterventions improving social capital</w:t>
            </w:r>
            <w:r w:rsidR="00030D84" w:rsidRPr="001F49E7">
              <w:rPr>
                <w:rFonts w:eastAsia="Times New Roman" w:cstheme="minorHAnsi"/>
                <w:color w:val="000000" w:themeColor="text1"/>
                <w:kern w:val="0"/>
                <w:sz w:val="16"/>
                <w:szCs w:val="16"/>
                <w14:ligatures w14:val="none"/>
              </w:rPr>
              <w:t>.</w:t>
            </w:r>
          </w:p>
        </w:tc>
      </w:tr>
      <w:tr w:rsidR="00F243D9" w:rsidRPr="001F49E7" w14:paraId="4AA79FC1" w14:textId="77777777" w:rsidTr="007E49A6">
        <w:trPr>
          <w:trHeight w:val="315"/>
        </w:trPr>
        <w:tc>
          <w:tcPr>
            <w:tcW w:w="550" w:type="pct"/>
            <w:shd w:val="clear" w:color="auto" w:fill="FFFFFF"/>
            <w:tcMar>
              <w:top w:w="30" w:type="dxa"/>
              <w:left w:w="45" w:type="dxa"/>
              <w:bottom w:w="30" w:type="dxa"/>
              <w:right w:w="45" w:type="dxa"/>
            </w:tcMar>
            <w:vAlign w:val="center"/>
            <w:hideMark/>
          </w:tcPr>
          <w:p w14:paraId="57F7086D" w14:textId="6C1B20EB"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 L. Odland 2022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{"citationID":"HNtEAIPN","properties":{"formattedCitation":"(21)","plainCitation":"(21)","noteIndex":0},"citationItems":[{"id":"ulROLKvl/sOhEewFS","uris":["http://zotero.org/users/16072611/items/XVHXGI5C"],"itemData":{"id":300,"type":"article-journal","abstract":"BACKGROUND: As the populations of lower-income and middle-income countries age, multimorbidity is increasing, but there is little information on its long-term consequences. We aimed to show associations between multimorbidity and outcomes of mortality and hospitalisation in Iran, a middle-income country undergoing rapid economic transition.\nMETHODS: We conducted a secondary analysis of longitudinal data collected in the Golestan Cohort Study. Data on demographics, morbidities and lifestyle factors were collected at baseline, and information on hospitalisations or deaths was captured annually. Logistic regression was used to analyse the association between baseline multimorbidity and 10-year mortality, Cox-proportional hazard models to measure lifetime risk of mortality and zero-inflation models to investigate the association between hospitalisation and multimorbidity. Multimorbidity was classified as ≥2 conditions or number of conditions. Demographic, lifestyle and socioeconomic variables were included as covariables.\nRESULTS: The study recruited 50 045 participants aged 40-75 years between 2004 and 2008, 47 883 were available for analysis, 416 (57.3%) were female and 12 736 (27.94%) were multimorbid. The odds of dying at 10 years for multimorbidity defined as ≥2 conditions was 1.99 (95% CI 1.86 to 2.12, p&lt;0.001), and it increased with increasing number of conditions (OR of 3.57; 95% CI 3.12 to 4.08, p&lt;0.001 for ≥4 conditions). The survival analysis showed the hazard of death for those with ≥4 conditions was 3.06 (95% CI 2.74 to 3.43, p&lt;0.001). The number of hospital admissions increased with number of conditions (OR of not being hospitalised of 0.36; 95% CI 0.31 to 0.52, p&lt;0.001, for ≥4 conditions).\nCONCLUSION: The long-terms effects of multimorbidity on mortality and hospitalisation are similar in this population to those seen in high-income countries.","container-title":"BMJ global health","DOI":"10.1136/bmjgh-2021-007278","ISSN":"2059-7908","issue":"5","journalAbbreviation":"BMJ Glob Health","language":"eng","page":"e007278","PMID":"35550337","PMCID":"PMC9109019","source":"PubMed","title":"Multimorbidity and associations with clinical outcomes in a middle-aged population in Iran: a longitudinal cohort study","title-short":"Multimorbidity and associations with clinical outcomes in a middle-aged population in Iran","volume":"7","author":[{"family":"Odland","given":"Maria Lisa"},{"family":"Ismail","given":"Samiha"},{"family":"Sepanlou","given":"Sadaf G."},{"family":"Poustchi","given":"Hossein"},{"family":"Sadjadi","given":"Alireza"},{"family":"Pourshams","given":"Akram"},{"family":"Marshall","given":"Tom"},{"family":"Witham","given":"Miles D."},{"family":"Malekzadeh","given":"Reza"},{"family":"Davies","given":"Justine I."}],"issued":{"date-parts":[["2022",5]]}}}],"schema":"https://github.com/citation-style-language/schema/raw/master/csl-citation.json"}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(21)</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3B0B309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multimorbidity and death within a 10-year period</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OR, HR of PA as a behavioral covariate</w:t>
            </w:r>
          </w:p>
        </w:tc>
        <w:tc>
          <w:tcPr>
            <w:tcW w:w="548" w:type="pct"/>
            <w:shd w:val="clear" w:color="auto" w:fill="FFFFFF"/>
            <w:tcMar>
              <w:top w:w="30" w:type="dxa"/>
              <w:left w:w="45" w:type="dxa"/>
              <w:bottom w:w="30" w:type="dxa"/>
              <w:right w:w="45" w:type="dxa"/>
            </w:tcMar>
            <w:vAlign w:val="center"/>
            <w:hideMark/>
          </w:tcPr>
          <w:p w14:paraId="3754C9E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GEMINI </w:t>
            </w:r>
            <w:r w:rsidRPr="001F49E7">
              <w:rPr>
                <w:rFonts w:eastAsia="Times New Roman" w:cstheme="minorHAnsi"/>
                <w:color w:val="000000" w:themeColor="text1"/>
                <w:kern w:val="0"/>
                <w:sz w:val="16"/>
                <w:szCs w:val="16"/>
                <w:vertAlign w:val="superscript"/>
                <w14:ligatures w14:val="none"/>
              </w:rPr>
              <w:t>2</w:t>
            </w:r>
            <w:r w:rsidRPr="001F49E7">
              <w:rPr>
                <w:rFonts w:eastAsia="Times New Roman" w:cstheme="minorHAnsi"/>
                <w:color w:val="000000" w:themeColor="text1"/>
                <w:kern w:val="0"/>
                <w:sz w:val="16"/>
                <w:szCs w:val="16"/>
                <w14:ligatures w14:val="none"/>
              </w:rPr>
              <w:t xml:space="preserve"> study questionnaire (self-developed)</w:t>
            </w:r>
          </w:p>
        </w:tc>
        <w:tc>
          <w:tcPr>
            <w:tcW w:w="1097" w:type="pct"/>
            <w:shd w:val="clear" w:color="auto" w:fill="FFFFFF"/>
            <w:tcMar>
              <w:top w:w="30" w:type="dxa"/>
              <w:left w:w="45" w:type="dxa"/>
              <w:bottom w:w="30" w:type="dxa"/>
              <w:right w:w="45" w:type="dxa"/>
            </w:tcMar>
            <w:vAlign w:val="center"/>
            <w:hideMark/>
          </w:tcPr>
          <w:p w14:paraId="4AD29F1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Low/Medium/High PA</w:t>
            </w:r>
          </w:p>
        </w:tc>
        <w:tc>
          <w:tcPr>
            <w:tcW w:w="457" w:type="pct"/>
            <w:shd w:val="clear" w:color="auto" w:fill="FFFFFF"/>
            <w:tcMar>
              <w:top w:w="30" w:type="dxa"/>
              <w:left w:w="45" w:type="dxa"/>
              <w:bottom w:w="30" w:type="dxa"/>
              <w:right w:w="45" w:type="dxa"/>
            </w:tcMar>
            <w:vAlign w:val="center"/>
            <w:hideMark/>
          </w:tcPr>
          <w:p w14:paraId="0D2D74E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systems</w:t>
            </w:r>
          </w:p>
        </w:tc>
        <w:tc>
          <w:tcPr>
            <w:tcW w:w="518" w:type="pct"/>
            <w:shd w:val="clear" w:color="auto" w:fill="FFFFFF"/>
            <w:tcMar>
              <w:top w:w="30" w:type="dxa"/>
              <w:left w:w="45" w:type="dxa"/>
              <w:bottom w:w="30" w:type="dxa"/>
              <w:right w:w="45" w:type="dxa"/>
            </w:tcMar>
            <w:vAlign w:val="center"/>
            <w:hideMark/>
          </w:tcPr>
          <w:p w14:paraId="23EB2D1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6B5F861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49CB6415" w14:textId="77777777" w:rsidTr="007E49A6">
        <w:trPr>
          <w:trHeight w:val="315"/>
        </w:trPr>
        <w:tc>
          <w:tcPr>
            <w:tcW w:w="550" w:type="pct"/>
            <w:shd w:val="clear" w:color="auto" w:fill="FFFFFF"/>
            <w:tcMar>
              <w:top w:w="30" w:type="dxa"/>
              <w:left w:w="45" w:type="dxa"/>
              <w:bottom w:w="30" w:type="dxa"/>
              <w:right w:w="45" w:type="dxa"/>
            </w:tcMar>
            <w:vAlign w:val="center"/>
            <w:hideMark/>
          </w:tcPr>
          <w:p w14:paraId="2EBFA61A" w14:textId="0E28A2A9"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 Atefatfar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{"citationID":"JPaAZ4qA","properties":{"formattedCitation":"(22)","plainCitation":"(22)","noteIndex":0},"citationItems":[{"id":"ulROLKvl/7GnVkgGX","uris":["http://zotero.org/users/16072611/items/ZI8I5SAC"],"itemData":{"id":273,"type":"article-journal","abstract":"OBJECTIVES: The aim of our study was to compare four lifestyles-healthy diet and low activity, unhealthy diet and high activity, unhealthy diet and low activity, and healthy diet and high activity-in relation to the risk of cardiovascular disease (CVD) and all-cause mortality.\nMETHODS: A total of 6504 adults ages ≥35 y were recruited to participate in the Isfahan Cohort Study and followed for 13 y. Diet was assessed using a validated 48-item food frequency questionnaire, and the quality of diet was assessed using the Dietary Quality Index. Physical activity (PA) was evaluated using the International Physical Activity Questionnaire. The primary outcomes were CVD and all-cause mortality. Cox proportional hazards regression was used to calculate the hazard ratio (HR) and the 95% CIs.\nRESULTS: During 771 440 person-years of follow-up, 390 and 147 deaths occurred due to all causes and CVD, respectively. High PA, either with a healthy or unhealthy diet, was associated with a lower risk of death from CVD (HR = 0.43; 95% CI, 0.26-0.69, and HR = 0.32; 95% CI, 0.18-0.56, respectively) and also all-cause mortality(HR = 0.53, 95% CI, 0.39-0.71, and HR = 0.5, 95% CI, 0.36-0.68). Moreover, type of PA was important, such that when leisure time PA was considered, none of the lifestyles was associated with a lower risk of CVD and all-cause mortality. However, for occupational PA, the result was the same as the total PA.\nCONCLUSIONS: Having high PA (total or occupational), with or without adhering to a healthy diet, is associated with a lower risk of death from any cause and CVD; although leisure time PA, irrespective of adhering to a healthy diet, was not associated with a lower risk of all-cause and CVD mortality.","container-title":"Nutrition (Burbank, Los Angeles County, Calif.)","DOI":"10.1016/j.nut.2023.112186","ISSN":"1873-1244","journalAbbreviation":"Nutrition","language":"eng","page":"112186","PMID":"37678016","source":"PubMed","title":"A healthy diet, physical activity, or either in relation to cardiovascular and all-cause mortality: A prospective cohort study","title-short":"A healthy diet, physical activity, or either in relation to cardiovascular and all-cause mortality","volume":"116","author":[{"family":"Atefatfar","given":"Ayda"},{"family":"Babajafari","given":"Siavash"},{"family":"Mohammadifard","given":"Noushin"},{"family":"Nouri","given":"Fatemeh"},{"family":"Boshtam","given":"Maryam"},{"family":"Sadeghi","given":"Masoumeh"},{"family":"Sharifi","given":"Mohammad Hossein"},{"family":"Kazemi","given":"Asma"},{"family":"Sarrafzadegan","given":"Nizal"}],"issued":{"date-parts":[["2023",12]]}}}],"schema":"https://github.com/citation-style-language/schema/raw/master/csl-citation.json"}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(22)</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095409D7" w14:textId="128FFC1C"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CVD mortality and </w:t>
            </w:r>
            <w:r w:rsidR="00184032" w:rsidRPr="001F49E7">
              <w:rPr>
                <w:rFonts w:eastAsia="Times New Roman" w:cstheme="minorHAnsi"/>
                <w:color w:val="000000" w:themeColor="text1"/>
                <w:kern w:val="0"/>
                <w:sz w:val="16"/>
                <w:szCs w:val="16"/>
                <w14:ligatures w14:val="none"/>
              </w:rPr>
              <w:t>a</w:t>
            </w:r>
            <w:r w:rsidRPr="001F49E7">
              <w:rPr>
                <w:rFonts w:eastAsia="Times New Roman" w:cstheme="minorHAnsi"/>
                <w:color w:val="000000" w:themeColor="text1"/>
                <w:kern w:val="0"/>
                <w:sz w:val="16"/>
                <w:szCs w:val="16"/>
                <w14:ligatures w14:val="none"/>
              </w:rPr>
              <w:t xml:space="preserve">ll-cause mortality  </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CVD HR and total mortality of domain-specific METs (total, leisure, work) in combination with diet (healthy/ unhealthy)</w:t>
            </w:r>
          </w:p>
        </w:tc>
        <w:tc>
          <w:tcPr>
            <w:tcW w:w="548" w:type="pct"/>
            <w:shd w:val="clear" w:color="auto" w:fill="FFFFFF"/>
            <w:tcMar>
              <w:top w:w="30" w:type="dxa"/>
              <w:left w:w="45" w:type="dxa"/>
              <w:bottom w:w="30" w:type="dxa"/>
              <w:right w:w="45" w:type="dxa"/>
            </w:tcMar>
            <w:vAlign w:val="center"/>
            <w:hideMark/>
          </w:tcPr>
          <w:p w14:paraId="780A4123" w14:textId="33C3D872"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IPAQ </w:t>
            </w:r>
          </w:p>
        </w:tc>
        <w:tc>
          <w:tcPr>
            <w:tcW w:w="1097" w:type="pct"/>
            <w:shd w:val="clear" w:color="auto" w:fill="FFFFFF"/>
            <w:tcMar>
              <w:top w:w="30" w:type="dxa"/>
              <w:left w:w="45" w:type="dxa"/>
              <w:bottom w:w="30" w:type="dxa"/>
              <w:right w:w="45" w:type="dxa"/>
            </w:tcMar>
            <w:vAlign w:val="center"/>
            <w:hideMark/>
          </w:tcPr>
          <w:p w14:paraId="3C71D93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healthy diet and low activity, unhealthy diet and high activity, unhealthy diet and low activity, and healthy diet and high activity</w:t>
            </w:r>
          </w:p>
        </w:tc>
        <w:tc>
          <w:tcPr>
            <w:tcW w:w="457" w:type="pct"/>
            <w:shd w:val="clear" w:color="auto" w:fill="FFFFFF"/>
            <w:tcMar>
              <w:top w:w="30" w:type="dxa"/>
              <w:left w:w="45" w:type="dxa"/>
              <w:bottom w:w="30" w:type="dxa"/>
              <w:right w:w="45" w:type="dxa"/>
            </w:tcMar>
            <w:vAlign w:val="center"/>
            <w:hideMark/>
          </w:tcPr>
          <w:p w14:paraId="76A71CC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0407B33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Difficult to monitor individuals' adherence to diet; Overestimation in the short FFQ [diet questionnaire]</w:t>
            </w:r>
          </w:p>
        </w:tc>
        <w:tc>
          <w:tcPr>
            <w:tcW w:w="1067" w:type="pct"/>
            <w:shd w:val="clear" w:color="auto" w:fill="FFFFFF"/>
            <w:tcMar>
              <w:top w:w="30" w:type="dxa"/>
              <w:left w:w="45" w:type="dxa"/>
              <w:bottom w:w="30" w:type="dxa"/>
              <w:right w:w="45" w:type="dxa"/>
            </w:tcMar>
            <w:vAlign w:val="center"/>
            <w:hideMark/>
          </w:tcPr>
          <w:p w14:paraId="58582D36" w14:textId="249261EE"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Focus on improving OPA</w:t>
            </w:r>
          </w:p>
        </w:tc>
      </w:tr>
      <w:tr w:rsidR="00F243D9" w:rsidRPr="001F49E7" w14:paraId="0E33C870" w14:textId="77777777" w:rsidTr="007E49A6">
        <w:trPr>
          <w:trHeight w:val="315"/>
        </w:trPr>
        <w:tc>
          <w:tcPr>
            <w:tcW w:w="550" w:type="pct"/>
            <w:shd w:val="clear" w:color="auto" w:fill="FFFFFF"/>
            <w:tcMar>
              <w:top w:w="30" w:type="dxa"/>
              <w:left w:w="45" w:type="dxa"/>
              <w:bottom w:w="30" w:type="dxa"/>
              <w:right w:w="45" w:type="dxa"/>
            </w:tcMar>
            <w:vAlign w:val="center"/>
            <w:hideMark/>
          </w:tcPr>
          <w:p w14:paraId="04C6DA59" w14:textId="25BBC25B"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 Babaei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{"citationID":"KOruAAyZ","properties":{"formattedCitation":"(23)","plainCitation":"(23)","noteIndex":0},"citationItems":[{"id":"ulROLKvl/h7S9G41U","uris":["http://zotero.org/users/16072611/items/GPJB2ILH"],"itemData":{"id":275,"type":"article-journal","abstract":"OBJECTIVES: Chronic venous disease (CVD) of the lower extremities is one of the common venous diseases in different populations, with a wide range of clinical manifestations and undetermined exact prevalence owing to different population characteristics and measurement methods. This study aimed to estimate the prevalence of CVD among the modern Iranian urban population and determine its associated risk factors.\nMETHODS: The Heart Assessment and Monitoring in Rajaie Hospital study, a longitudinal population-based cohort, aims to investigate the baseline prevalence and the 10-year incidence of cardiovascular diseases and associated risk factors in the adult population aged 30 to 75 years with no overt cardiovascular diseases in Tehran. Two instructed interventional cardiologists performed CVD evaluation using the Clinical-Etiology-Anatomy-Pathophysiology classification. CVD was graded as C1 to C6, and chronic venous insufficiency (CVI) as C3 to C6. A multivariable regression model was used to analyze the association between CVD and prespecified covariates of age, sex, body mass index (≥30 kg/m2), smoking, hypertension, diabetes mellitus, physical activity, dyslipidemia, and delivery method.\nRESULTS: CVD prevalence among 1176 participants was 36.5% (95% confidence interval [CI], 33.8-39.3) and was higher in women than men (44.2% vs 23.5%). CVI prevalence was only 0.7% (95% CI, 0.3-1.3). Multivariable analysis showed that advanced age (odds ratio [OR], 1.06; 95% CI, 1.04-1.08), female sex (OR, 2.98; 95% CI, 2.14-4.14), and body mass index of ≥30 (OR, 1.36; 95% CI, 1.03-1.81) were independently associated with CVD. Physical activity (OR, 0.77; 95% CI, 0.58-1.02) was nearly protective, whereas other factors, including traditional cardiovascular risk factors, had no meaningful association with CVD.\nCONCLUSIONS: Our findings showed that CVD was prevalent in the modern Iranian urban population. However, considering the very low prevalence of the higher stages of the disease, the benefit of mass screening is debatable, and better risk discriminators should be investigated.","container-title":"Journal of Vascular Surgery. Venous and Lymphatic Disorders","DOI":"10.1016/j.jvsv.2023.06.005","ISSN":"2213-3348","issue":"6","journalAbbreviation":"J Vasc Surg Venous Lymphat Disord","language":"eng","page":"1098-1106.e10","PMID":"37690625","source":"PubMed","title":"Prevalence and associated factors of chronic venous disease among the modern Iranian urban population","volume":"11","author":[{"family":"Babaei","given":"Mohammadreza"},{"family":"Afrooghe","given":"Arya"},{"family":"Rafati","given":"Ali"},{"family":"Mohebbi","given":"Bahram"},{"family":"Moosavi","given":"Jamal"},{"family":"Ghadri","given":"Narges"},{"family":"Koohestani","given":"Bahareh Mohajer"},{"family":"Rahimi","given":"Shahin"},{"family":"Baay","given":"Mohammadreza"},{"family":"Alemzadeh-Ansari","given":"Mohammad Javad"},{"family":"Hosseini","given":"Zahra"},{"family":"Boudagh","given":"Shabnam"},{"family":"Khalilipur","given":"Ehsan"},{"family":"Ghaemmaghami","given":"Zahra"},{"family":"Pasebani","given":"Yeganeh"},{"family":"Firoozbakhsh","given":"Parisa"},{"family":"Pouraliakbar","given":"Hamidreza"},{"family":"Bakhshandeh","given":"Hooman"},{"family":"Sadeghipour","given":"Parham"}],"issued":{"date-parts":[["2023",11]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(23)</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5BB33D3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xml:space="preserve">Prevalence of Chronic Venous disease </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=Total PA MET</w:t>
            </w:r>
            <w:r w:rsidRPr="001F49E7">
              <w:rPr>
                <w:rFonts w:eastAsia="Times New Roman" w:cstheme="minorHAnsi"/>
                <w:color w:val="000000" w:themeColor="text1"/>
                <w:kern w:val="0"/>
                <w:sz w:val="16"/>
                <w:szCs w:val="16"/>
                <w14:ligatures w14:val="none"/>
              </w:rPr>
              <w:noBreakHyphen/>
              <w:t>min/week prevalence as a covariate</w:t>
            </w:r>
          </w:p>
        </w:tc>
        <w:tc>
          <w:tcPr>
            <w:tcW w:w="548" w:type="pct"/>
            <w:shd w:val="clear" w:color="auto" w:fill="FFFFFF"/>
            <w:tcMar>
              <w:top w:w="30" w:type="dxa"/>
              <w:left w:w="45" w:type="dxa"/>
              <w:bottom w:w="30" w:type="dxa"/>
              <w:right w:w="45" w:type="dxa"/>
            </w:tcMar>
            <w:vAlign w:val="center"/>
            <w:hideMark/>
          </w:tcPr>
          <w:p w14:paraId="0640E36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GPAQ</w:t>
            </w:r>
          </w:p>
        </w:tc>
        <w:tc>
          <w:tcPr>
            <w:tcW w:w="1097" w:type="pct"/>
            <w:shd w:val="clear" w:color="auto" w:fill="FFFFFF"/>
            <w:tcMar>
              <w:top w:w="30" w:type="dxa"/>
              <w:left w:w="45" w:type="dxa"/>
              <w:bottom w:w="30" w:type="dxa"/>
              <w:right w:w="45" w:type="dxa"/>
            </w:tcMar>
            <w:vAlign w:val="center"/>
            <w:hideMark/>
          </w:tcPr>
          <w:p w14:paraId="0261315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&gt;= and &lt; 600 MET-minutes per week</w:t>
            </w:r>
          </w:p>
        </w:tc>
        <w:tc>
          <w:tcPr>
            <w:tcW w:w="457" w:type="pct"/>
            <w:shd w:val="clear" w:color="auto" w:fill="FFFFFF"/>
            <w:tcMar>
              <w:top w:w="30" w:type="dxa"/>
              <w:left w:w="45" w:type="dxa"/>
              <w:bottom w:w="30" w:type="dxa"/>
              <w:right w:w="45" w:type="dxa"/>
            </w:tcMar>
            <w:vAlign w:val="center"/>
            <w:hideMark/>
          </w:tcPr>
          <w:p w14:paraId="65AE127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systems &amp; Active People</w:t>
            </w:r>
          </w:p>
        </w:tc>
        <w:tc>
          <w:tcPr>
            <w:tcW w:w="518" w:type="pct"/>
            <w:shd w:val="clear" w:color="auto" w:fill="FFFFFF"/>
            <w:tcMar>
              <w:top w:w="30" w:type="dxa"/>
              <w:left w:w="45" w:type="dxa"/>
              <w:bottom w:w="30" w:type="dxa"/>
              <w:right w:w="45" w:type="dxa"/>
            </w:tcMar>
            <w:vAlign w:val="center"/>
            <w:hideMark/>
          </w:tcPr>
          <w:p w14:paraId="620867B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6D73CAB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71B3C133" w14:textId="77777777" w:rsidTr="007E49A6">
        <w:trPr>
          <w:trHeight w:val="315"/>
        </w:trPr>
        <w:tc>
          <w:tcPr>
            <w:tcW w:w="550" w:type="pct"/>
            <w:shd w:val="clear" w:color="auto" w:fill="FFFFFF"/>
            <w:tcMar>
              <w:top w:w="30" w:type="dxa"/>
              <w:left w:w="45" w:type="dxa"/>
              <w:bottom w:w="30" w:type="dxa"/>
              <w:right w:w="45" w:type="dxa"/>
            </w:tcMar>
            <w:vAlign w:val="center"/>
            <w:hideMark/>
          </w:tcPr>
          <w:p w14:paraId="6EC62DD3" w14:textId="3B3F46E5"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S. Razzaghi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{"citationID":"dw7gwrgZ","properties":{"formattedCitation":"(24)","plainCitation":"(24)","noteIndex":0},"citationItems":[{"id":"ulROLKvl/Ucdw5jsg","uris":["http://zotero.org/users/16072611/items/Z7GVX9S6"],"itemData":{"id":303,"type":"article-journal","abstract":"BACKGROUND: Asthma is one of the most common chronic respiratory diseases. It is estimated that more than 400 million people will suffer from it by 2025. This study aims to determine the prevalence of asthma in East Azerbaijan and investigate the association between asthma and some environmental and demographic factors.\nMATERIALS AND METHODS: This is a cross-sectional study based on a major Lifestyle Promotion Project (LPP) conducted in the districts of East Azerbaijan, including 2641 participants aged 15 to 65 years of the general population selected through probability proportional to size (PPS) multistage stratified cluster sampling. We used the World Health Survey questionnaire about doctor-diagnosed asthma to determine the prevalence of asthma. Age, smoking status, physical activity level, socioeconomic variables such as job and education level, and body mass index (BMI) were used as covariates in regression models. A questionnaire was used to obtain socio-demographic information and smoking status. The short form of the International Physical Activity Questionnaire was used to estimate the level of physical activity (IPAQ).\nRESULTS: The mean age of participants was 40.9 ± 12.05 years including 1242 (47 %) males and 1399 (53 %) females. The prevalence of asthma was 3.3 %. The frequency of smokers was significantly higher in the asthmatic group compared with the non-asthmatic group (OR=2.33 [1.76-3.31]; p=0.03). There was no significant association between asthma and other demographic and lifestyle characteristics. Obesity has also played a significant role in the development of asthma.\nCONCLUSION: According to the results of this study, obesity and smoking have played a significant role in the development of asthma but there is no statistically significant relationship between socioeconomic and demographic factors.","container-title":"Tanaffos","ISSN":"1735-0344","issue":"3","journalAbbreviation":"Tanaffos","language":"eng","page":"325-331","PMID":"38638384","PMCID":"PMC11022198","source":"PubMed","title":"Prevalence of Asthma in East Azerbaijan Adult Population and Its Determinants Factors: A Cross-Sectional Study from the Northwest of Iran","title-short":"Prevalence of Asthma in East Azerbaijan Adult Population and Its Determinants Factors","volume":"22","author":[{"family":"Razzaghi","given":"Shahryar"},{"family":"Farshbaf Khalili","given":"Ali"},{"family":"Nikniaz","given":"Leila"},{"family":"Nikniaz","given":"Zeinab"},{"family":"Zeinalzadeh","given":"Ali Hossein"}],"issued":{"date-parts":[["2023",3]]}}}],"schema":"https://github.com/citation-style-language/schema/raw/master/csl-citation.json"}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(24)</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43D8E16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Asthma</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and OR of PA as a covariate</w:t>
            </w:r>
          </w:p>
        </w:tc>
        <w:tc>
          <w:tcPr>
            <w:tcW w:w="548" w:type="pct"/>
            <w:shd w:val="clear" w:color="auto" w:fill="FFFFFF"/>
            <w:tcMar>
              <w:top w:w="30" w:type="dxa"/>
              <w:left w:w="45" w:type="dxa"/>
              <w:bottom w:w="30" w:type="dxa"/>
              <w:right w:w="45" w:type="dxa"/>
            </w:tcMar>
            <w:vAlign w:val="center"/>
            <w:hideMark/>
          </w:tcPr>
          <w:p w14:paraId="724B051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430F9F7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Low/Medium/High PA</w:t>
            </w:r>
          </w:p>
        </w:tc>
        <w:tc>
          <w:tcPr>
            <w:tcW w:w="457" w:type="pct"/>
            <w:shd w:val="clear" w:color="auto" w:fill="FFFFFF"/>
            <w:tcMar>
              <w:top w:w="30" w:type="dxa"/>
              <w:left w:w="45" w:type="dxa"/>
              <w:bottom w:w="30" w:type="dxa"/>
              <w:right w:w="45" w:type="dxa"/>
            </w:tcMar>
            <w:vAlign w:val="center"/>
            <w:hideMark/>
          </w:tcPr>
          <w:p w14:paraId="4966981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7FE572BC"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70D9E1A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2BF7362D" w14:textId="77777777" w:rsidTr="007E49A6">
        <w:trPr>
          <w:trHeight w:val="315"/>
        </w:trPr>
        <w:tc>
          <w:tcPr>
            <w:tcW w:w="550" w:type="pct"/>
            <w:shd w:val="clear" w:color="auto" w:fill="FFFFFF"/>
            <w:tcMar>
              <w:top w:w="30" w:type="dxa"/>
              <w:left w:w="45" w:type="dxa"/>
              <w:bottom w:w="30" w:type="dxa"/>
              <w:right w:w="45" w:type="dxa"/>
            </w:tcMar>
            <w:vAlign w:val="center"/>
            <w:hideMark/>
          </w:tcPr>
          <w:p w14:paraId="7C217A5E" w14:textId="6800B52A"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S. A. Nejadghaderi 2023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ATZ9yxYe","properties":{"formattedCitation":"(25)","plainCitation":"(25)","noteIndex":0},"citationItems":[{"id":"ulROLKvl/Z26brNuC","uris":["http://zotero.org/users/16072611/items/5ZG2TW6B","http://zotero.org/users/16072611/items/ZAXZZ6L9"],"itemData":{"id":513,"type":"article-journal","collection-title":"10:1036219","container-title":"Front Public Health","DOI":"10.3389/fpubh.2022.1036219","ISSN":"PMID: 36684955; PMCID: PMC9846211","language":"EN","title":"Physical activity pattern in Iran: Findings from STEPS 2021 - PubMed","author":[{"literal":"Nejadghaderi SA, Ahmadi N, Rashidi MM, Ghanbari A, Noori M, Abbasi-Kangevari M, Nasserinejad M, Rezaei N, Yoosefi M, Fattahi N, Ghasemi E, Farzi Y, Abdolhamidi E, Darman M, Djalalinia S, Farzadfar F."}],"issued":{"date-parts":[["2023",1,4]]}}}],"schema":"https://github.com/citation-style-language/schema/raw/master/csl-citation.json"}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(25)</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2B60646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Patterns of PA (prevalence)</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OR of area, marital status, and wealth index</w:t>
            </w:r>
          </w:p>
        </w:tc>
        <w:tc>
          <w:tcPr>
            <w:tcW w:w="548" w:type="pct"/>
            <w:shd w:val="clear" w:color="auto" w:fill="FFFFFF"/>
            <w:tcMar>
              <w:top w:w="30" w:type="dxa"/>
              <w:left w:w="45" w:type="dxa"/>
              <w:bottom w:w="30" w:type="dxa"/>
              <w:right w:w="45" w:type="dxa"/>
            </w:tcMar>
            <w:vAlign w:val="center"/>
            <w:hideMark/>
          </w:tcPr>
          <w:p w14:paraId="2BF7BD5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GPAQ</w:t>
            </w:r>
          </w:p>
        </w:tc>
        <w:tc>
          <w:tcPr>
            <w:tcW w:w="1097" w:type="pct"/>
            <w:shd w:val="clear" w:color="auto" w:fill="FFFFFF"/>
            <w:tcMar>
              <w:top w:w="30" w:type="dxa"/>
              <w:left w:w="45" w:type="dxa"/>
              <w:bottom w:w="30" w:type="dxa"/>
              <w:right w:w="45" w:type="dxa"/>
            </w:tcMar>
            <w:vAlign w:val="center"/>
            <w:hideMark/>
          </w:tcPr>
          <w:p w14:paraId="5A28C11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IPA (&lt;600 METs per week)</w:t>
            </w:r>
          </w:p>
        </w:tc>
        <w:tc>
          <w:tcPr>
            <w:tcW w:w="457" w:type="pct"/>
            <w:shd w:val="clear" w:color="auto" w:fill="FFFFFF"/>
            <w:tcMar>
              <w:top w:w="30" w:type="dxa"/>
              <w:left w:w="45" w:type="dxa"/>
              <w:bottom w:w="30" w:type="dxa"/>
              <w:right w:w="45" w:type="dxa"/>
            </w:tcMar>
            <w:vAlign w:val="center"/>
            <w:hideMark/>
          </w:tcPr>
          <w:p w14:paraId="6883CE6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environments &amp; Active societies</w:t>
            </w:r>
          </w:p>
        </w:tc>
        <w:tc>
          <w:tcPr>
            <w:tcW w:w="518" w:type="pct"/>
            <w:shd w:val="clear" w:color="auto" w:fill="FFFFFF"/>
            <w:tcMar>
              <w:top w:w="30" w:type="dxa"/>
              <w:left w:w="45" w:type="dxa"/>
              <w:bottom w:w="30" w:type="dxa"/>
              <w:right w:w="45" w:type="dxa"/>
            </w:tcMar>
            <w:vAlign w:val="center"/>
            <w:hideMark/>
          </w:tcPr>
          <w:p w14:paraId="2391C00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Interpersonal, intrapersonal, and environmental factors preventing sufficient PA</w:t>
            </w:r>
          </w:p>
        </w:tc>
        <w:tc>
          <w:tcPr>
            <w:tcW w:w="1067" w:type="pct"/>
            <w:shd w:val="clear" w:color="auto" w:fill="FFFFFF"/>
            <w:tcMar>
              <w:top w:w="30" w:type="dxa"/>
              <w:left w:w="45" w:type="dxa"/>
              <w:bottom w:w="30" w:type="dxa"/>
              <w:right w:w="45" w:type="dxa"/>
            </w:tcMar>
            <w:vAlign w:val="center"/>
            <w:hideMark/>
          </w:tcPr>
          <w:p w14:paraId="414916A9" w14:textId="030B1EFA" w:rsidR="009D1848"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Facilitat</w:t>
            </w:r>
            <w:r w:rsidR="00FA7593" w:rsidRPr="001F49E7">
              <w:rPr>
                <w:rFonts w:eastAsia="Times New Roman" w:cstheme="minorHAnsi"/>
                <w:color w:val="000000" w:themeColor="text1"/>
                <w:kern w:val="0"/>
                <w:sz w:val="16"/>
                <w:szCs w:val="16"/>
                <w14:ligatures w14:val="none"/>
              </w:rPr>
              <w:t>ing</w:t>
            </w:r>
            <w:r w:rsidRPr="001F49E7">
              <w:rPr>
                <w:rFonts w:eastAsia="Times New Roman" w:cstheme="minorHAnsi"/>
                <w:color w:val="000000" w:themeColor="text1"/>
                <w:kern w:val="0"/>
                <w:sz w:val="16"/>
                <w:szCs w:val="16"/>
                <w14:ligatures w14:val="none"/>
              </w:rPr>
              <w:t xml:space="preserve"> access to sports equipment, building a social structure and neighborhood environment that encourages PA for women</w:t>
            </w:r>
            <w:r w:rsidR="009D1848"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developing safe neighborhood environments appropriate for more community-based approaches, such as walking groups, raising awareness and social support through campaigns</w:t>
            </w:r>
            <w:r w:rsidR="009D1848" w:rsidRPr="001F49E7">
              <w:rPr>
                <w:rFonts w:eastAsia="Times New Roman" w:cstheme="minorHAnsi"/>
                <w:color w:val="000000" w:themeColor="text1"/>
                <w:kern w:val="0"/>
                <w:sz w:val="16"/>
                <w:szCs w:val="16"/>
                <w14:ligatures w14:val="none"/>
              </w:rPr>
              <w:t xml:space="preserve"> (Urban residency increased the odds of IPA by 44%), </w:t>
            </w:r>
            <w:r w:rsidR="00EA59B4" w:rsidRPr="001F49E7">
              <w:rPr>
                <w:rFonts w:eastAsia="Times New Roman" w:cstheme="minorHAnsi"/>
                <w:color w:val="000000" w:themeColor="text1"/>
                <w:kern w:val="0"/>
                <w:sz w:val="16"/>
                <w:szCs w:val="16"/>
                <w14:ligatures w14:val="none"/>
              </w:rPr>
              <w:t>f</w:t>
            </w:r>
            <w:r w:rsidR="009D1848" w:rsidRPr="001F49E7">
              <w:rPr>
                <w:rFonts w:eastAsia="Times New Roman" w:cstheme="minorHAnsi"/>
                <w:color w:val="000000" w:themeColor="text1"/>
                <w:kern w:val="0"/>
                <w:sz w:val="16"/>
                <w:szCs w:val="16"/>
                <w14:ligatures w14:val="none"/>
              </w:rPr>
              <w:t>ocus on individuals with certain marital status (being married and being widowed increased the odds of IPA by 33% and 47%, respectively)</w:t>
            </w:r>
            <w:r w:rsidR="0093350E" w:rsidRPr="001F49E7">
              <w:rPr>
                <w:rFonts w:eastAsia="Times New Roman" w:cstheme="minorHAnsi"/>
                <w:color w:val="000000" w:themeColor="text1"/>
                <w:kern w:val="0"/>
                <w:sz w:val="16"/>
                <w:szCs w:val="16"/>
                <w14:ligatures w14:val="none"/>
              </w:rPr>
              <w:t>.</w:t>
            </w:r>
          </w:p>
        </w:tc>
      </w:tr>
      <w:tr w:rsidR="00F243D9" w:rsidRPr="001F49E7" w14:paraId="346B7EB7" w14:textId="77777777" w:rsidTr="007E49A6">
        <w:trPr>
          <w:trHeight w:val="315"/>
        </w:trPr>
        <w:tc>
          <w:tcPr>
            <w:tcW w:w="550" w:type="pct"/>
            <w:shd w:val="clear" w:color="auto" w:fill="FFFFFF"/>
            <w:tcMar>
              <w:top w:w="30" w:type="dxa"/>
              <w:left w:w="45" w:type="dxa"/>
              <w:bottom w:w="30" w:type="dxa"/>
              <w:right w:w="45" w:type="dxa"/>
            </w:tcMar>
            <w:vAlign w:val="center"/>
            <w:hideMark/>
          </w:tcPr>
          <w:p w14:paraId="27BD2F06" w14:textId="02E60CC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N. Mohammadi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{"citationID":"viPBD3Us","properties":{"unsorted":false,"formattedCitation":"(26)","plainCitation":"(26)","noteIndex":0},"citationItems":[{"id":61,"uris":["http://zotero.org/users/local/SBvLfXY8/items/582LZXER"],"itemData":{"id":61,"type":"article-journal","abstract":"We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(26)</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1FC1B16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Leisure</w:t>
            </w:r>
            <w:r w:rsidRPr="001F49E7">
              <w:rPr>
                <w:rFonts w:eastAsia="Times New Roman" w:cstheme="minorHAnsi"/>
                <w:color w:val="000000" w:themeColor="text1"/>
                <w:kern w:val="0"/>
                <w:sz w:val="16"/>
                <w:szCs w:val="16"/>
                <w14:ligatures w14:val="none"/>
              </w:rPr>
              <w:noBreakHyphen/>
              <w:t>time PA MET</w:t>
            </w:r>
            <w:r w:rsidRPr="001F49E7">
              <w:rPr>
                <w:rFonts w:eastAsia="Times New Roman" w:cstheme="minorHAnsi"/>
                <w:color w:val="000000" w:themeColor="text1"/>
                <w:kern w:val="0"/>
                <w:sz w:val="16"/>
                <w:szCs w:val="16"/>
                <w14:ligatures w14:val="none"/>
              </w:rPr>
              <w:noBreakHyphen/>
              <w:t>min/week and CI for inequality</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Domain-specific METs (work, transport, household)</w:t>
            </w:r>
          </w:p>
        </w:tc>
        <w:tc>
          <w:tcPr>
            <w:tcW w:w="548" w:type="pct"/>
            <w:shd w:val="clear" w:color="auto" w:fill="FFFFFF"/>
            <w:tcMar>
              <w:top w:w="30" w:type="dxa"/>
              <w:left w:w="45" w:type="dxa"/>
              <w:bottom w:w="30" w:type="dxa"/>
              <w:right w:w="45" w:type="dxa"/>
            </w:tcMar>
            <w:vAlign w:val="center"/>
            <w:hideMark/>
          </w:tcPr>
          <w:p w14:paraId="64BE928E" w14:textId="3F54F343"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7E0933E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 moderate, vigorous PA</w:t>
            </w:r>
          </w:p>
          <w:p w14:paraId="421897A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(Low: No reported activity or MET-minutes per week less than 600 / Moderate: Individuals must meet one of the following conditions: engage in vigorous-intensity activities for at least 20 min per day on three or more days per week, engage in moderate-intensity activities or walking for at least 30 min per </w:t>
            </w:r>
            <w:r w:rsidRPr="001F49E7">
              <w:rPr>
                <w:rFonts w:eastAsia="Times New Roman" w:cstheme="minorHAnsi"/>
                <w:color w:val="000000" w:themeColor="text1"/>
                <w:kern w:val="0"/>
                <w:sz w:val="16"/>
                <w:szCs w:val="16"/>
                <w14:ligatures w14:val="none"/>
              </w:rPr>
              <w:lastRenderedPageBreak/>
              <w:t>day on five or more days per week. A combination of all walking, moderate, and vigorous activities that sum up to at least 600 MET-minutes per week.  / Vigorous: Individuals must meet both of the following conditions, engage in vigorous-intensity physical activity on at least three days per week. A combination of all walking, moderate, and vigorous activities that sum up to at least 3000 MET-minutes per week)</w:t>
            </w:r>
          </w:p>
        </w:tc>
        <w:tc>
          <w:tcPr>
            <w:tcW w:w="457" w:type="pct"/>
            <w:shd w:val="clear" w:color="auto" w:fill="FFFFFF"/>
            <w:tcMar>
              <w:top w:w="30" w:type="dxa"/>
              <w:left w:w="45" w:type="dxa"/>
              <w:bottom w:w="30" w:type="dxa"/>
              <w:right w:w="45" w:type="dxa"/>
            </w:tcMar>
            <w:vAlign w:val="center"/>
            <w:hideMark/>
          </w:tcPr>
          <w:p w14:paraId="447EDC2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Active systems &amp; Active societies </w:t>
            </w:r>
          </w:p>
        </w:tc>
        <w:tc>
          <w:tcPr>
            <w:tcW w:w="518" w:type="pct"/>
            <w:shd w:val="clear" w:color="auto" w:fill="FFFFFF"/>
            <w:tcMar>
              <w:top w:w="30" w:type="dxa"/>
              <w:left w:w="45" w:type="dxa"/>
              <w:bottom w:w="30" w:type="dxa"/>
              <w:right w:w="45" w:type="dxa"/>
            </w:tcMar>
            <w:vAlign w:val="center"/>
            <w:hideMark/>
          </w:tcPr>
          <w:p w14:paraId="51D1838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71430D8B" w14:textId="5CB002CF" w:rsidR="006F6286"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Focus future policies on increasing leisure</w:t>
            </w:r>
            <w:r w:rsidRPr="001F49E7">
              <w:rPr>
                <w:rFonts w:eastAsia="Times New Roman" w:cstheme="minorHAnsi"/>
                <w:color w:val="000000" w:themeColor="text1"/>
                <w:kern w:val="0"/>
                <w:sz w:val="16"/>
                <w:szCs w:val="16"/>
                <w14:ligatures w14:val="none"/>
              </w:rPr>
              <w:noBreakHyphen/>
              <w:t>time facilities and opportunities for women</w:t>
            </w:r>
            <w:r w:rsidR="006F6286" w:rsidRPr="001F49E7">
              <w:rPr>
                <w:rFonts w:eastAsia="Times New Roman" w:cstheme="minorHAnsi"/>
                <w:color w:val="000000" w:themeColor="text1"/>
                <w:kern w:val="0"/>
                <w:sz w:val="16"/>
                <w:szCs w:val="16"/>
                <w14:ligatures w14:val="none"/>
              </w:rPr>
              <w:t xml:space="preserve"> (50% lower odds of PA participation than men)</w:t>
            </w:r>
            <w:r w:rsidRPr="001F49E7">
              <w:rPr>
                <w:rFonts w:eastAsia="Times New Roman" w:cstheme="minorHAnsi"/>
                <w:color w:val="000000" w:themeColor="text1"/>
                <w:kern w:val="0"/>
                <w:sz w:val="16"/>
                <w:szCs w:val="16"/>
                <w14:ligatures w14:val="none"/>
              </w:rPr>
              <w:t>, low</w:t>
            </w:r>
            <w:r w:rsidRPr="001F49E7">
              <w:rPr>
                <w:rFonts w:eastAsia="Times New Roman" w:cstheme="minorHAnsi"/>
                <w:color w:val="000000" w:themeColor="text1"/>
                <w:kern w:val="0"/>
                <w:sz w:val="16"/>
                <w:szCs w:val="16"/>
                <w14:ligatures w14:val="none"/>
              </w:rPr>
              <w:noBreakHyphen/>
              <w:t>SES</w:t>
            </w:r>
            <w:r w:rsidR="006F6286" w:rsidRPr="001F49E7">
              <w:rPr>
                <w:rFonts w:eastAsia="Times New Roman" w:cstheme="minorHAnsi"/>
                <w:color w:val="000000" w:themeColor="text1"/>
                <w:kern w:val="0"/>
                <w:sz w:val="16"/>
                <w:szCs w:val="16"/>
                <w14:ligatures w14:val="none"/>
              </w:rPr>
              <w:t xml:space="preserve"> (SES quartiles 3 or 4 increased the odds of achieving higher PA levels by nearly 100%)</w:t>
            </w:r>
            <w:r w:rsidRPr="001F49E7">
              <w:rPr>
                <w:rFonts w:eastAsia="Times New Roman" w:cstheme="minorHAnsi"/>
                <w:color w:val="000000" w:themeColor="text1"/>
                <w:kern w:val="0"/>
                <w:sz w:val="16"/>
                <w:szCs w:val="16"/>
                <w14:ligatures w14:val="none"/>
              </w:rPr>
              <w:t>, single individuals,</w:t>
            </w:r>
            <w:r w:rsidR="00991040"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illiterate groups</w:t>
            </w:r>
            <w:r w:rsidR="006F6286" w:rsidRPr="001F49E7">
              <w:rPr>
                <w:rFonts w:eastAsia="Times New Roman" w:cstheme="minorHAnsi"/>
                <w:color w:val="000000" w:themeColor="text1"/>
                <w:kern w:val="0"/>
                <w:sz w:val="16"/>
                <w:szCs w:val="16"/>
                <w14:ligatures w14:val="none"/>
              </w:rPr>
              <w:t xml:space="preserve"> (each additional year of education increased the odds of engaging in </w:t>
            </w:r>
            <w:r w:rsidR="006F6286" w:rsidRPr="001F49E7">
              <w:rPr>
                <w:rFonts w:eastAsia="Times New Roman" w:cstheme="minorHAnsi"/>
                <w:color w:val="000000" w:themeColor="text1"/>
                <w:kern w:val="0"/>
                <w:sz w:val="16"/>
                <w:szCs w:val="16"/>
                <w14:ligatures w14:val="none"/>
              </w:rPr>
              <w:lastRenderedPageBreak/>
              <w:t xml:space="preserve">PA by 52%), </w:t>
            </w:r>
            <w:r w:rsidR="00991040" w:rsidRPr="001F49E7">
              <w:rPr>
                <w:rFonts w:eastAsia="Times New Roman" w:cstheme="minorHAnsi"/>
                <w:color w:val="000000" w:themeColor="text1"/>
                <w:kern w:val="0"/>
                <w:sz w:val="16"/>
                <w:szCs w:val="16"/>
                <w14:ligatures w14:val="none"/>
              </w:rPr>
              <w:t>e</w:t>
            </w:r>
            <w:r w:rsidR="006F6286" w:rsidRPr="001F49E7">
              <w:rPr>
                <w:rFonts w:eastAsia="Times New Roman" w:cstheme="minorHAnsi"/>
                <w:color w:val="000000" w:themeColor="text1"/>
                <w:kern w:val="0"/>
                <w:sz w:val="16"/>
                <w:szCs w:val="16"/>
                <w14:ligatures w14:val="none"/>
              </w:rPr>
              <w:t>mployees (employed individuals had 46% lower odds of PA participation than unemployed people)</w:t>
            </w:r>
          </w:p>
        </w:tc>
      </w:tr>
      <w:tr w:rsidR="00F243D9" w:rsidRPr="001F49E7" w14:paraId="267F4FBA" w14:textId="77777777" w:rsidTr="007E49A6">
        <w:trPr>
          <w:trHeight w:val="315"/>
        </w:trPr>
        <w:tc>
          <w:tcPr>
            <w:tcW w:w="550" w:type="pct"/>
            <w:shd w:val="clear" w:color="auto" w:fill="FFFFFF"/>
            <w:tcMar>
              <w:top w:w="30" w:type="dxa"/>
              <w:left w:w="45" w:type="dxa"/>
              <w:bottom w:w="30" w:type="dxa"/>
              <w:right w:w="45" w:type="dxa"/>
            </w:tcMar>
            <w:vAlign w:val="center"/>
            <w:hideMark/>
          </w:tcPr>
          <w:p w14:paraId="76711B27" w14:textId="63C06DF8"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xml:space="preserve">E. Taherifard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{"citationID":"WPnENiSF","properties":{"formattedCitation":"(27)","plainCitation":"(27)","noteIndex":0},"citationItems":[{"id":"ulROLKvl/1TBQ7Xlo","uris":["http://zotero.org/users/16072611/items/BZMCCFAI"],"itemData":{"id":305,"type":"article-journal","abstract":"BACKGROUND AND AIMS: Obesity is considered a major growing threat to public health which could negatively affect the quality of life. The current cross-sectional study was conducted to investigate the population-based prevalence of metabolically healthy obesity (MHO) and healthy overweight (MHOW) and associated factors in southern Iran.\nMETHODS: Baseline data from the Pars Cohort Study was analyzed. Metabolically healthy participants were identified based on the definition of the American Heart Association for the metabolic syndrome. The prevalence of MHOW and MHO and their 95% confidence intervals were estimated. Poisson regression was applied for the calculation of prevalence ratios (PRs).\nRESULTS: Gender- and age-standardized prevalences of MHOW and MHO were 6.3% (6.0%-6.6%) and 2.3% (2.1%-2.5%), respectively. The following factors were associated with being MHOW compared with those with normal weight: Being younger, female gender (1.31, 1.20-1.43), higher socioeconomic status, being noncurrent cigarette smoker (1.27, 1.11-1.45), low level of physical activity (1.14, 1.03-1.25), having normal overweight during adolescence, and overweight (1.35, 1.24-1.48) or obesity (1.68, 1.53-1.86) during young adulthood. We also found strong associations between MHO and younger age groups, female gender (2.87, 2.40-3.42), being married (1.57, 1.08-2.27), Fars ethnicity (1.25, 1.10-1.43), higher socioeconomic status, ever use of tobacco (1.14, 1.00-1.30), never use of opium (1.85, 1.19-2.86), lower physical activity (1.45, 1.20-1.72), being normal weight in 15-year body pictogram and being overweight (1.87, 1.59-2.20) or obese (3.20, 2.74-3.72) in 30-year body pictogram when considering those with normal weight or MHO.\nCONCLUSION: Potentially modifiable factors including physical activity should be more emphasized. Furthermore, our study issued that it would be more reasonable that the prevention of unhealthy obesity be initiated before the development of MHO, where there are more protective factors and they could be more effective.","container-title":"Health Science Reports","DOI":"10.1002/hsr2.1909","ISSN":"2398-8835","issue":"2","journalAbbreviation":"Health Sci Rep","language":"eng","page":"e1909","PMID":"38361808","PMCID":"PMC10867705","source":"PubMed","title":"Prevalence of metabolically healthy obesity and healthy overweight and the associated factors in southern Iran: A population-based cross-sectional study","title-short":"Prevalence of metabolically healthy obesity and healthy overweight and the associated factors in southern Iran","volume":"7","author":[{"family":"Taherifard","given":"Erfan"},{"family":"Taherifard","given":"Ehsan"},{"family":"Jeddi","given":"Marjan"},{"family":"Ahmadkhani","given":"Alireza"},{"family":"Kelishadi","given":"Roya"},{"family":"Poustchi","given":"Hossein"},{"family":"Gandomkar","given":"Abdullah"},{"family":"Malekzadeh","given":"Fatemeh"},{"family":"Mohammadi","given":"Zahra"},{"family":"Molavi Vardanjani","given":"Hossein"}],"issued":{"date-parts":[["2024",2]]}}}],"schema":"https://github.com/citation-style-language/schema/raw/master/csl-citation.json"}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(27)</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6C2B996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MHO and MHOW</w:t>
            </w:r>
            <w:r w:rsidRPr="001F49E7">
              <w:rPr>
                <w:rFonts w:eastAsia="Times New Roman" w:cstheme="minorHAnsi"/>
                <w:color w:val="000000" w:themeColor="text1"/>
                <w:kern w:val="0"/>
                <w:sz w:val="16"/>
                <w:szCs w:val="16"/>
                <w14:ligatures w14:val="none"/>
              </w:rPr>
              <w:br/>
            </w:r>
            <w:r w:rsidRPr="001F49E7">
              <w:rPr>
                <w:rFonts w:ascii="Aptos" w:eastAsia="Times New Roman" w:hAnsi="Aptos" w:cs="Aptos"/>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as an associated factor</w:t>
            </w:r>
          </w:p>
        </w:tc>
        <w:tc>
          <w:tcPr>
            <w:tcW w:w="548" w:type="pct"/>
            <w:shd w:val="clear" w:color="auto" w:fill="FFFFFF"/>
            <w:tcMar>
              <w:top w:w="30" w:type="dxa"/>
              <w:left w:w="45" w:type="dxa"/>
              <w:bottom w:w="30" w:type="dxa"/>
              <w:right w:w="45" w:type="dxa"/>
            </w:tcMar>
            <w:vAlign w:val="center"/>
            <w:hideMark/>
          </w:tcPr>
          <w:p w14:paraId="5FAA115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1A6709C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Mild (less than 600 MET</w:t>
            </w:r>
            <w:r w:rsidRPr="001F49E7">
              <w:rPr>
                <w:rFonts w:ascii="Cambria Math" w:eastAsia="Times New Roman" w:hAnsi="Cambria Math" w:cs="Cambria Math"/>
                <w:color w:val="000000" w:themeColor="text1"/>
                <w:kern w:val="0"/>
                <w:sz w:val="16"/>
                <w:szCs w:val="16"/>
                <w14:ligatures w14:val="none"/>
              </w:rPr>
              <w:t>‐</w:t>
            </w:r>
            <w:r w:rsidRPr="001F49E7">
              <w:rPr>
                <w:rFonts w:eastAsia="Times New Roman" w:cstheme="minorHAnsi"/>
                <w:color w:val="000000" w:themeColor="text1"/>
                <w:kern w:val="0"/>
                <w:sz w:val="16"/>
                <w:szCs w:val="16"/>
                <w14:ligatures w14:val="none"/>
              </w:rPr>
              <w:t>minutes/</w:t>
            </w:r>
          </w:p>
          <w:p w14:paraId="7DEDBC8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week)/ Moderate (at least 600 MET</w:t>
            </w:r>
            <w:r w:rsidRPr="001F49E7">
              <w:rPr>
                <w:rFonts w:ascii="Cambria Math" w:eastAsia="Times New Roman" w:hAnsi="Cambria Math" w:cs="Cambria Math"/>
                <w:color w:val="000000" w:themeColor="text1"/>
                <w:kern w:val="0"/>
                <w:sz w:val="16"/>
                <w:szCs w:val="16"/>
                <w14:ligatures w14:val="none"/>
              </w:rPr>
              <w:t>‐</w:t>
            </w:r>
            <w:r w:rsidRPr="001F49E7">
              <w:rPr>
                <w:rFonts w:eastAsia="Times New Roman" w:cstheme="minorHAnsi"/>
                <w:color w:val="000000" w:themeColor="text1"/>
                <w:kern w:val="0"/>
                <w:sz w:val="16"/>
                <w:szCs w:val="16"/>
                <w14:ligatures w14:val="none"/>
              </w:rPr>
              <w:t>minutes/week)/ High PA (at least</w:t>
            </w:r>
          </w:p>
          <w:p w14:paraId="24656BB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3000 MET</w:t>
            </w:r>
            <w:r w:rsidRPr="001F49E7">
              <w:rPr>
                <w:rFonts w:ascii="Cambria Math" w:eastAsia="Times New Roman" w:hAnsi="Cambria Math" w:cs="Cambria Math"/>
                <w:color w:val="000000" w:themeColor="text1"/>
                <w:kern w:val="0"/>
                <w:sz w:val="16"/>
                <w:szCs w:val="16"/>
                <w14:ligatures w14:val="none"/>
              </w:rPr>
              <w:t>‐</w:t>
            </w:r>
            <w:r w:rsidRPr="001F49E7">
              <w:rPr>
                <w:rFonts w:eastAsia="Times New Roman" w:cstheme="minorHAnsi"/>
                <w:color w:val="000000" w:themeColor="text1"/>
                <w:kern w:val="0"/>
                <w:sz w:val="16"/>
                <w:szCs w:val="16"/>
                <w14:ligatures w14:val="none"/>
              </w:rPr>
              <w:t>minutes/week)</w:t>
            </w:r>
          </w:p>
        </w:tc>
        <w:tc>
          <w:tcPr>
            <w:tcW w:w="457" w:type="pct"/>
            <w:shd w:val="clear" w:color="auto" w:fill="FFFFFF"/>
            <w:tcMar>
              <w:top w:w="30" w:type="dxa"/>
              <w:left w:w="45" w:type="dxa"/>
              <w:bottom w:w="30" w:type="dxa"/>
              <w:right w:w="45" w:type="dxa"/>
            </w:tcMar>
            <w:vAlign w:val="center"/>
            <w:hideMark/>
          </w:tcPr>
          <w:p w14:paraId="61E2370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w:t>
            </w:r>
          </w:p>
        </w:tc>
        <w:tc>
          <w:tcPr>
            <w:tcW w:w="518" w:type="pct"/>
            <w:shd w:val="clear" w:color="auto" w:fill="FFFFFF"/>
            <w:tcMar>
              <w:top w:w="30" w:type="dxa"/>
              <w:left w:w="45" w:type="dxa"/>
              <w:bottom w:w="30" w:type="dxa"/>
              <w:right w:w="45" w:type="dxa"/>
            </w:tcMar>
            <w:vAlign w:val="center"/>
            <w:hideMark/>
          </w:tcPr>
          <w:p w14:paraId="3E64EDF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hideMark/>
          </w:tcPr>
          <w:p w14:paraId="11AFF60F" w14:textId="7839A6FF"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Physical activity as a part of any plan for weight loss and cardiometabolic disease prevention</w:t>
            </w:r>
          </w:p>
        </w:tc>
      </w:tr>
      <w:tr w:rsidR="00F243D9" w:rsidRPr="001F49E7" w14:paraId="503E8FDE" w14:textId="77777777" w:rsidTr="007E49A6">
        <w:trPr>
          <w:trHeight w:val="315"/>
        </w:trPr>
        <w:tc>
          <w:tcPr>
            <w:tcW w:w="550" w:type="pct"/>
            <w:shd w:val="clear" w:color="auto" w:fill="FFFFFF"/>
            <w:tcMar>
              <w:top w:w="30" w:type="dxa"/>
              <w:left w:w="45" w:type="dxa"/>
              <w:bottom w:w="30" w:type="dxa"/>
              <w:right w:w="45" w:type="dxa"/>
            </w:tcMar>
            <w:vAlign w:val="center"/>
            <w:hideMark/>
          </w:tcPr>
          <w:p w14:paraId="2BF671B5" w14:textId="3FD648DF"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M. Sarebanhassanabadi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{"citationID":"9sSYCN59","properties":{"formattedCitation":"(28)","plainCitation":"(28)","noteIndex":0},"citationItems":[{"id":"ulROLKvl/aYaf5Wbw","uris":["http://zotero.org/users/16072611/items/TE6FCGHB"],"itemData":{"id":315,"type":"article-journal","abstract":"BACKGROUND: There is a substantial disparity in coronary artery disease (CAD) burden between Iran and other nations that place a strong emphasis on the assessment of CAD risk factors and individuals' awareness and ability to control them.\nMETHODS: Two thousand participants of a community-based Iranian population aged 20-74 years were investigated with a mean follow-up of 9.9 years (range: 7.6 to 12.2). An analysis of Cox regression was conducted to determine the association between CAD development and classic risk factors such as age, sex, smoking, physical activity, education, obesity, dyslipidemia, hypertension, and diabetes mellitus. Furthermore, we computed the population attributable fraction for these risk factors.\nRESULTS: After a follow-up period of nearly 10 years, 225 CAD events were reported, constituting 14.5% of the overall incidence. Nighty three percent of participants had more than one risk factor. Age was the most predictive risk factor, with a hazard ratio (HR) and confidence interval (CI) of 5.56 (3.87-7.97,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in men older than 45 and females older than 55 compared to lower ages. In comparison to females, males had an HR of 1.45 (CI: 1.11-1.90, p value</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0.006) for developing CAD. Nearly 80% of the patients had dyslipidemia, with a hazard ratio of 2.19 (CI: 1.40-3.44,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0.01). Among the participants, 28.9% had hypertension, and 52% had prehypertension, which had HRs of 4.1 (2.4-7.2,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and 2.4 (1.4-4.2,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0.001), respectively. Diabetes, with a prevalence of 17%, had an HR of 2.63 (CI: 2 -3.47, p</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&lt;</w:instrText>
            </w:r>
            <w:r w:rsidR="00207711" w:rsidRPr="001F49E7">
              <w:rPr>
                <w:rFonts w:ascii="Arial" w:eastAsia="Times New Roman" w:hAnsi="Arial" w:cs="Arial"/>
                <w:color w:val="000000" w:themeColor="text1"/>
                <w:kern w:val="0"/>
                <w:sz w:val="16"/>
                <w:szCs w:val="16"/>
                <w14:ligatures w14:val="none"/>
              </w:rPr>
              <w:instrText> </w:instrText>
            </w:r>
            <w:r w:rsidR="00207711" w:rsidRPr="001F49E7">
              <w:rPr>
                <w:rFonts w:eastAsia="Times New Roman" w:cstheme="minorHAnsi"/>
                <w:color w:val="000000" w:themeColor="text1"/>
                <w:kern w:val="0"/>
                <w:sz w:val="16"/>
                <w:szCs w:val="16"/>
                <w14:ligatures w14:val="none"/>
              </w:rPr>
              <w:instrText xml:space="preserve">0.001), but prediabetes was not significantly associated with CAD. Awareness of diabetes, dyslipidemia, and hypertension was 81%, 27.9%, and 48.1%, respectively. Regarding medication usage, the corresponding percentages were 51% for diabetes, 13.2% for dyslipidemia, and 41% for hypertension.\nCONCLUSIONS: Compared to previous studies in Iran and neighboring countries, the current study found a higher incidence of CAD, more prevalent risk factors, and a lower awareness and ability to control these risk factors. Thus, an effective preventive strategy is needed to reduce the CAD burden in Iran.","container-title":"BMC cardiovascular disorders","DOI":"10.1186/s12872-024-03769-3","ISSN":"1471-2261","issue":"1","journalAbbreviation":"BMC Cardiovasc Disord","language":"eng","page":"101","PMID":"38347457","PMCID":"PMC10863377","source":"PubMed","title":"Coronary artery disease incidence, risk factors, awareness, and medication utilization in a 10-year cohort study","volume":"24","author":[{"family":"Sarebanhassanabadi","given":"Mohammadtaghi"},{"family":"Mirjalili","given":"Seyed Reza"},{"family":"Marques-Vidal","given":"Pedro"},{"family":"Kraemer","given":"Alexander"},{"family":"Namayandeh","given":"Seyedeh Mahdieh"}],"issued":{"date-parts":[["2024",2,12]]}}}],"schema":"https://github.com/citation-style-language/schema/raw/master/csl-citation.json"}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(28)</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hideMark/>
          </w:tcPr>
          <w:p w14:paraId="2874F51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CAD and its RFs</w:t>
            </w:r>
            <w:r w:rsidRPr="001F49E7">
              <w:rPr>
                <w:rFonts w:eastAsia="Times New Roman" w:cstheme="minorHAnsi"/>
                <w:color w:val="000000" w:themeColor="text1"/>
                <w:kern w:val="0"/>
                <w:sz w:val="16"/>
                <w:szCs w:val="16"/>
                <w14:ligatures w14:val="none"/>
              </w:rPr>
              <w:br/>
              <w:t>• Secondary</w:t>
            </w:r>
            <w:r w:rsidRPr="001F49E7">
              <w:rPr>
                <w:rFonts w:ascii="Arial" w:eastAsia="Times New Roman" w:hAnsi="Arial" w:cs="Arial"/>
                <w:color w:val="000000" w:themeColor="text1"/>
                <w:kern w:val="0"/>
                <w:sz w:val="16"/>
                <w:szCs w:val="16"/>
                <w14:ligatures w14:val="none"/>
              </w:rPr>
              <w:t> </w:t>
            </w:r>
            <w:r w:rsidRPr="001F49E7">
              <w:rPr>
                <w:rFonts w:eastAsia="Times New Roman" w:cstheme="minorHAnsi"/>
                <w:color w:val="000000" w:themeColor="text1"/>
                <w:kern w:val="0"/>
                <w:sz w:val="16"/>
                <w:szCs w:val="16"/>
                <w14:ligatures w14:val="none"/>
              </w:rPr>
              <w:t>= Prevalence of PA and Sex-specific PA; HR, PAF of CAD (as an associated factor)</w:t>
            </w:r>
          </w:p>
        </w:tc>
        <w:tc>
          <w:tcPr>
            <w:tcW w:w="548" w:type="pct"/>
            <w:shd w:val="clear" w:color="auto" w:fill="FFFFFF"/>
            <w:tcMar>
              <w:top w:w="30" w:type="dxa"/>
              <w:left w:w="45" w:type="dxa"/>
              <w:bottom w:w="30" w:type="dxa"/>
              <w:right w:w="45" w:type="dxa"/>
            </w:tcMar>
            <w:vAlign w:val="center"/>
            <w:hideMark/>
          </w:tcPr>
          <w:p w14:paraId="29EA2528"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hideMark/>
          </w:tcPr>
          <w:p w14:paraId="16A027C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Low/Moderate/High PA</w:t>
            </w:r>
          </w:p>
        </w:tc>
        <w:tc>
          <w:tcPr>
            <w:tcW w:w="457" w:type="pct"/>
            <w:shd w:val="clear" w:color="auto" w:fill="FFFFFF"/>
            <w:tcMar>
              <w:top w:w="30" w:type="dxa"/>
              <w:left w:w="45" w:type="dxa"/>
              <w:bottom w:w="30" w:type="dxa"/>
              <w:right w:w="45" w:type="dxa"/>
            </w:tcMar>
            <w:vAlign w:val="center"/>
            <w:hideMark/>
          </w:tcPr>
          <w:p w14:paraId="1923CD2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Active people &amp; Active systems</w:t>
            </w:r>
          </w:p>
        </w:tc>
        <w:tc>
          <w:tcPr>
            <w:tcW w:w="518" w:type="pct"/>
            <w:shd w:val="clear" w:color="auto" w:fill="FFFFFF"/>
            <w:tcMar>
              <w:top w:w="30" w:type="dxa"/>
              <w:left w:w="45" w:type="dxa"/>
              <w:bottom w:w="30" w:type="dxa"/>
              <w:right w:w="45" w:type="dxa"/>
            </w:tcMar>
            <w:vAlign w:val="center"/>
            <w:hideMark/>
          </w:tcPr>
          <w:p w14:paraId="0D80FC7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The potential gap in translating education into practical health benefits</w:t>
            </w:r>
          </w:p>
        </w:tc>
        <w:tc>
          <w:tcPr>
            <w:tcW w:w="1067" w:type="pct"/>
            <w:shd w:val="clear" w:color="auto" w:fill="FFFFFF"/>
            <w:tcMar>
              <w:top w:w="30" w:type="dxa"/>
              <w:left w:w="45" w:type="dxa"/>
              <w:bottom w:w="30" w:type="dxa"/>
              <w:right w:w="45" w:type="dxa"/>
            </w:tcMar>
            <w:vAlign w:val="center"/>
          </w:tcPr>
          <w:p w14:paraId="409C88F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7B85500E" w14:textId="77777777" w:rsidTr="007E49A6">
        <w:trPr>
          <w:trHeight w:val="315"/>
        </w:trPr>
        <w:tc>
          <w:tcPr>
            <w:tcW w:w="550" w:type="pct"/>
            <w:shd w:val="clear" w:color="auto" w:fill="FFFFFF"/>
            <w:tcMar>
              <w:top w:w="30" w:type="dxa"/>
              <w:left w:w="45" w:type="dxa"/>
              <w:bottom w:w="30" w:type="dxa"/>
              <w:right w:w="45" w:type="dxa"/>
            </w:tcMar>
            <w:vAlign w:val="center"/>
          </w:tcPr>
          <w:p w14:paraId="36CBE5A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kern w:val="0"/>
                <w:sz w:val="16"/>
                <w:szCs w:val="16"/>
                <w14:ligatures w14:val="none"/>
              </w:rPr>
              <w:t xml:space="preserve">M. Ranjbar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JhCAblFi","properties":{"unsorted":false,"formattedCitation":"(29)","plainCitation":"(29)","noteIndex":0},"citationItems":[{"id":237,"uris":["http://zotero.org/users/local/SBvLfXY8/items/GPPH7NUA"],"itemData":{"id":237,"type":"article-journal","abstract":"BACKGROUND: Ultra-process foods (UPF) were suspected to induce many diseases and threaten consumers' health. The aim of this study was to examine the association  between the consumption of highly processed foods and adiposity indexes in  Tehranian adults. METHOD: In a cross-sectional design, 850 Tehranian adults were  included. NOVA classification was used to assess the intake of UPF in  participants. The amount of calorie intake through processed foods was assessed.  Adiposity indexes outcomes include body mass index (BMI), waist circumference  (WC), waist-to-hip ratio (WHR), waist-to-height ratio (WHtR), visceral adiposity  index (VAI), body roundness index (BRI), and body adiposity index (BAI). Lipid  accumulation product (LAP) and triglyceride-glucose index (TyG) were also  assessed. Binary logistic regression was used to evaluate the association between  the intake of UPF and adiposity indexes measurements. RESULT: there was a higher  intake of UPF in men than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The results of logistic regression  revealed that there is a significant association between intake of UPF with WHR  (odds ratio (OR): 1.09, 95% confidence interval (CI): 0.73-1.61) and BRI (OR:  2.10, 95% CI: 1.38-3.19) in the crude model. Nevertheless, after adjusting for  confounders, the results were insignificant (WHR: OR, 0.77, 95% CI, 0.46-1.27,  and BRI: OR, 1.70, 95% CI, 1.05-2.73). No significant association was seen for  other outcomes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0.001 for all). The results of dose-response analyses  revealed a substantial association between UPF intake and BMI, WHrT, WC, VAI,  BRI, BAI, LAP, and TyG. CONCLUSION: UPF consumption was significantly related to  increased risk of high-risk adiposity indexes in the dose-response analysis. More  studies are needed to strengthen the results of this study.","container-title":"BMC public health","DOI":"10.1186/s12889-025-22812-2","ISSN":"1471-2458","issue":"1","journalAbbreviation":"BMC Public Health","language":"eng","license":"© 2025. The Author(s).","page":"1548","PMID":"40281568","PMCID":"PMC12023585","publisher-place":"England","title":"The association between ultra-processed food consumption and adiposity indexes in adults living in Tehran: a dose-response analysis within a cross-sectional study.","volume":"25","author":[{"family":"Ranjbar","given":"Mahsa"},{"family":"Avini","given":"Neda Asgari"},{"family":"Shab-Bidar","given":"Sakineh"}],"issued":{"date-parts":[["2025",4,25]]}}}],"schema":"https://github.com/citation-style-language/schema/raw/master/csl-citation.json"}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(29)</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4735EBB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 Primary: Association between adiposity indices and processed food intake </w:t>
            </w:r>
          </w:p>
          <w:p w14:paraId="7AA1BB1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•Secondary: PA prevalence as a covariate factor</w:t>
            </w:r>
          </w:p>
        </w:tc>
        <w:tc>
          <w:tcPr>
            <w:tcW w:w="548" w:type="pct"/>
            <w:shd w:val="clear" w:color="auto" w:fill="FFFFFF"/>
            <w:tcMar>
              <w:top w:w="30" w:type="dxa"/>
              <w:left w:w="45" w:type="dxa"/>
              <w:bottom w:w="30" w:type="dxa"/>
              <w:right w:w="45" w:type="dxa"/>
            </w:tcMar>
            <w:vAlign w:val="center"/>
          </w:tcPr>
          <w:p w14:paraId="2992CD0D"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w:t>
            </w:r>
          </w:p>
        </w:tc>
        <w:tc>
          <w:tcPr>
            <w:tcW w:w="1097" w:type="pct"/>
            <w:shd w:val="clear" w:color="auto" w:fill="FFFFFF"/>
            <w:tcMar>
              <w:top w:w="30" w:type="dxa"/>
              <w:left w:w="45" w:type="dxa"/>
              <w:bottom w:w="30" w:type="dxa"/>
              <w:right w:w="45" w:type="dxa"/>
            </w:tcMar>
            <w:vAlign w:val="center"/>
          </w:tcPr>
          <w:p w14:paraId="7FD13D04"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high (&gt; 3000 MET-minutes/week), moderate (600–3000 MET-minutes/week), and low (&lt; 600 MET-minutes/week).</w:t>
            </w:r>
          </w:p>
        </w:tc>
        <w:tc>
          <w:tcPr>
            <w:tcW w:w="457" w:type="pct"/>
            <w:shd w:val="clear" w:color="auto" w:fill="FFFFFF"/>
            <w:tcMar>
              <w:top w:w="30" w:type="dxa"/>
              <w:left w:w="45" w:type="dxa"/>
              <w:bottom w:w="30" w:type="dxa"/>
              <w:right w:w="45" w:type="dxa"/>
            </w:tcMar>
            <w:vAlign w:val="center"/>
          </w:tcPr>
          <w:p w14:paraId="191EC5B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w:t>
            </w:r>
          </w:p>
        </w:tc>
        <w:tc>
          <w:tcPr>
            <w:tcW w:w="518" w:type="pct"/>
            <w:shd w:val="clear" w:color="auto" w:fill="FFFFFF"/>
            <w:tcMar>
              <w:top w:w="30" w:type="dxa"/>
              <w:left w:w="45" w:type="dxa"/>
              <w:bottom w:w="30" w:type="dxa"/>
              <w:right w:w="45" w:type="dxa"/>
            </w:tcMar>
            <w:vAlign w:val="center"/>
          </w:tcPr>
          <w:p w14:paraId="4C94536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338B213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5C7F5F3E" w14:textId="77777777" w:rsidTr="007E49A6">
        <w:trPr>
          <w:trHeight w:val="315"/>
        </w:trPr>
        <w:tc>
          <w:tcPr>
            <w:tcW w:w="550" w:type="pct"/>
            <w:shd w:val="clear" w:color="auto" w:fill="FFFFFF"/>
            <w:tcMar>
              <w:top w:w="30" w:type="dxa"/>
              <w:left w:w="45" w:type="dxa"/>
              <w:bottom w:w="30" w:type="dxa"/>
              <w:right w:w="45" w:type="dxa"/>
            </w:tcMar>
            <w:vAlign w:val="center"/>
          </w:tcPr>
          <w:p w14:paraId="43DDBAE0"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A. Lesani 2025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l2VFaCJ7","properties":{"unsorted":false,"formattedCitation":"(30)","plainCitation":"(30)","noteIndex":0},"citationItems":[{"id":236,"uris":["http://zotero.org/users/local/SBvLfXY8/items/P7HF2TI5"],"itemData":{"id":236,"type":"article-journal","abstract":"Chrono-nutrition is an emerging field that examines how the frequency and timing of meals impact health. Previous research shows inconsistency in the relationship  between chrono-nutritional components and cardiometabolic health. We investigated  cross-sectional associations between these components and cardiometabolic health  in 825 Iranian adults aged 20-59 years. Dietary data, including the number of  eating occasions, meal timing and meal irregularity of energy intake, were  collected using three 24-h dietary recalls. Anthropometric measurements, blood  pressure and laboratory tests (fasting plasma glucose, lipid profile, insulin,  uric acid and C-reactive protein) were conducted. Insulin resistance and  sensitivity (homeostatic model assessment for insulin resistance, homeostatic  model assessment for insulin sensitivity), the TAG-glucose, the lipid  accommodation product and BMI were calculated. The demographic and  morning-evening questionnaire was completed. General linear regression was used  to assess associations between chrono-nutritional components and outcomes.  Interactions with age and BMI were examined in all associations. Chrono-nutrition  components were not significantly related to cardiometabolic risk factors in the  total population. However, a lower number of eating occasions was associated with  an increased LDL-cholesterol:HDL-cholesterol ratio (β (95 % CI): 0·26 (0·06,  0·48)) among overweight and obese participants. Additionally, less irregularity  in breakfast energy intake was associated with a lower total  cholesterol:HDL-cholesterol ratio (-0·37 (-0·95, -0·18)) and a lower  LDL-cholesterol:HDL-cholesterol ratio (-0·32 (-0·79, -0·13)) among participants  with a normal BMI (all P&lt; 0·05). The study concluded that more frequent meals and  regular energy intake might enhance cardiometabolic health cross-sectionally,  highlighting the need for prospective studies to further investigate these  associations and the mediating role of BMI.","container-title":"The British journal of nutrition","DOI":"10.1017/S0007114524002745","ISSN":"1475-2662 0007-1145","issue":"1","journalAbbreviation":"Br J Nutr","language":"eng","license":"© The Author(s), 2024. Published by Cambridge University Press on behalf of The Nutrition Society","page":"94-106","PMID":"39562331","publisher-place":"England","title":"Association of chrono-nutrition components with cardiometabolic health in a sample of Iranian adults: a cross-sectional study.","volume":"133","author":[{"family":"Lesani","given":"Azadeh"},{"family":"Zeraattalab-Motlagh","given":"Sheida"},{"family":"Djafarian","given":"Kurosh"},{"family":"Majdi","given":"Maryam"},{"family":"Akbarzade","given":"Zahra"},{"family":"Shab-Bidar","given":"Sakineh"}],"issued":{"date-parts":[["2025",1,14]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(30)</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2C56FF3D" w14:textId="1FB66C46"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r w:rsidR="003C2F3B"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Primary: association between chrono-nutrition components with cardiometabolic risk factors</w:t>
            </w:r>
          </w:p>
          <w:p w14:paraId="208A952A" w14:textId="372D0FBB"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r w:rsidR="00A72E95" w:rsidRPr="001F49E7">
              <w:rPr>
                <w:rFonts w:eastAsia="Times New Roman" w:cstheme="minorHAnsi"/>
                <w:color w:val="000000" w:themeColor="text1"/>
                <w:kern w:val="0"/>
                <w:sz w:val="16"/>
                <w:szCs w:val="16"/>
                <w14:ligatures w14:val="none"/>
              </w:rPr>
              <w:t xml:space="preserve"> </w:t>
            </w:r>
            <w:r w:rsidRPr="001F49E7">
              <w:rPr>
                <w:rFonts w:eastAsia="Times New Roman" w:cstheme="minorHAnsi"/>
                <w:color w:val="000000" w:themeColor="text1"/>
                <w:kern w:val="0"/>
                <w:sz w:val="16"/>
                <w:szCs w:val="16"/>
                <w14:ligatures w14:val="none"/>
              </w:rPr>
              <w:t>Secondary: PA prevalence as a confounding factor</w:t>
            </w:r>
          </w:p>
        </w:tc>
        <w:tc>
          <w:tcPr>
            <w:tcW w:w="548" w:type="pct"/>
            <w:shd w:val="clear" w:color="auto" w:fill="FFFFFF"/>
            <w:tcMar>
              <w:top w:w="30" w:type="dxa"/>
              <w:left w:w="45" w:type="dxa"/>
              <w:bottom w:w="30" w:type="dxa"/>
              <w:right w:w="45" w:type="dxa"/>
            </w:tcMar>
            <w:vAlign w:val="center"/>
          </w:tcPr>
          <w:p w14:paraId="7F89231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tcPr>
          <w:p w14:paraId="4B149B2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(&lt; 600 MET-min/week), moderate (600–3000 MET-min/week), and high (&gt; 3000 MET-min/week)</w:t>
            </w:r>
          </w:p>
        </w:tc>
        <w:tc>
          <w:tcPr>
            <w:tcW w:w="457" w:type="pct"/>
            <w:shd w:val="clear" w:color="auto" w:fill="FFFFFF"/>
            <w:tcMar>
              <w:top w:w="30" w:type="dxa"/>
              <w:left w:w="45" w:type="dxa"/>
              <w:bottom w:w="30" w:type="dxa"/>
              <w:right w:w="45" w:type="dxa"/>
            </w:tcMar>
            <w:vAlign w:val="center"/>
          </w:tcPr>
          <w:p w14:paraId="7090E0A3"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w:t>
            </w:r>
          </w:p>
        </w:tc>
        <w:tc>
          <w:tcPr>
            <w:tcW w:w="518" w:type="pct"/>
            <w:shd w:val="clear" w:color="auto" w:fill="FFFFFF"/>
            <w:tcMar>
              <w:top w:w="30" w:type="dxa"/>
              <w:left w:w="45" w:type="dxa"/>
              <w:bottom w:w="30" w:type="dxa"/>
              <w:right w:w="45" w:type="dxa"/>
            </w:tcMar>
            <w:vAlign w:val="center"/>
          </w:tcPr>
          <w:p w14:paraId="0106B34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2DB038C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6100B8FD" w14:textId="77777777" w:rsidTr="007E49A6">
        <w:trPr>
          <w:trHeight w:val="315"/>
        </w:trPr>
        <w:tc>
          <w:tcPr>
            <w:tcW w:w="550" w:type="pct"/>
            <w:shd w:val="clear" w:color="auto" w:fill="FFFFFF"/>
            <w:tcMar>
              <w:top w:w="30" w:type="dxa"/>
              <w:left w:w="45" w:type="dxa"/>
              <w:bottom w:w="30" w:type="dxa"/>
              <w:right w:w="45" w:type="dxa"/>
            </w:tcMar>
            <w:vAlign w:val="center"/>
          </w:tcPr>
          <w:p w14:paraId="4970E09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T. Kazemi 2026 </w:t>
            </w:r>
            <w:r w:rsidRPr="001F49E7">
              <w:rPr>
                <w:rFonts w:eastAsia="Times New Roman" w:cstheme="minorHAnsi"/>
                <w:color w:val="000000" w:themeColor="text1"/>
                <w:kern w:val="0"/>
                <w:sz w:val="16"/>
                <w:szCs w:val="16"/>
                <w14:ligatures w14:val="none"/>
              </w:rPr>
              <w:fldChar w:fldCharType="begin"/>
            </w:r>
            <w:r w:rsidRPr="001F49E7">
              <w:rPr>
                <w:rFonts w:eastAsia="Times New Roman" w:cstheme="minorHAnsi"/>
                <w:color w:val="000000" w:themeColor="text1"/>
                <w:kern w:val="0"/>
                <w:sz w:val="16"/>
                <w:szCs w:val="16"/>
                <w14:ligatures w14:val="none"/>
              </w:rPr>
              <w:instrText xml:space="preserve"> ADDIN ZOTERO_ITEM CSL_CITATION {"citationID":"9FDMsinf","properties":{"unsorted":false,"formattedCitation":"(31)","plainCitation":"(31)","noteIndex":0},"citationItems":[{"id":231,"uris":["http://zotero.org/users/local/SBvLfXY8/items/HVNEBG9H"],"itemData":{"id":231,"type":"article-journal","abstract":"BACKGROUND: Cardiovascular health (CVH) is a critical public health concern, with notable biological sex disparities impacting health outcomes. This study  evaluates CVH status using the Life’s Essential 8 (LE8) metric among an employee  of a government office of men and women in Birjand, Iran. METHODS: A  cross-sectional study design was employed to assess CVH among employee of a  government office in Birjand, Iran, from July 23 to September 27, 2023.  Demographic information and the eight health factors were collected using  standardized methods. The LE8 metric encompasses four health behaviors (smoking  status, physical activity, diet, and sleep) and four health factors (body mass  index, blood glucose levels, blood lipid levels, and blood pressure). Data were  entered into SPSS, and analyses were conducted at a significance level of  P</w:instrText>
            </w:r>
            <w:r w:rsidRPr="001F49E7">
              <w:rPr>
                <w:rFonts w:ascii="Arial" w:eastAsia="Times New Roman" w:hAnsi="Arial" w:cs="Arial"/>
                <w:color w:val="000000" w:themeColor="text1"/>
                <w:kern w:val="0"/>
                <w:sz w:val="16"/>
                <w:szCs w:val="16"/>
                <w14:ligatures w14:val="none"/>
              </w:rPr>
              <w:instrText> </w:instrText>
            </w:r>
            <w:r w:rsidRPr="001F49E7">
              <w:rPr>
                <w:rFonts w:ascii="Aptos" w:eastAsia="Times New Roman" w:hAnsi="Aptos" w:cs="Aptos"/>
                <w:color w:val="000000" w:themeColor="text1"/>
                <w:kern w:val="0"/>
                <w:sz w:val="16"/>
                <w:szCs w:val="16"/>
                <w14:ligatures w14:val="none"/>
              </w:rPr>
              <w:instrText>≤</w:instrText>
            </w:r>
            <w:r w:rsidRPr="001F49E7">
              <w:rPr>
                <w:rFonts w:ascii="Arial" w:eastAsia="Times New Roman" w:hAnsi="Arial" w:cs="Arial"/>
                <w:color w:val="000000" w:themeColor="text1"/>
                <w:kern w:val="0"/>
                <w:sz w:val="16"/>
                <w:szCs w:val="16"/>
                <w14:ligatures w14:val="none"/>
              </w:rPr>
              <w:instrText> </w:instrText>
            </w:r>
            <w:r w:rsidRPr="001F49E7">
              <w:rPr>
                <w:rFonts w:eastAsia="Times New Roman" w:cstheme="minorHAnsi"/>
                <w:color w:val="000000" w:themeColor="text1"/>
                <w:kern w:val="0"/>
                <w:sz w:val="16"/>
                <w:szCs w:val="16"/>
                <w14:ligatures w14:val="none"/>
              </w:rPr>
              <w:instrText xml:space="preserve">0.05 to compare LE8 scores and associated cardiovascular risk factors between  biological sex. Data analysis was conducted using SPSS version 20. RESULTS: Of  the total 319 individuals enrolled in the study, 251 (78.7%) were male and 68  (21.3%) were female. About 98.1% of the participants scored below the ideal CVH  status, with significant biological sex differences observed. Women exhibited  higher mean scores than men across most components of LE8, except for body mass  index and physical activity. Women had more favorable levels of non-HDL  cholesterol, blood pressure, blood glucose, and smoking prevalence, resulting in  mean LE8 scores of 64.27 for women and 59 for men. CONCLUSION: The study’s  results indicated that less than 2% of the participants had an ideal  cardiovascular health status. Most components of the 8 CVH factors were found to  be in worse condition in men than in women. These findings highlight the critical  necessity for focused, gender-sensitive interventions and strategic health  planning aimed at enhancing cardiovascular health among both Iranian women and  men. Therefore, further research in larger, more diverse populations is essential  to address this pressing issue effectively. SUPPLEMENTARY INFORMATION: The online  version contains supplementary material available at 10.1186/s12872-025-05201-w.","container-title":"BMC cardiovascular disorders","DOI":"10.1186/s12872-025-05201-w","ISSN":"1471-2261","issue":"1","journalAbbreviation":"BMC Cardiovasc Disord","language":"eng","page":"170","PMID":"41593512","PMCID":"PMC12918101","publisher-place":"England","title":"Cardiovascular health metrics among an Iranian population: insights from life's essential 8.","volume":"26","author":[{"family":"Kazemi","given":"Toba"},{"family":"Jafarizadeh","given":"Razie"},{"family":"Bizhaem","given":"Saeede Khosravi"},{"family":"Bijari","given":"Bita"},{"family":"Karbasi","given":"Samira"}],"issued":{"date-parts":[["2026",1,27]]}}}],"schema":"https://github.com/citation-style-language/schema/raw/master/csl-citation.json"}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Pr="001F49E7">
              <w:rPr>
                <w:rFonts w:ascii="Aptos" w:hAnsi="Aptos"/>
                <w:sz w:val="16"/>
              </w:rPr>
              <w:t>(31)</w:t>
            </w:r>
            <w:r w:rsidRPr="001F49E7">
              <w:rPr>
                <w:rFonts w:eastAsia="Times New Roman" w:cstheme="minorHAnsi"/>
                <w:color w:val="000000" w:themeColor="text1"/>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0A65D6D5"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 = Contributing parameters in Life's essential 8 including Total PA prevalence</w:t>
            </w:r>
          </w:p>
        </w:tc>
        <w:tc>
          <w:tcPr>
            <w:tcW w:w="548" w:type="pct"/>
            <w:shd w:val="clear" w:color="auto" w:fill="FFFFFF"/>
            <w:tcMar>
              <w:top w:w="30" w:type="dxa"/>
              <w:left w:w="45" w:type="dxa"/>
              <w:bottom w:w="30" w:type="dxa"/>
              <w:right w:w="45" w:type="dxa"/>
            </w:tcMar>
            <w:vAlign w:val="center"/>
          </w:tcPr>
          <w:p w14:paraId="7FEF5D2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tcPr>
          <w:p w14:paraId="1CD58EB7"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Low/Moderate/High PA</w:t>
            </w:r>
          </w:p>
        </w:tc>
        <w:tc>
          <w:tcPr>
            <w:tcW w:w="457" w:type="pct"/>
            <w:shd w:val="clear" w:color="auto" w:fill="FFFFFF"/>
            <w:tcMar>
              <w:top w:w="30" w:type="dxa"/>
              <w:left w:w="45" w:type="dxa"/>
              <w:bottom w:w="30" w:type="dxa"/>
              <w:right w:w="45" w:type="dxa"/>
            </w:tcMar>
            <w:vAlign w:val="center"/>
          </w:tcPr>
          <w:p w14:paraId="47D0CB8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&amp; Active systems </w:t>
            </w:r>
          </w:p>
        </w:tc>
        <w:tc>
          <w:tcPr>
            <w:tcW w:w="518" w:type="pct"/>
            <w:shd w:val="clear" w:color="auto" w:fill="FFFFFF"/>
            <w:tcMar>
              <w:top w:w="30" w:type="dxa"/>
              <w:left w:w="45" w:type="dxa"/>
              <w:bottom w:w="30" w:type="dxa"/>
              <w:right w:w="45" w:type="dxa"/>
            </w:tcMar>
            <w:vAlign w:val="center"/>
          </w:tcPr>
          <w:p w14:paraId="301D246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76316BC7" w14:textId="21E7E9C0"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Designing preventive educational programs, implementing workplace changes that contribute to employee health</w:t>
            </w:r>
          </w:p>
        </w:tc>
      </w:tr>
      <w:tr w:rsidR="00F243D9" w:rsidRPr="001F49E7" w14:paraId="096B3DBD" w14:textId="77777777" w:rsidTr="007E49A6">
        <w:trPr>
          <w:trHeight w:val="315"/>
        </w:trPr>
        <w:tc>
          <w:tcPr>
            <w:tcW w:w="550" w:type="pct"/>
            <w:shd w:val="clear" w:color="auto" w:fill="FFFFFF"/>
            <w:tcMar>
              <w:top w:w="30" w:type="dxa"/>
              <w:left w:w="45" w:type="dxa"/>
              <w:bottom w:w="30" w:type="dxa"/>
              <w:right w:w="45" w:type="dxa"/>
            </w:tcMar>
            <w:vAlign w:val="center"/>
          </w:tcPr>
          <w:p w14:paraId="7EAFE986"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 Jabbari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{"citationID":"KVikIqrW","properties":{"unsorted":false,"formattedCitation":"(32)","plainCitation":"(32)","noteIndex":0},"citationItems":[{"id":240,"uris":["http://zotero.org/users/local/SBvLfXY8/items/5JT32MG3"],"itemData":{"id":240,"type":"article-journal","abstract":"Optimal sleep, as a vital part of life, has significant impacts on various aspects of social health. Dietary intake, particularly through its influence on oxidative stress and inflammation, is a crucial modifiable factor for sleep health. Given the high prevalence of sleep disorders in the Iranian population, we investigated the association of the intake of legumes and nuts with their sleep quality and quantity and inflammation and oxidative stress levels. Our cross-sectional study comprised 535 participants (46% female, aged 20–65 years), selected via a multistage cluster random sampling approach. Their dietary intake was evaluated using a validated food frequency questionnaire. Sleep metrics were assessed through the Pittsburgh Sleep Quality Index. Fasting blood samples were gathered to assess the levels of oxidative stress and inflammation biomarkers. Our analyses revealed significant negative relations between the consumption of legumes and nuts and the odds of short sleep (fully adjusted OR = 0.56, 95% CI: 0.33–0.94) and poor sleep quality (fully adjusted OR = 0.51, 95% CI: 0.31–0.85); these associations were in a dose–response manner and more pronounced in females. Moreover, a U-shaped association was observed between glutathione peroxidase levels and the odds of poor sleep quality. These findings highlighted the significant association of enhancing the consumption of legumes and nuts with sleep quality and quantity improvement among Iranian adults.","container-title":"Food Funct.","DOI":"10.1039/D5FO04053A","issue":"4","page":"2081-2093","publisher":"The Royal Society of Chemistry","title":"Legumes and nuts intake in relation to sleep duration and quality, oxidative stress and inflammation in Iranian adults","volume":"17","author":[{"family":"Jabbari","given":"Maedeh"},{"family":"Poursalehi","given":"Donya"},{"family":"Moradmand","given":"Zahra"},{"family":"Rashki","given":"Alireza"},{"family":"Shahdadian","given":"Farnaz"},{"family":"Rouhani","given":"Parisa"},{"family":"Saneei","given":"Parvane"}],"issued":{"date-parts":[["2026"]]}}}],"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(32)</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3D9EA966"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Primary:  the association</w:t>
            </w:r>
          </w:p>
          <w:p w14:paraId="0AD5814E"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between the intake of legumes and nuts with sleep quality and quantity </w:t>
            </w:r>
          </w:p>
          <w:p w14:paraId="3BCE393F"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Secondary: PA prevalence as a confounding factor</w:t>
            </w:r>
          </w:p>
        </w:tc>
        <w:tc>
          <w:tcPr>
            <w:tcW w:w="548" w:type="pct"/>
            <w:shd w:val="clear" w:color="auto" w:fill="FFFFFF"/>
            <w:tcMar>
              <w:top w:w="30" w:type="dxa"/>
              <w:left w:w="45" w:type="dxa"/>
              <w:bottom w:w="30" w:type="dxa"/>
              <w:right w:w="45" w:type="dxa"/>
            </w:tcMar>
            <w:vAlign w:val="center"/>
          </w:tcPr>
          <w:p w14:paraId="7176EA4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IPAQ-SF</w:t>
            </w:r>
          </w:p>
        </w:tc>
        <w:tc>
          <w:tcPr>
            <w:tcW w:w="1097" w:type="pct"/>
            <w:shd w:val="clear" w:color="auto" w:fill="FFFFFF"/>
            <w:tcMar>
              <w:top w:w="30" w:type="dxa"/>
              <w:left w:w="45" w:type="dxa"/>
              <w:bottom w:w="30" w:type="dxa"/>
              <w:right w:w="45" w:type="dxa"/>
            </w:tcMar>
            <w:vAlign w:val="center"/>
          </w:tcPr>
          <w:p w14:paraId="7A07393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Prevalence of Inactive,</w:t>
            </w:r>
            <w:r w:rsidRPr="001F49E7">
              <w:rPr>
                <w:rFonts w:eastAsia="Times New Roman" w:cstheme="minorHAnsi"/>
                <w:color w:val="000000" w:themeColor="text1"/>
                <w:kern w:val="0"/>
                <w:sz w:val="16"/>
                <w:szCs w:val="16"/>
                <w14:ligatures w14:val="none"/>
              </w:rPr>
              <w:br/>
              <w:t xml:space="preserve">Minimally active, and </w:t>
            </w:r>
            <w:r w:rsidRPr="001F49E7">
              <w:rPr>
                <w:rFonts w:eastAsia="Times New Roman" w:cstheme="minorHAnsi"/>
                <w:color w:val="000000" w:themeColor="text1"/>
                <w:kern w:val="0"/>
                <w:sz w:val="16"/>
                <w:szCs w:val="16"/>
                <w14:ligatures w14:val="none"/>
              </w:rPr>
              <w:br/>
              <w:t>Active PA</w:t>
            </w:r>
          </w:p>
        </w:tc>
        <w:tc>
          <w:tcPr>
            <w:tcW w:w="457" w:type="pct"/>
            <w:shd w:val="clear" w:color="auto" w:fill="FFFFFF"/>
            <w:tcMar>
              <w:top w:w="30" w:type="dxa"/>
              <w:left w:w="45" w:type="dxa"/>
              <w:bottom w:w="30" w:type="dxa"/>
              <w:right w:w="45" w:type="dxa"/>
            </w:tcMar>
            <w:vAlign w:val="center"/>
          </w:tcPr>
          <w:p w14:paraId="022B5B3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w:t>
            </w:r>
          </w:p>
        </w:tc>
        <w:tc>
          <w:tcPr>
            <w:tcW w:w="518" w:type="pct"/>
            <w:shd w:val="clear" w:color="auto" w:fill="FFFFFF"/>
            <w:tcMar>
              <w:top w:w="30" w:type="dxa"/>
              <w:left w:w="45" w:type="dxa"/>
              <w:bottom w:w="30" w:type="dxa"/>
              <w:right w:w="45" w:type="dxa"/>
            </w:tcMar>
            <w:vAlign w:val="center"/>
          </w:tcPr>
          <w:p w14:paraId="5455F051"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62C70DD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r w:rsidR="00F243D9" w:rsidRPr="001F49E7" w14:paraId="4343C916" w14:textId="77777777" w:rsidTr="007E49A6">
        <w:trPr>
          <w:trHeight w:val="315"/>
        </w:trPr>
        <w:tc>
          <w:tcPr>
            <w:tcW w:w="550" w:type="pct"/>
            <w:shd w:val="clear" w:color="auto" w:fill="FFFFFF"/>
            <w:tcMar>
              <w:top w:w="30" w:type="dxa"/>
              <w:left w:w="45" w:type="dxa"/>
              <w:bottom w:w="30" w:type="dxa"/>
              <w:right w:w="45" w:type="dxa"/>
            </w:tcMar>
            <w:vAlign w:val="center"/>
          </w:tcPr>
          <w:p w14:paraId="24723F61"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B. Jabbarzadeh-Ganjeh 2026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{"citationID":"eddBaYTP","properties":{"unsorted":false,"formattedCitation":"(33)","plainCitation":"(33)","noteIndex":0},"citationItems":[{"id":238,"uris":["http://zotero.org/users/local/SBvLfXY8/items/3EQKQU27"],"itemData":{"id":238,"type":"article-journal","abstract":"We aimed to investigate the association of chrono-nutrition components with anthropometric measures and body composition in adults living in Tehran. This  cross-sectional study was conducted on 450 healthy adults. The exposures of the  study were meal frequency, meal timing, meal irregularity, breakfast skipping,  night fasting duration, time of the first and last eating occasion and the time  interval from the last meal to bed. The outcomes were BMI, waist circumference,  neck circumference (NC), waist:hip ratio, waist:height ratio (WHtR), body  adiposity index (BAI), body roundness index (BRI), a body shape index, percentage  of body fat (PBF), fat mass (FM), fat-free mass and muscle mass. Bonferroni  correction was applied, and the significance level was less than 0·004. Using  ANCOVA, after adjusting for confounders, late lunch eating was associated with a  lower PBF. There was a positive trend across the tertiles of dinner time with  greater WHtR (mean difference = 0·019; P(trend) = 0·025) and BRI (mean difference  = 0·24; P(trend) = 0·022). Moreover, increased irregularity at dinner time was  associated with higher levels of PBF (P(trend) = 0·026) and FM (P(trend) =  0·025). Also, longer overnight fasting was associated with lower NC (P(trend) =  0·049) and a greater BRI (P(trend) = 0·050). We found differences across the time  interval from the last meal to bed with greater means of BAI (P(trend) = 0·026),  PBF (P(trend) = 0·014) and FM (P(trend) = 0·020). However, after applying the  Bonferroni correction, we found no significant association between  chrono-nutrition components and anthropometric measures and body composition in  adults living in Tehran. Further studies are necessary to confirm the results.","container-title":"The British journal of nutrition","DOI":"10.1017/S0007114525105047","ISSN":"1475-2662 0007-1145","issue":"3","journalAbbreviation":"Br J Nutr","language":"eng","page":"335-348","PMID":"41347499","publisher-place":"England","title":"Association of chrono-nutrition components with anthropometric measures and body composition in adults living in Tehran.","volume":"135","author":[{"family":"Jabbarzadeh-Ganjeh","given":"Bahareh"},{"family":"Mirrafiei","given":"Amin"},{"family":"Norouziasl","given":"Reyhane"},{"family":"Ghaemi","given":"Shadi"},{"family":"Bafkar","given":"Negar"},{"family":"Firouzi","given":"Mahsa"},{"family":"Tijani Jibril","given":"Aliyu"},{"family":"Djafarian","given":"Kurosh"},{"family":"Bahrami","given":"Alireza"},{"family":"Shab-Bidar","given":"Sakineh"}],"issued":{"date-parts":[["2026",2,14]]}}}],"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(33)</w:t>
            </w:r>
            <w:r w:rsidRPr="001F49E7">
              <w:rPr>
                <w:rFonts w:eastAsia="Times New Roman" w:cstheme="minorHAnsi"/>
                <w:kern w:val="0"/>
                <w:sz w:val="16"/>
                <w:szCs w:val="16"/>
                <w14:ligatures w14:val="none"/>
              </w:rPr>
              <w:fldChar w:fldCharType="end"/>
            </w:r>
          </w:p>
        </w:tc>
        <w:tc>
          <w:tcPr>
            <w:tcW w:w="763" w:type="pct"/>
            <w:shd w:val="clear" w:color="auto" w:fill="FFFFFF"/>
            <w:tcMar>
              <w:top w:w="30" w:type="dxa"/>
              <w:left w:w="45" w:type="dxa"/>
              <w:bottom w:w="30" w:type="dxa"/>
              <w:right w:w="45" w:type="dxa"/>
            </w:tcMar>
            <w:vAlign w:val="center"/>
          </w:tcPr>
          <w:p w14:paraId="4DF6390A"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 Primary: association between chrono-nutrition components and anthropometric indices </w:t>
            </w:r>
          </w:p>
          <w:p w14:paraId="79F71570" w14:textId="51F91EEB"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lastRenderedPageBreak/>
              <w:t>• Secondary: PA prevalence as a confound</w:t>
            </w:r>
            <w:r w:rsidR="00BC2932" w:rsidRPr="001F49E7">
              <w:rPr>
                <w:rFonts w:eastAsia="Times New Roman" w:cstheme="minorHAnsi"/>
                <w:color w:val="000000" w:themeColor="text1"/>
                <w:kern w:val="0"/>
                <w:sz w:val="16"/>
                <w:szCs w:val="16"/>
                <w14:ligatures w14:val="none"/>
              </w:rPr>
              <w:t>ing</w:t>
            </w:r>
            <w:r w:rsidRPr="001F49E7">
              <w:rPr>
                <w:rFonts w:eastAsia="Times New Roman" w:cstheme="minorHAnsi"/>
                <w:color w:val="000000" w:themeColor="text1"/>
                <w:kern w:val="0"/>
                <w:sz w:val="16"/>
                <w:szCs w:val="16"/>
                <w14:ligatures w14:val="none"/>
              </w:rPr>
              <w:t xml:space="preserve"> factor in body composition </w:t>
            </w:r>
          </w:p>
        </w:tc>
        <w:tc>
          <w:tcPr>
            <w:tcW w:w="548" w:type="pct"/>
            <w:shd w:val="clear" w:color="auto" w:fill="FFFFFF"/>
            <w:tcMar>
              <w:top w:w="30" w:type="dxa"/>
              <w:left w:w="45" w:type="dxa"/>
              <w:bottom w:w="30" w:type="dxa"/>
              <w:right w:w="45" w:type="dxa"/>
            </w:tcMar>
            <w:vAlign w:val="center"/>
          </w:tcPr>
          <w:p w14:paraId="16FE5D9B" w14:textId="77777777" w:rsidR="00F243D9" w:rsidRPr="001F49E7" w:rsidRDefault="00F243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IPAQ-SF</w:t>
            </w:r>
          </w:p>
        </w:tc>
        <w:tc>
          <w:tcPr>
            <w:tcW w:w="1097" w:type="pct"/>
            <w:shd w:val="clear" w:color="auto" w:fill="FFFFFF"/>
            <w:tcMar>
              <w:top w:w="30" w:type="dxa"/>
              <w:left w:w="45" w:type="dxa"/>
              <w:bottom w:w="30" w:type="dxa"/>
              <w:right w:w="45" w:type="dxa"/>
            </w:tcMar>
            <w:vAlign w:val="center"/>
          </w:tcPr>
          <w:p w14:paraId="3759B6C9"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Low: &lt; 600</w:t>
            </w:r>
            <w:r w:rsidRPr="001F49E7">
              <w:rPr>
                <w:rFonts w:eastAsia="Times New Roman" w:cstheme="minorHAnsi"/>
                <w:color w:val="000000" w:themeColor="text1"/>
                <w:kern w:val="0"/>
                <w:sz w:val="16"/>
                <w:szCs w:val="16"/>
                <w14:ligatures w14:val="none"/>
              </w:rPr>
              <w:br/>
              <w:t>MET-min/week, moderate: 600–3000 MET-min/week and high: &gt; 3000 MET-min/week</w:t>
            </w:r>
          </w:p>
        </w:tc>
        <w:tc>
          <w:tcPr>
            <w:tcW w:w="457" w:type="pct"/>
            <w:shd w:val="clear" w:color="auto" w:fill="FFFFFF"/>
            <w:tcMar>
              <w:top w:w="30" w:type="dxa"/>
              <w:left w:w="45" w:type="dxa"/>
              <w:bottom w:w="30" w:type="dxa"/>
              <w:right w:w="45" w:type="dxa"/>
            </w:tcMar>
            <w:vAlign w:val="center"/>
          </w:tcPr>
          <w:p w14:paraId="07C60EB2"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 xml:space="preserve">Active people </w:t>
            </w:r>
          </w:p>
        </w:tc>
        <w:tc>
          <w:tcPr>
            <w:tcW w:w="518" w:type="pct"/>
            <w:shd w:val="clear" w:color="auto" w:fill="FFFFFF"/>
            <w:tcMar>
              <w:top w:w="30" w:type="dxa"/>
              <w:left w:w="45" w:type="dxa"/>
              <w:bottom w:w="30" w:type="dxa"/>
              <w:right w:w="45" w:type="dxa"/>
            </w:tcMar>
            <w:vAlign w:val="center"/>
          </w:tcPr>
          <w:p w14:paraId="542E75B0"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r w:rsidRPr="001F49E7">
              <w:rPr>
                <w:rFonts w:eastAsia="Times New Roman" w:cstheme="minorHAnsi"/>
                <w:color w:val="000000" w:themeColor="text1"/>
                <w:kern w:val="0"/>
                <w:sz w:val="16"/>
                <w:szCs w:val="16"/>
                <w14:ligatures w14:val="none"/>
              </w:rPr>
              <w:t>-</w:t>
            </w:r>
          </w:p>
        </w:tc>
        <w:tc>
          <w:tcPr>
            <w:tcW w:w="1067" w:type="pct"/>
            <w:shd w:val="clear" w:color="auto" w:fill="FFFFFF"/>
            <w:tcMar>
              <w:top w:w="30" w:type="dxa"/>
              <w:left w:w="45" w:type="dxa"/>
              <w:bottom w:w="30" w:type="dxa"/>
              <w:right w:w="45" w:type="dxa"/>
            </w:tcMar>
            <w:vAlign w:val="center"/>
          </w:tcPr>
          <w:p w14:paraId="7EBD67CB" w14:textId="77777777" w:rsidR="00F243D9" w:rsidRPr="001F49E7" w:rsidRDefault="00F243D9" w:rsidP="001F49E7">
            <w:pPr>
              <w:spacing w:after="0" w:line="240" w:lineRule="auto"/>
              <w:jc w:val="center"/>
              <w:rPr>
                <w:rFonts w:eastAsia="Times New Roman" w:cstheme="minorHAnsi"/>
                <w:color w:val="000000" w:themeColor="text1"/>
                <w:kern w:val="0"/>
                <w:sz w:val="16"/>
                <w:szCs w:val="16"/>
                <w14:ligatures w14:val="none"/>
              </w:rPr>
            </w:pPr>
          </w:p>
        </w:tc>
      </w:tr>
    </w:tbl>
    <w:bookmarkEnd w:id="1"/>
    <w:p w14:paraId="1C71A205" w14:textId="09CD9F00" w:rsidR="00AE6BE3" w:rsidRPr="001F49E7" w:rsidRDefault="00AE6BE3" w:rsidP="001F49E7">
      <w:pPr>
        <w:jc w:val="both"/>
        <w:rPr>
          <w:rFonts w:eastAsia="Times New Roman" w:cstheme="minorHAnsi"/>
          <w:kern w:val="0"/>
          <w:sz w:val="16"/>
          <w:szCs w:val="16"/>
          <w14:ligatures w14:val="none"/>
        </w:rPr>
      </w:pPr>
      <w:r w:rsidRPr="001F49E7">
        <w:rPr>
          <w:vertAlign w:val="superscript"/>
        </w:rPr>
        <w:t xml:space="preserve">1 </w:t>
      </w:r>
      <w:r w:rsidRPr="001F49E7">
        <w:rPr>
          <w:rFonts w:eastAsia="Times New Roman" w:cstheme="minorHAnsi"/>
          <w:kern w:val="0"/>
          <w:sz w:val="16"/>
          <w:szCs w:val="16"/>
          <w14:ligatures w14:val="none"/>
        </w:rPr>
        <w:t>Validated by Adahl et al.</w:t>
      </w:r>
      <w:r w:rsidR="00945B8A" w:rsidRPr="001F49E7">
        <w:rPr>
          <w:rFonts w:eastAsia="Times New Roman" w:cstheme="minorHAnsi"/>
          <w:kern w:val="0"/>
          <w:sz w:val="16"/>
          <w:szCs w:val="16"/>
          <w14:ligatures w14:val="none"/>
        </w:rPr>
        <w:t xml:space="preserve"> </w:t>
      </w:r>
      <w:r w:rsidR="00945B8A"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{"citationID":"q5lo9lce","properties":{"formattedCitation":"(39)","plainCitation":"(39)","noteIndex":0},"citationItems":[{"id":"ulROLKvl/34Lr8cy5","uris":["http://zotero.org/users/16072611/items/MHEE8S9B"],"itemData":{"id":497,"type":"article-journal","abstract":"PURPOSE: Development and validation of a physical activity scale for measuring physical activity in 24 h of sports, work, and leisure time on an average weekday.\nMETHODS: For development of the physical activity scale, 2500 randomly selected Danish men and women between the age of 20 and 60 were contacted by mail and asked to select frequent and relevant physical activities from a number of activities of known MET intensity. The activities were included in the physical activity scale, organized in nine different MET levels ranging from sleep/rest (0.9 METs) to high-intensity physical activities (&gt;6 METs). Face validity of the physical activity scale was explored through interviews with 10 volunteer men and women. Concurrent validity was assessed against 4 d of accelerometry (CSA 7164) and physical activity diary in 40 volunteer men and women between 20 and 60 yr of age.\nRESULTS: The correlation between the activity scale and the diary was high (r = 0.74, P = 0.000), whereas correlation between the activity scale and accelerometer measurements was poor (r = 0.20, NS). The physical activity scale MET-time was systematically higher than average MET-time estimated from the diary, and the difference increased with increasing total MET-time.\nCONCLUSION: The physical activity scale appears to be a simple and valid alternative to measuring physical activity by diary in adult sedentary to moderately active Danes. The scale encompasses work, leisure time, and sports activity in one measure; it is easy to administer, and it provides detailed information on different activity levels as well as a single measure of the total amount of physical activity on an average weekday.","container-title":"Medicine and Science in Sports and Exercise","DOI":"10.1249/01.MSS.0000074446.02192.14","ISSN":"0195-9131","issue":"7","journalAbbreviation":"Med Sci Sports Exerc","language":"eng","page":"1196-1202","PMID":"12840642","source":"PubMed","title":"Validation of a new self-report instrument for measuring physical activity","volume":"35","author":[{"family":"Aadahl","given":"Mette"},{"family":"Jørgensen","given":"Torben"}],"issued":{"date-parts":[["2003",7]]}}}],"schema":"https://github.com/citation-style-language/schema/raw/master/csl-citation.json"} </w:instrText>
      </w:r>
      <w:r w:rsidR="00945B8A" w:rsidRPr="001F49E7">
        <w:rPr>
          <w:rFonts w:eastAsia="Times New Roman" w:cstheme="minorHAnsi"/>
          <w:kern w:val="0"/>
          <w:sz w:val="16"/>
          <w:szCs w:val="16"/>
          <w14:ligatures w14:val="none"/>
        </w:rPr>
        <w:fldChar w:fldCharType="separate"/>
      </w:r>
      <w:r w:rsidR="00207711" w:rsidRPr="001F49E7">
        <w:rPr>
          <w:rFonts w:ascii="Aptos" w:hAnsi="Aptos"/>
          <w:sz w:val="16"/>
        </w:rPr>
        <w:t>(39)</w:t>
      </w:r>
      <w:r w:rsidR="00945B8A" w:rsidRPr="001F49E7">
        <w:rPr>
          <w:rFonts w:eastAsia="Times New Roman" w:cstheme="minorHAnsi"/>
          <w:kern w:val="0"/>
          <w:sz w:val="16"/>
          <w:szCs w:val="16"/>
          <w14:ligatures w14:val="none"/>
        </w:rPr>
        <w:fldChar w:fldCharType="end"/>
      </w:r>
      <w:r w:rsidRPr="001F49E7">
        <w:rPr>
          <w:rFonts w:eastAsia="Times New Roman" w:cstheme="minorHAnsi"/>
          <w:kern w:val="0"/>
          <w:sz w:val="16"/>
          <w:szCs w:val="16"/>
          <w14:ligatures w14:val="none"/>
        </w:rPr>
        <w:t xml:space="preserve">, and further validated by Kelishadi et al. </w:t>
      </w:r>
      <w:r w:rsidR="00945B8A"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QnqkdcBX","properties":{"unsorted":false,"formattedCitation":"(40)","plainCitation":"(40)","noteIndex":0},"citationItems":[{"id":180,"uris":["http://zotero.org/users/local/SBvLfXY8/items/N4EGMTLS"],"itemData":{"id":180,"type":"article-journal","issue":"3(2):55-66","journalAbbreviation":"Journal of Shahrekord University of Medical Sciences","title":"Assessment of Physical Activity of Adolescents in Isfahan","URL":"https://sid.ir/paper/58480/en","author":[{"literal":"Kelishadi R., Rabiei K., Khosravi A., Famouri F., Sadeghi M., Rouhafza H., Shirani SH."}],"issued":{"date-parts":[["2001"]]}}}],"schema":"https://github.com/citation-style-language/schema/raw/master/csl-citation.json"} </w:instrText>
      </w:r>
      <w:r w:rsidR="00945B8A" w:rsidRPr="001F49E7">
        <w:rPr>
          <w:rFonts w:eastAsia="Times New Roman" w:cstheme="minorHAnsi"/>
          <w:kern w:val="0"/>
          <w:sz w:val="16"/>
          <w:szCs w:val="16"/>
          <w14:ligatures w14:val="none"/>
        </w:rPr>
        <w:fldChar w:fldCharType="separate"/>
      </w:r>
      <w:r w:rsidR="00207711" w:rsidRPr="001F49E7">
        <w:rPr>
          <w:rFonts w:ascii="Aptos" w:hAnsi="Aptos"/>
          <w:sz w:val="16"/>
        </w:rPr>
        <w:t>(40)</w:t>
      </w:r>
      <w:r w:rsidR="00945B8A" w:rsidRPr="001F49E7">
        <w:rPr>
          <w:rFonts w:eastAsia="Times New Roman" w:cstheme="minorHAnsi"/>
          <w:kern w:val="0"/>
          <w:sz w:val="16"/>
          <w:szCs w:val="16"/>
          <w14:ligatures w14:val="none"/>
        </w:rPr>
        <w:fldChar w:fldCharType="end"/>
      </w:r>
      <w:r w:rsidR="00945B8A" w:rsidRPr="001F49E7">
        <w:rPr>
          <w:rFonts w:eastAsia="Times New Roman" w:cstheme="minorHAnsi"/>
          <w:kern w:val="0"/>
          <w:sz w:val="16"/>
          <w:szCs w:val="16"/>
          <w14:ligatures w14:val="none"/>
        </w:rPr>
        <w:t xml:space="preserve"> </w:t>
      </w:r>
      <w:r w:rsidRPr="001F49E7">
        <w:rPr>
          <w:rFonts w:eastAsia="Times New Roman" w:cstheme="minorHAnsi"/>
          <w:kern w:val="0"/>
          <w:sz w:val="16"/>
          <w:szCs w:val="16"/>
          <w14:ligatures w14:val="none"/>
        </w:rPr>
        <w:t>in the Iranian population</w:t>
      </w:r>
    </w:p>
    <w:p w14:paraId="796D90C6" w14:textId="53F1EC3D" w:rsidR="005743B1" w:rsidRPr="001F49E7" w:rsidRDefault="005743B1" w:rsidP="001F49E7">
      <w:pPr>
        <w:jc w:val="both"/>
        <w:rPr>
          <w:rFonts w:eastAsia="Times New Roman" w:cstheme="minorHAnsi"/>
          <w:kern w:val="0"/>
          <w:sz w:val="16"/>
          <w:szCs w:val="16"/>
          <w14:ligatures w14:val="none"/>
        </w:rPr>
      </w:pPr>
      <w:r w:rsidRPr="001F49E7">
        <w:rPr>
          <w:rFonts w:eastAsia="Times New Roman" w:cstheme="minorHAnsi"/>
          <w:kern w:val="0"/>
          <w:sz w:val="16"/>
          <w:szCs w:val="16"/>
          <w:vertAlign w:val="superscript"/>
          <w14:ligatures w14:val="none"/>
        </w:rPr>
        <w:t>2</w:t>
      </w:r>
      <w:r w:rsidRPr="001F49E7">
        <w:rPr>
          <w:rFonts w:eastAsia="Times New Roman" w:cstheme="minorHAnsi"/>
          <w:kern w:val="0"/>
          <w:sz w:val="16"/>
          <w:szCs w:val="16"/>
          <w14:ligatures w14:val="none"/>
        </w:rPr>
        <w:t xml:space="preserve"> Gastro- Esophageal Malignancies in Northern Iran</w:t>
      </w:r>
      <w:r w:rsidR="002B5C4A" w:rsidRPr="001F49E7">
        <w:rPr>
          <w:rFonts w:eastAsia="Times New Roman" w:cstheme="minorHAnsi"/>
          <w:kern w:val="0"/>
          <w:sz w:val="16"/>
          <w:szCs w:val="16"/>
          <w14:ligatures w14:val="none"/>
        </w:rPr>
        <w:t xml:space="preserve"> </w:t>
      </w:r>
      <w:r w:rsidR="002B5C4A"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gO74413L","properties":{"unsorted":false,"formattedCitation":"(41)","plainCitation":"(41)","noteIndex":0},"citationItems":[{"id":243,"uris":["http://zotero.org/users/local/SBvLfXY8/items/UQM8SG6S"],"itemData":{"id":243,"type":"article-journal","abstract":"BACKGROUND: The Gastro-Esophageal Malignancies in Northern Iran (GEMINI) research project is an example of recent progress in health research in Iran. The original  aim of this project was to identify etiologic factors and prevention measures for  upper gastrointestinal cancers in Northern provinces of Iran, but its  achievements have gone much beyond this initial goal. METHODS: GEMINI consists of  several projects including cancer registries, pilot studies, case-control  studies, and the Golestan Cohort Study. GEMINI has been conducted through  extensive collaborations between the Digestive Disease Research Center of Tehran  University of Medical Sciences with other domestic and international health  organizations. The achievements of GEMINI include producing new knowledge,  introducing new research methods, developing and expanding health research and  health care infrastructures, investing in human resources, and increasing the  awareness and knowledge of policy makers and officials at all levels about the  importance of chronic diseases in Iran's health priorities. CONCLUSION: The  success of GEMINI reveals the feasibility of large-scale health research studies  in developing countries and serves as a successful model not only for health  research in Iran, but also for similar research studies in other developing  nations.","container-title":"Archives of Iranian medicine","ISSN":"1735-3947 1029-2977","issue":"1","journalAbbreviation":"Arch Iran Med","language":"eng","page":"46-53","PMID":"23273237","PMCID":"PMC3659328","publisher-place":"Iran","title":"The gastro-esophageal malignancies in Northern Iran research project: impact on the health research and health care systems in Iran.","volume":"16","author":[{"family":"Sepanlou","given":"Sadaf G."},{"family":"Etemadi","given":"Arash"},{"family":"Kamangar","given":"Farin"},{"family":"Sepehr","given":"Alireza"},{"family":"Pourshams","given":"Akram"},{"family":"Poustchi","given":"Hossein"},{"family":"Islami","given":"Farhad"},{"family":"Sadjadi","given":"Alireza"},{"family":"Nasrollahzadeh","given":"Dariush"},{"family":"Semnani","given":"Shahryar"},{"family":"Saidi","given":"Farrokh"},{"family":"Abnet","given":"Christian C."},{"family":"Ponder","given":"Bruce"},{"family":"Pharoah","given":"Paul D."},{"family":"Day","given":"Nicholas E."},{"family":"Brennan","given":"Paul"},{"family":"Boffetta","given":"Paolo"},{"family":"Dawsey","given":"Sanford M."},{"family":"Malekzadeh","given":"Reza"}],"issued":{"date-parts":[["2013",1]]}}}],"schema":"https://github.com/citation-style-language/schema/raw/master/csl-citation.json"} </w:instrText>
      </w:r>
      <w:r w:rsidR="002B5C4A" w:rsidRPr="001F49E7">
        <w:rPr>
          <w:rFonts w:eastAsia="Times New Roman" w:cstheme="minorHAnsi"/>
          <w:kern w:val="0"/>
          <w:sz w:val="16"/>
          <w:szCs w:val="16"/>
          <w14:ligatures w14:val="none"/>
        </w:rPr>
        <w:fldChar w:fldCharType="separate"/>
      </w:r>
      <w:r w:rsidR="00207711" w:rsidRPr="001F49E7">
        <w:rPr>
          <w:rFonts w:ascii="Aptos" w:hAnsi="Aptos"/>
          <w:sz w:val="16"/>
        </w:rPr>
        <w:t>(41)</w:t>
      </w:r>
      <w:r w:rsidR="002B5C4A" w:rsidRPr="001F49E7">
        <w:rPr>
          <w:rFonts w:eastAsia="Times New Roman" w:cstheme="minorHAnsi"/>
          <w:kern w:val="0"/>
          <w:sz w:val="16"/>
          <w:szCs w:val="16"/>
          <w14:ligatures w14:val="none"/>
        </w:rPr>
        <w:fldChar w:fldCharType="end"/>
      </w:r>
    </w:p>
    <w:p w14:paraId="19A1D708" w14:textId="0B646E06" w:rsidR="002B0ADD" w:rsidRPr="001F49E7" w:rsidRDefault="00D72184" w:rsidP="001F49E7">
      <w:pPr>
        <w:spacing w:line="240" w:lineRule="auto"/>
        <w:jc w:val="both"/>
        <w:rPr>
          <w:i/>
          <w:iCs/>
          <w:sz w:val="18"/>
          <w:szCs w:val="18"/>
        </w:rPr>
      </w:pPr>
      <w:r w:rsidRPr="001F49E7">
        <w:rPr>
          <w:i/>
          <w:iCs/>
          <w:sz w:val="18"/>
          <w:szCs w:val="18"/>
        </w:rPr>
        <w:t xml:space="preserve">AOR: adjusted odds ratio; BMI: body mass index; CAD: carotid artery disease; CI: concentration index; DDS: dietary diversity score; DM: diabetes mellitus; ESCC: esophageal squamous cell carcinoma; FFQ: food frequency questionnaire; GERD: gastroesophageal reflux disease; GPAQ: global physical activity questionnaire; HEPA: health-enhancing physical activity; HR: hazard ratio; HTN: hypertension; IPA: insufficient physical activity; IPAQ: international physical activity questionnaire; </w:t>
      </w:r>
      <w:r w:rsidR="00097F30" w:rsidRPr="001F49E7">
        <w:rPr>
          <w:i/>
          <w:iCs/>
          <w:sz w:val="18"/>
          <w:szCs w:val="18"/>
        </w:rPr>
        <w:t xml:space="preserve">IPAQ-SF: short form IPAQ; </w:t>
      </w:r>
      <w:r w:rsidRPr="001F49E7">
        <w:rPr>
          <w:i/>
          <w:iCs/>
          <w:sz w:val="18"/>
          <w:szCs w:val="18"/>
        </w:rPr>
        <w:t>LBP: low back pain; LPA: low physical activity; LTPA: leisure time physical activity; MAQ: modifiable activity questionnaire; MET: metabolic equivalent; MHO: metabolically healthy obese; MHOW: metabolically healthy overweight; NAFLD: non-alcoholic fatty liver disease; NCD: non-communicable disease; OPA: occupational-related physical activity; OR: odds ratio; PA: physical activity; PAF: population attributable fraction; RF: risk factor; ROI: return on investment; SES: socioeconomic status</w:t>
      </w:r>
    </w:p>
    <w:p w14:paraId="0896AA8C" w14:textId="77777777" w:rsidR="002B0ADD" w:rsidRPr="001F49E7" w:rsidRDefault="002B0ADD" w:rsidP="001F49E7">
      <w:pPr>
        <w:jc w:val="both"/>
        <w:rPr>
          <w:i/>
          <w:iCs/>
          <w:sz w:val="18"/>
          <w:szCs w:val="18"/>
        </w:rPr>
      </w:pPr>
    </w:p>
    <w:p w14:paraId="4619E35D" w14:textId="77777777" w:rsidR="002B0ADD" w:rsidRPr="001F49E7" w:rsidRDefault="002B0ADD" w:rsidP="001F49E7">
      <w:pPr>
        <w:jc w:val="both"/>
        <w:rPr>
          <w:i/>
          <w:iCs/>
          <w:sz w:val="18"/>
          <w:szCs w:val="18"/>
        </w:rPr>
      </w:pPr>
    </w:p>
    <w:p w14:paraId="6FE55FB6" w14:textId="77777777" w:rsidR="002B0ADD" w:rsidRPr="001F49E7" w:rsidRDefault="002B0ADD" w:rsidP="001F49E7">
      <w:pPr>
        <w:jc w:val="both"/>
        <w:rPr>
          <w:i/>
          <w:iCs/>
          <w:sz w:val="18"/>
          <w:szCs w:val="18"/>
        </w:rPr>
      </w:pPr>
    </w:p>
    <w:p w14:paraId="7F5DABBD" w14:textId="68113BC9" w:rsidR="002B0ADD" w:rsidRPr="001F49E7" w:rsidRDefault="00713433" w:rsidP="001F49E7">
      <w:pPr>
        <w:jc w:val="both"/>
        <w:rPr>
          <w:i/>
          <w:iCs/>
          <w:sz w:val="18"/>
          <w:szCs w:val="18"/>
        </w:rPr>
      </w:pPr>
      <w:r w:rsidRPr="001F49E7">
        <w:rPr>
          <w:i/>
          <w:iCs/>
          <w:sz w:val="18"/>
          <w:szCs w:val="18"/>
        </w:rPr>
        <w:t>Table S5- Prevalence of HEPA in subgroups of the children and adolescent population of the included studies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520"/>
        <w:gridCol w:w="1742"/>
        <w:gridCol w:w="1939"/>
        <w:gridCol w:w="2824"/>
        <w:gridCol w:w="2555"/>
        <w:gridCol w:w="2364"/>
      </w:tblGrid>
      <w:tr w:rsidR="007577D9" w:rsidRPr="001F49E7" w14:paraId="500ECC97" w14:textId="77777777" w:rsidTr="001F49E7">
        <w:trPr>
          <w:trHeight w:val="600"/>
        </w:trPr>
        <w:tc>
          <w:tcPr>
            <w:tcW w:w="587" w:type="pct"/>
            <w:vMerge w:val="restart"/>
            <w:tcMar>
              <w:top w:w="30" w:type="dxa"/>
              <w:left w:w="45" w:type="dxa"/>
              <w:bottom w:w="30" w:type="dxa"/>
              <w:right w:w="45" w:type="dxa"/>
            </w:tcMar>
            <w:vAlign w:val="center"/>
            <w:hideMark/>
          </w:tcPr>
          <w:p w14:paraId="746FFB69"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Author &amp; Year</w:t>
            </w:r>
          </w:p>
        </w:tc>
        <w:tc>
          <w:tcPr>
            <w:tcW w:w="673" w:type="pct"/>
            <w:vMerge w:val="restart"/>
            <w:vAlign w:val="center"/>
          </w:tcPr>
          <w:p w14:paraId="070CE236"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measurement tool</w:t>
            </w:r>
          </w:p>
        </w:tc>
        <w:tc>
          <w:tcPr>
            <w:tcW w:w="749" w:type="pct"/>
            <w:vMerge w:val="restart"/>
            <w:tcMar>
              <w:top w:w="30" w:type="dxa"/>
              <w:left w:w="45" w:type="dxa"/>
              <w:bottom w:w="30" w:type="dxa"/>
              <w:right w:w="45" w:type="dxa"/>
            </w:tcMar>
            <w:vAlign w:val="center"/>
            <w:hideMark/>
          </w:tcPr>
          <w:p w14:paraId="33050C64"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grouping rationale</w:t>
            </w:r>
          </w:p>
        </w:tc>
        <w:tc>
          <w:tcPr>
            <w:tcW w:w="2991" w:type="pct"/>
            <w:gridSpan w:val="3"/>
            <w:tcMar>
              <w:top w:w="30" w:type="dxa"/>
              <w:left w:w="45" w:type="dxa"/>
              <w:bottom w:w="30" w:type="dxa"/>
              <w:right w:w="45" w:type="dxa"/>
            </w:tcMar>
            <w:vAlign w:val="center"/>
            <w:hideMark/>
          </w:tcPr>
          <w:p w14:paraId="63B92008"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prevalence (by subgroups)</w:t>
            </w:r>
          </w:p>
        </w:tc>
      </w:tr>
      <w:tr w:rsidR="007577D9" w:rsidRPr="001F49E7" w14:paraId="4F4835C9" w14:textId="77777777" w:rsidTr="001F49E7">
        <w:trPr>
          <w:trHeight w:val="600"/>
        </w:trPr>
        <w:tc>
          <w:tcPr>
            <w:tcW w:w="587" w:type="pct"/>
            <w:vMerge/>
            <w:vAlign w:val="center"/>
            <w:hideMark/>
          </w:tcPr>
          <w:p w14:paraId="62CB9618" w14:textId="77777777" w:rsidR="007577D9" w:rsidRPr="001F49E7" w:rsidRDefault="007577D9" w:rsidP="001F49E7">
            <w:pPr>
              <w:spacing w:after="0" w:line="240" w:lineRule="auto"/>
              <w:rPr>
                <w:rFonts w:eastAsia="Times New Roman" w:cstheme="minorHAnsi"/>
                <w:b/>
                <w:bCs/>
                <w:kern w:val="0"/>
                <w:sz w:val="18"/>
                <w:szCs w:val="18"/>
                <w14:ligatures w14:val="none"/>
              </w:rPr>
            </w:pPr>
          </w:p>
        </w:tc>
        <w:tc>
          <w:tcPr>
            <w:tcW w:w="673" w:type="pct"/>
            <w:vMerge/>
            <w:vAlign w:val="center"/>
          </w:tcPr>
          <w:p w14:paraId="3749FD5F" w14:textId="77777777" w:rsidR="007577D9" w:rsidRPr="001F49E7" w:rsidRDefault="007577D9" w:rsidP="001F49E7">
            <w:pPr>
              <w:spacing w:after="0" w:line="240" w:lineRule="auto"/>
              <w:rPr>
                <w:rFonts w:eastAsia="Times New Roman" w:cstheme="minorHAnsi"/>
                <w:b/>
                <w:bCs/>
                <w:kern w:val="0"/>
                <w:sz w:val="18"/>
                <w:szCs w:val="18"/>
                <w14:ligatures w14:val="none"/>
              </w:rPr>
            </w:pPr>
          </w:p>
        </w:tc>
        <w:tc>
          <w:tcPr>
            <w:tcW w:w="749" w:type="pct"/>
            <w:vMerge/>
            <w:vAlign w:val="center"/>
            <w:hideMark/>
          </w:tcPr>
          <w:p w14:paraId="324B188B" w14:textId="77777777" w:rsidR="007577D9" w:rsidRPr="001F49E7" w:rsidRDefault="007577D9" w:rsidP="001F49E7">
            <w:pPr>
              <w:spacing w:after="0" w:line="240" w:lineRule="auto"/>
              <w:rPr>
                <w:rFonts w:eastAsia="Times New Roman" w:cstheme="minorHAnsi"/>
                <w:b/>
                <w:bCs/>
                <w:kern w:val="0"/>
                <w:sz w:val="18"/>
                <w:szCs w:val="18"/>
                <w14:ligatures w14:val="none"/>
              </w:rPr>
            </w:pPr>
          </w:p>
        </w:tc>
        <w:tc>
          <w:tcPr>
            <w:tcW w:w="1091" w:type="pct"/>
            <w:tcMar>
              <w:top w:w="30" w:type="dxa"/>
              <w:left w:w="45" w:type="dxa"/>
              <w:bottom w:w="30" w:type="dxa"/>
              <w:right w:w="45" w:type="dxa"/>
            </w:tcMar>
            <w:vAlign w:val="center"/>
            <w:hideMark/>
          </w:tcPr>
          <w:p w14:paraId="05F95E66"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Low / Mild</w:t>
            </w:r>
          </w:p>
        </w:tc>
        <w:tc>
          <w:tcPr>
            <w:tcW w:w="987" w:type="pct"/>
            <w:tcMar>
              <w:top w:w="30" w:type="dxa"/>
              <w:left w:w="45" w:type="dxa"/>
              <w:bottom w:w="30" w:type="dxa"/>
              <w:right w:w="45" w:type="dxa"/>
            </w:tcMar>
            <w:vAlign w:val="center"/>
            <w:hideMark/>
          </w:tcPr>
          <w:p w14:paraId="4AA7109F"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Moderate</w:t>
            </w:r>
          </w:p>
        </w:tc>
        <w:tc>
          <w:tcPr>
            <w:tcW w:w="913" w:type="pct"/>
            <w:tcMar>
              <w:top w:w="30" w:type="dxa"/>
              <w:left w:w="45" w:type="dxa"/>
              <w:bottom w:w="30" w:type="dxa"/>
              <w:right w:w="45" w:type="dxa"/>
            </w:tcMar>
            <w:vAlign w:val="center"/>
            <w:hideMark/>
          </w:tcPr>
          <w:p w14:paraId="06358BFE" w14:textId="77777777" w:rsidR="007577D9" w:rsidRPr="001F49E7" w:rsidRDefault="007577D9"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High</w:t>
            </w:r>
          </w:p>
        </w:tc>
      </w:tr>
      <w:tr w:rsidR="007577D9" w:rsidRPr="001F49E7" w14:paraId="580485AD" w14:textId="77777777" w:rsidTr="001F49E7">
        <w:trPr>
          <w:trHeight w:val="600"/>
        </w:trPr>
        <w:tc>
          <w:tcPr>
            <w:tcW w:w="587" w:type="pct"/>
            <w:shd w:val="clear" w:color="auto" w:fill="FFFFFF"/>
            <w:tcMar>
              <w:top w:w="30" w:type="dxa"/>
              <w:left w:w="45" w:type="dxa"/>
              <w:bottom w:w="30" w:type="dxa"/>
              <w:right w:w="45" w:type="dxa"/>
            </w:tcMar>
            <w:vAlign w:val="center"/>
            <w:hideMark/>
          </w:tcPr>
          <w:p w14:paraId="204447CC" w14:textId="34DDEC09"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F. Mostafavi 2019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IFhF0ST0","properties":{"unsorted":false,"formattedCitation":"(34)","plainCitation":"(34)","noteIndex":0},"citationItems":[{"id":203,"uris":["http://zotero.org/users/local/SBvLfXY8/items/VJZ4DFM2"],"itemData":{"id":203,"type":"article-journal","abstract":"BACKGROUND: Low physical activity (PA) is increasing public health problem. The present study aimed to determine socioeconomic inequality in PA among children aged 10-12 years old in Kurdistan, west of Iran in 2015.\nMETHODS: The present cross-sectional study was conducted on 2506 children aged 10-12 in Sanandaj, Iran, in 2015. Data on the children's level of PA were collected using the Modifiable Activity Questionnaire. The concentration index was used to measure inequality and the Oaxaca decomposition to examine the different determinants of the inequality. The data were analyzed in Stata 13 and SPSS 20.\nRESULTS: Of the 2506 participants, 40.90% (38.97-42.82) had insufficient PA. Girls had a lower level of PA than boys (odds ratio [OR] = 0.34; 95% confidence intervals [CI]: 0.28-0.41) and it is directly related to maternal education (OR = 1.71; 95% CI: 1.18-2.47), the family's Socioeconomic status (SES) (OR = 2.18; 95% CI: 1.56-3.05), and the place of residence (OR = 1.68; 95% CI: 1.16-2.44). The concentration index for insufficient PA was -0.25 (95 CI: -0.30 to -0.21), revealing an insufficient PA in the group with a low SES. The prevalence of insufficient PA is 51.38% (95% CI: 48.45-54.31) in poor group and 28.40% (95% CI: 22.80-33.99) in the wealthier group. The Oaxaca decomposition showed maternal education and the place of residence was the most important determinants of inequality.\nCONCLUSIONS: According to the findings, most of the children especially in the poor groups didn't have sufficient PA and socioeconomic factors could have the important role.","container-title":"International Journal of Preventive Medicine","DOI":"10.4103/ijpvm.IJPVM_222_17","ISSN":"2008-7802","journalAbbreviation":"Int J Prev Med","language":"eng","page":"83","PMID":"31198518","PMCID":"PMC6547781","source":"PubMed","title":"Using Oaxaca Decomposition to Study Socioeconomic Inequity of Physical Activity among Children Aged 10-12 Years: A Study in West of Iran","title-short":"Using Oaxaca Decomposition to Study Socioeconomic Inequity of Physical Activity among Children Aged 10-12 Years","volume":"10","author":[{"family":"Mostafavi","given":"Farideh"},{"family":"Moradi","given":"Ghobad"},{"family":"Azadi","given":"Namamali"},{"family":"Esmaeilnasab","given":"Nader"},{"family":"Roshani","given":"Daem"}],"issued":{"date-parts":[["2019"]]}}}],"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(34)</w:t>
            </w:r>
            <w:r w:rsidRPr="001F49E7">
              <w:rPr>
                <w:rFonts w:eastAsia="Times New Roman" w:cstheme="minorHAnsi"/>
                <w:kern w:val="0"/>
                <w:sz w:val="16"/>
                <w:szCs w:val="16"/>
                <w14:ligatures w14:val="none"/>
              </w:rPr>
              <w:fldChar w:fldCharType="end"/>
            </w:r>
          </w:p>
        </w:tc>
        <w:tc>
          <w:tcPr>
            <w:tcW w:w="673" w:type="pct"/>
            <w:shd w:val="clear" w:color="auto" w:fill="FFFFFF"/>
            <w:tcMar>
              <w:top w:w="30" w:type="dxa"/>
              <w:left w:w="45" w:type="dxa"/>
              <w:bottom w:w="30" w:type="dxa"/>
              <w:right w:w="45" w:type="dxa"/>
            </w:tcMar>
            <w:vAlign w:val="center"/>
            <w:hideMark/>
          </w:tcPr>
          <w:p w14:paraId="76832689"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MAQ for adolescents</w:t>
            </w:r>
            <w:r w:rsidRPr="001F49E7">
              <w:rPr>
                <w:rFonts w:eastAsia="Times New Roman" w:cstheme="minorHAnsi"/>
                <w:color w:val="000000" w:themeColor="text1"/>
                <w:kern w:val="0"/>
                <w:sz w:val="16"/>
                <w:szCs w:val="16"/>
                <w:vertAlign w:val="superscript"/>
                <w14:ligatures w14:val="none"/>
              </w:rPr>
              <w:t>1</w:t>
            </w:r>
          </w:p>
        </w:tc>
        <w:tc>
          <w:tcPr>
            <w:tcW w:w="749" w:type="pct"/>
            <w:shd w:val="clear" w:color="auto" w:fill="FFFFFF"/>
            <w:tcMar>
              <w:top w:w="30" w:type="dxa"/>
              <w:left w:w="45" w:type="dxa"/>
              <w:bottom w:w="30" w:type="dxa"/>
              <w:right w:w="45" w:type="dxa"/>
            </w:tcMar>
            <w:vAlign w:val="center"/>
            <w:hideMark/>
          </w:tcPr>
          <w:p w14:paraId="0F1E1C2B"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SES</w:t>
            </w:r>
          </w:p>
        </w:tc>
        <w:tc>
          <w:tcPr>
            <w:tcW w:w="1091" w:type="pct"/>
            <w:shd w:val="clear" w:color="auto" w:fill="FFFFFF"/>
            <w:tcMar>
              <w:top w:w="30" w:type="dxa"/>
              <w:left w:w="45" w:type="dxa"/>
              <w:bottom w:w="30" w:type="dxa"/>
              <w:right w:w="45" w:type="dxa"/>
            </w:tcMar>
            <w:vAlign w:val="center"/>
            <w:hideMark/>
          </w:tcPr>
          <w:p w14:paraId="112B5BA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Poorest: 51.38% (48.45–54.31)</w:t>
            </w:r>
            <w:r w:rsidRPr="001F49E7">
              <w:rPr>
                <w:rFonts w:eastAsia="Times New Roman" w:cstheme="minorHAnsi"/>
                <w:kern w:val="0"/>
                <w:sz w:val="16"/>
                <w:szCs w:val="16"/>
                <w14:ligatures w14:val="none"/>
              </w:rPr>
              <w:br/>
              <w:t>Wealthiest: 28.40% (22.80–33.99)</w:t>
            </w:r>
          </w:p>
        </w:tc>
        <w:tc>
          <w:tcPr>
            <w:tcW w:w="987" w:type="pct"/>
            <w:shd w:val="clear" w:color="auto" w:fill="FFFFFF"/>
            <w:tcMar>
              <w:top w:w="30" w:type="dxa"/>
              <w:left w:w="45" w:type="dxa"/>
              <w:bottom w:w="30" w:type="dxa"/>
              <w:right w:w="45" w:type="dxa"/>
            </w:tcMar>
            <w:vAlign w:val="center"/>
            <w:hideMark/>
          </w:tcPr>
          <w:p w14:paraId="47684B85"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13" w:type="pct"/>
            <w:shd w:val="clear" w:color="auto" w:fill="FFFFFF"/>
            <w:tcMar>
              <w:top w:w="30" w:type="dxa"/>
              <w:left w:w="45" w:type="dxa"/>
              <w:bottom w:w="30" w:type="dxa"/>
              <w:right w:w="45" w:type="dxa"/>
            </w:tcMar>
            <w:vAlign w:val="center"/>
            <w:hideMark/>
          </w:tcPr>
          <w:p w14:paraId="07260117"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7577D9" w:rsidRPr="001F49E7" w14:paraId="01C45970" w14:textId="77777777" w:rsidTr="001F49E7">
        <w:trPr>
          <w:trHeight w:val="600"/>
        </w:trPr>
        <w:tc>
          <w:tcPr>
            <w:tcW w:w="587" w:type="pct"/>
            <w:shd w:val="clear" w:color="auto" w:fill="FFFFFF"/>
            <w:tcMar>
              <w:top w:w="30" w:type="dxa"/>
              <w:left w:w="45" w:type="dxa"/>
              <w:bottom w:w="30" w:type="dxa"/>
              <w:right w:w="45" w:type="dxa"/>
            </w:tcMar>
            <w:vAlign w:val="center"/>
            <w:hideMark/>
          </w:tcPr>
          <w:p w14:paraId="40893223" w14:textId="3F367E7C"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G. Moradi 2020 </w:t>
            </w:r>
            <w:r w:rsidRPr="001F49E7">
              <w:rPr>
                <w:rFonts w:eastAsia="Times New Roman" w:cstheme="minorHAnsi"/>
                <w:kern w:val="0"/>
                <w:sz w:val="16"/>
                <w:szCs w:val="16"/>
                <w14:ligatures w14:val="none"/>
              </w:rPr>
              <w:fldChar w:fldCharType="begin"/>
            </w:r>
            <w:r w:rsidR="00E00D81" w:rsidRPr="001F49E7">
              <w:rPr>
                <w:rFonts w:eastAsia="Times New Roman" w:cstheme="minorHAnsi"/>
                <w:kern w:val="0"/>
                <w:sz w:val="16"/>
                <w:szCs w:val="16"/>
                <w14:ligatures w14:val="none"/>
              </w:rPr>
              <w:instrText xml:space="preserve"> ADDIN ZOTERO_ITEM CSL_CITATION {"citationID":"BJxxe4aG","properties":{"unsorted":false,"formattedCitation":"(35)","plainCitation":"(35)","noteIndex":0},"citationItems":[{"id":206,"uris":["http://zotero.org/users/local/SBvLfXY8/items/IWP5UYP6"],"itemData":{"id":206,"type":"article-journal","abstract":"BACKGROUND: This study aims to determine the prevalence of physical inactivity in Iranian adolescents aged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and the impact of socioeconomic inequality on it.\nMETHODS: In this descriptive study, the study population consisted of 10-12</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years old adolescents from an Iranian population from Kurdistan, Fars and Markazi provinces in 2018. The sample size was 1590 individuals. The sampling method was cluster sampling. Data was collected using demographic questionnaire, modifiable activity questionnaire (MAQ) and socioeconomic questionnaire. Cut points on the MAQ for light activity, moderate activity and heavy activity were MET&lt;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 MET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3-6 and MET&gt;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6, respectively. Linear and logistic regression were used to estimate the final model and the Oaxaca analysis method was applied. All analyses were performed in Stata/SE 14.0.\nRESULTS: Of the 1590 participants, 52.82% were male. The results showed that 25.79% of the subjects were physically inactive and 7.30% engaged in moderate physical activity during the week. The average physical activity during 1 week was more in boys than in girls (P-value&lt;</w:instrText>
            </w:r>
            <w:r w:rsidR="00E00D81" w:rsidRPr="001F49E7">
              <w:rPr>
                <w:rFonts w:ascii="Arial" w:eastAsia="Times New Roman" w:hAnsi="Arial" w:cs="Arial"/>
                <w:kern w:val="0"/>
                <w:sz w:val="16"/>
                <w:szCs w:val="16"/>
                <w14:ligatures w14:val="none"/>
              </w:rPr>
              <w:instrText> </w:instrText>
            </w:r>
            <w:r w:rsidR="00E00D81" w:rsidRPr="001F49E7">
              <w:rPr>
                <w:rFonts w:eastAsia="Times New Roman" w:cstheme="minorHAnsi"/>
                <w:kern w:val="0"/>
                <w:sz w:val="16"/>
                <w:szCs w:val="16"/>
                <w14:ligatures w14:val="none"/>
              </w:rPr>
              <w:instrText xml:space="preserve">0.05). Adolescents of mothers with secondary and high school education were more likely to have physical inactivity than mothers with a high school diploma or higher (AOR: 1.35, 95% CI: 1.02-1.77). The concentration index was -.11, indicating a greater concentration of physical inactivity in adolescents with low socioeconomic levels.\nCONCLUSION: One-fourth of the study population had physical inactivity in this age group. Socioeconomic levels, parental literacy, and sex of adolescents were associated with the level of physical activity.","container-title":"BMC public health","DOI":"10.1186/s12889-020-09618-0","ISSN":"1471-2458","issue":"1","journalAbbreviation":"BMC Public Health","language":"eng","page":"1499","PMID":"33008338","PMCID":"PMC7532599","source":"PubMed","title":"The prevalence of physical inactivity in Iranian adolescents and the impact of economic and social inequalities on it: results of a National Study in 2018","title-short":"The prevalence of physical inactivity in Iranian adolescents and the impact of economic and social inequalities on it","volume":"20","author":[{"family":"Moradi","given":"Ghobad"},{"family":"Mostafavi","given":"Farideh"},{"family":"Piroozi","given":"Bakhtiar"},{"family":"Zareie","given":"Bushra"},{"family":"Mahboobi","given":"Marzieh"},{"family":"Rasouli","given":"Mohammad Aziz"}],"issued":{"date-parts":[["2020",10,2]]}}}],"schema":"https://github.com/citation-style-language/schema/raw/master/csl-citation.json"} </w:instrText>
            </w:r>
            <w:r w:rsidRPr="001F49E7">
              <w:rPr>
                <w:rFonts w:eastAsia="Times New Roman" w:cstheme="minorHAnsi"/>
                <w:kern w:val="0"/>
                <w:sz w:val="16"/>
                <w:szCs w:val="16"/>
                <w14:ligatures w14:val="none"/>
              </w:rPr>
              <w:fldChar w:fldCharType="separate"/>
            </w:r>
            <w:r w:rsidR="00E00D81" w:rsidRPr="001F49E7">
              <w:rPr>
                <w:rFonts w:ascii="Aptos" w:hAnsi="Aptos"/>
                <w:sz w:val="16"/>
              </w:rPr>
              <w:t>(35)</w:t>
            </w:r>
            <w:r w:rsidRPr="001F49E7">
              <w:rPr>
                <w:rFonts w:eastAsia="Times New Roman" w:cstheme="minorHAnsi"/>
                <w:kern w:val="0"/>
                <w:sz w:val="16"/>
                <w:szCs w:val="16"/>
                <w14:ligatures w14:val="none"/>
              </w:rPr>
              <w:fldChar w:fldCharType="end"/>
            </w:r>
          </w:p>
        </w:tc>
        <w:tc>
          <w:tcPr>
            <w:tcW w:w="673" w:type="pct"/>
            <w:shd w:val="clear" w:color="auto" w:fill="FFFFFF"/>
            <w:tcMar>
              <w:top w:w="30" w:type="dxa"/>
              <w:left w:w="45" w:type="dxa"/>
              <w:bottom w:w="30" w:type="dxa"/>
              <w:right w:w="45" w:type="dxa"/>
            </w:tcMar>
            <w:vAlign w:val="center"/>
            <w:hideMark/>
          </w:tcPr>
          <w:p w14:paraId="6A553EF4" w14:textId="77777777" w:rsidR="007577D9" w:rsidRPr="001F49E7" w:rsidRDefault="007577D9" w:rsidP="001F49E7">
            <w:pPr>
              <w:spacing w:after="0" w:line="240" w:lineRule="auto"/>
              <w:jc w:val="center"/>
              <w:rPr>
                <w:rFonts w:eastAsia="Times New Roman" w:cstheme="minorHAnsi"/>
                <w:kern w:val="0"/>
                <w:sz w:val="16"/>
                <w:szCs w:val="16"/>
                <w:vertAlign w:val="superscript"/>
                <w14:ligatures w14:val="none"/>
              </w:rPr>
            </w:pPr>
            <w:r w:rsidRPr="001F49E7">
              <w:rPr>
                <w:rFonts w:eastAsia="Times New Roman" w:cstheme="minorHAnsi"/>
                <w:color w:val="000000" w:themeColor="text1"/>
                <w:kern w:val="0"/>
                <w:sz w:val="16"/>
                <w:szCs w:val="16"/>
                <w14:ligatures w14:val="none"/>
              </w:rPr>
              <w:t>MAQ for adolescents</w:t>
            </w:r>
            <w:r w:rsidRPr="001F49E7">
              <w:rPr>
                <w:rFonts w:eastAsia="Times New Roman" w:cstheme="minorHAnsi"/>
                <w:kern w:val="0"/>
                <w:sz w:val="16"/>
                <w:szCs w:val="16"/>
                <w:vertAlign w:val="superscript"/>
                <w14:ligatures w14:val="none"/>
              </w:rPr>
              <w:t>1</w:t>
            </w:r>
          </w:p>
        </w:tc>
        <w:tc>
          <w:tcPr>
            <w:tcW w:w="749" w:type="pct"/>
            <w:shd w:val="clear" w:color="auto" w:fill="FFFFFF"/>
            <w:tcMar>
              <w:top w:w="30" w:type="dxa"/>
              <w:left w:w="45" w:type="dxa"/>
              <w:bottom w:w="30" w:type="dxa"/>
              <w:right w:w="45" w:type="dxa"/>
            </w:tcMar>
            <w:vAlign w:val="center"/>
            <w:hideMark/>
          </w:tcPr>
          <w:p w14:paraId="684E64E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1091" w:type="pct"/>
            <w:shd w:val="clear" w:color="auto" w:fill="FFFFFF"/>
            <w:tcMar>
              <w:top w:w="30" w:type="dxa"/>
              <w:left w:w="45" w:type="dxa"/>
              <w:bottom w:w="30" w:type="dxa"/>
              <w:right w:w="45" w:type="dxa"/>
            </w:tcMar>
            <w:vAlign w:val="center"/>
            <w:hideMark/>
          </w:tcPr>
          <w:p w14:paraId="22824EF5"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241 (28.8%) </w:t>
            </w:r>
            <w:r w:rsidRPr="001F49E7">
              <w:rPr>
                <w:rFonts w:eastAsia="Times New Roman" w:cstheme="minorHAnsi"/>
                <w:kern w:val="0"/>
                <w:sz w:val="16"/>
                <w:szCs w:val="16"/>
                <w14:ligatures w14:val="none"/>
              </w:rPr>
              <w:br/>
              <w:t xml:space="preserve">Female: 285 (37.8%) </w:t>
            </w:r>
          </w:p>
        </w:tc>
        <w:tc>
          <w:tcPr>
            <w:tcW w:w="987" w:type="pct"/>
            <w:shd w:val="clear" w:color="auto" w:fill="FFFFFF"/>
            <w:tcMar>
              <w:top w:w="30" w:type="dxa"/>
              <w:left w:w="45" w:type="dxa"/>
              <w:bottom w:w="30" w:type="dxa"/>
              <w:right w:w="45" w:type="dxa"/>
            </w:tcMar>
            <w:vAlign w:val="center"/>
            <w:hideMark/>
          </w:tcPr>
          <w:p w14:paraId="7C1BE0B2"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13" w:type="pct"/>
            <w:shd w:val="clear" w:color="auto" w:fill="FFFFFF"/>
            <w:tcMar>
              <w:top w:w="30" w:type="dxa"/>
              <w:left w:w="45" w:type="dxa"/>
              <w:bottom w:w="30" w:type="dxa"/>
              <w:right w:w="45" w:type="dxa"/>
            </w:tcMar>
            <w:vAlign w:val="center"/>
            <w:hideMark/>
          </w:tcPr>
          <w:p w14:paraId="548808BF"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Male: 595 (71.2%)</w:t>
            </w:r>
            <w:r w:rsidRPr="001F49E7">
              <w:rPr>
                <w:rFonts w:eastAsia="Times New Roman" w:cstheme="minorHAnsi"/>
                <w:kern w:val="0"/>
                <w:sz w:val="16"/>
                <w:szCs w:val="16"/>
                <w14:ligatures w14:val="none"/>
              </w:rPr>
              <w:br/>
              <w:t>Female: 469 (62.2%)</w:t>
            </w:r>
          </w:p>
        </w:tc>
      </w:tr>
      <w:tr w:rsidR="007577D9" w:rsidRPr="001F49E7" w14:paraId="41B7D9D0" w14:textId="77777777" w:rsidTr="001F49E7">
        <w:trPr>
          <w:trHeight w:val="600"/>
        </w:trPr>
        <w:tc>
          <w:tcPr>
            <w:tcW w:w="587" w:type="pct"/>
            <w:shd w:val="clear" w:color="auto" w:fill="FFFFFF"/>
            <w:tcMar>
              <w:top w:w="30" w:type="dxa"/>
              <w:left w:w="45" w:type="dxa"/>
              <w:bottom w:w="30" w:type="dxa"/>
              <w:right w:w="45" w:type="dxa"/>
            </w:tcMar>
            <w:vAlign w:val="center"/>
          </w:tcPr>
          <w:p w14:paraId="64A7CD31" w14:textId="374512BD"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P. Amiri 2020 </w:t>
            </w:r>
            <w:r w:rsidRPr="001F49E7">
              <w:rPr>
                <w:rFonts w:eastAsia="Times New Roman" w:cstheme="minorHAnsi"/>
                <w:kern w:val="0"/>
                <w:sz w:val="16"/>
                <w:szCs w:val="16"/>
                <w14:ligatures w14:val="none"/>
              </w:rPr>
              <w:fldChar w:fldCharType="begin"/>
            </w:r>
            <w:r w:rsidR="00FA7458" w:rsidRPr="001F49E7">
              <w:rPr>
                <w:rFonts w:eastAsia="Times New Roman" w:cstheme="minorHAnsi"/>
                <w:kern w:val="0"/>
                <w:sz w:val="16"/>
                <w:szCs w:val="16"/>
                <w14:ligatures w14:val="none"/>
              </w:rPr>
              <w:instrText xml:space="preserve"> ADDIN ZOTERO_ITEM CSL_CITATION {"citationID":"xRna2QXN","properties":{"unsorted":false,"formattedCitation":"(36)","plainCitation":"(36)","noteIndex":0},"citationItems":[{"id":235,"uris":["http://zotero.org/users/local/SBvLfXY8/items/MQUG2HJ9"],"itemData":{"id":235,"type":"article-journal","abstract":"It is well documented that physical inactivity is related to weight gain and a whole host of chronic diseases. This study investigated trends of low physical  activity among Iranian adolescents in urban and rural areas between 2006-2011. A  total of 12,178 adolescents, aged between 15 and 19 years, participated in  National Surveys of Risk Factors for Non-Communicable Diseases. Data on physical  activity was obtained using the global physical activity questionnaire. A complex  sample survey and multinomial logistic regression were used to model physical  activity levels. The percentage of adolescents who had low levels of physical  activity increased from 2006 to 2011 in both urban and rural areas. Low and  moderate levels of physical activity were lower in rural girls as compared with  urban girls, with a prevalence ratio of 0.59 (95% CI 0.47-0.74) and 0.59 (95% CI  0.47-0.74), respectively. The corresponding values for boys residing in rural  areas compared with boys in urban areas were 0.56 (95% CI 0.43-0.75) and 0.60  (95% CI 0.48-0.74), respectively. The adolescents' lifestyles showed an  increasing trend for physical inactivity in both genders; however, in rural  areas, only girls had a rising affinity for a sedentary lifestyle throughout the  2006-2011 years.","container-title":"Scientific reports","DOI":"10.1038/s41598-020-78048-0","ISSN":"2045-2322","issue":"1","journalAbbreviation":"Sci Rep","language":"eng","page":"21318","PMID":"33288806","PMCID":"PMC7721745","publisher-place":"England","title":"Trends of low physical activity among Iranian adolescents across urban and rural areas during 2006-2011.","volume":"10","author":[{"family":"Amiri","given":"Parisa"},{"family":"Naseri","given":"Parisa"},{"family":"Vahedi-Notash","given":"Golnaz"},{"family":"Jalali-Farahani","given":"Sara"},{"family":"Mehrabi","given":"Yadollah"},{"family":"Hamzavi-Zarghani","given":"Najmeh"},{"family":"Azizi","given":"Fereidoun"},{"family":"Hadaegh","given":"Farzad"},{"family":"Khalili","given":"Davood"}],"issued":{"date-parts":[["2020",12,7]]}}}],"schema":"https://github.com/citation-style-language/schema/raw/master/csl-citation.json"} </w:instrText>
            </w:r>
            <w:r w:rsidRPr="001F49E7">
              <w:rPr>
                <w:rFonts w:eastAsia="Times New Roman" w:cstheme="minorHAnsi"/>
                <w:kern w:val="0"/>
                <w:sz w:val="16"/>
                <w:szCs w:val="16"/>
                <w14:ligatures w14:val="none"/>
              </w:rPr>
              <w:fldChar w:fldCharType="separate"/>
            </w:r>
            <w:r w:rsidR="00FA7458" w:rsidRPr="001F49E7">
              <w:rPr>
                <w:rFonts w:ascii="Aptos" w:hAnsi="Aptos"/>
                <w:sz w:val="16"/>
              </w:rPr>
              <w:t>(36)</w:t>
            </w:r>
            <w:r w:rsidRPr="001F49E7">
              <w:rPr>
                <w:rFonts w:eastAsia="Times New Roman" w:cstheme="minorHAnsi"/>
                <w:kern w:val="0"/>
                <w:sz w:val="16"/>
                <w:szCs w:val="16"/>
                <w14:ligatures w14:val="none"/>
              </w:rPr>
              <w:fldChar w:fldCharType="end"/>
            </w:r>
          </w:p>
        </w:tc>
        <w:tc>
          <w:tcPr>
            <w:tcW w:w="673" w:type="pct"/>
            <w:shd w:val="clear" w:color="auto" w:fill="FFFFFF"/>
            <w:tcMar>
              <w:top w:w="30" w:type="dxa"/>
              <w:left w:w="45" w:type="dxa"/>
              <w:bottom w:w="30" w:type="dxa"/>
              <w:right w:w="45" w:type="dxa"/>
            </w:tcMar>
            <w:vAlign w:val="center"/>
          </w:tcPr>
          <w:p w14:paraId="1477B0C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749" w:type="pct"/>
            <w:shd w:val="clear" w:color="auto" w:fill="FFFFFF"/>
            <w:tcMar>
              <w:top w:w="30" w:type="dxa"/>
              <w:left w:w="45" w:type="dxa"/>
              <w:bottom w:w="30" w:type="dxa"/>
              <w:right w:w="45" w:type="dxa"/>
            </w:tcMar>
            <w:vAlign w:val="center"/>
          </w:tcPr>
          <w:p w14:paraId="4679DA07"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Urban/Rural</w:t>
            </w:r>
          </w:p>
        </w:tc>
        <w:tc>
          <w:tcPr>
            <w:tcW w:w="1091" w:type="pct"/>
            <w:shd w:val="clear" w:color="auto" w:fill="FFFFFF"/>
            <w:tcMar>
              <w:top w:w="30" w:type="dxa"/>
              <w:left w:w="45" w:type="dxa"/>
              <w:bottom w:w="30" w:type="dxa"/>
              <w:right w:w="45" w:type="dxa"/>
            </w:tcMar>
            <w:vAlign w:val="center"/>
          </w:tcPr>
          <w:p w14:paraId="4BAE20B3"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2006: Urban: 19.74% / Rural: 18.99%; </w:t>
            </w:r>
          </w:p>
          <w:p w14:paraId="72294AE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2007: Urban: 24.56% / Rural: 19.72%; </w:t>
            </w:r>
          </w:p>
          <w:p w14:paraId="352BF5AF"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2008: Urban: 29.49% / Rural: 21.30%; </w:t>
            </w:r>
          </w:p>
          <w:p w14:paraId="727D0C05"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2009: Urban: 29.75% / Rural: 20.79%; </w:t>
            </w:r>
          </w:p>
          <w:p w14:paraId="424306A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Year 2011: Urban: 30.90% / Rural: 28.46% </w:t>
            </w:r>
          </w:p>
        </w:tc>
        <w:tc>
          <w:tcPr>
            <w:tcW w:w="987" w:type="pct"/>
            <w:shd w:val="clear" w:color="auto" w:fill="FFFFFF"/>
            <w:tcMar>
              <w:top w:w="30" w:type="dxa"/>
              <w:left w:w="45" w:type="dxa"/>
              <w:bottom w:w="30" w:type="dxa"/>
              <w:right w:w="45" w:type="dxa"/>
            </w:tcMar>
            <w:vAlign w:val="center"/>
          </w:tcPr>
          <w:p w14:paraId="20638280"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Year 2006: Urban: 32.94% / Rural: 25.95%; </w:t>
            </w:r>
          </w:p>
          <w:p w14:paraId="24921AB4"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2007: Urban: 32.68% / Rural: 26.52%; </w:t>
            </w:r>
          </w:p>
          <w:p w14:paraId="141739B2"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2008: Urban: 30.24% / Rural: 22.52%; </w:t>
            </w:r>
          </w:p>
          <w:p w14:paraId="5A0D0E05"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2009: Urban:  32.81% / Rural: 24.46%; </w:t>
            </w:r>
          </w:p>
          <w:p w14:paraId="41DFC409"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Year 2011: Urban: 27.68% / Rural: 26.89%</w:t>
            </w:r>
          </w:p>
        </w:tc>
        <w:tc>
          <w:tcPr>
            <w:tcW w:w="913" w:type="pct"/>
            <w:shd w:val="clear" w:color="auto" w:fill="FFFFFF"/>
            <w:tcMar>
              <w:top w:w="30" w:type="dxa"/>
              <w:left w:w="45" w:type="dxa"/>
              <w:bottom w:w="30" w:type="dxa"/>
              <w:right w:w="45" w:type="dxa"/>
            </w:tcMar>
            <w:vAlign w:val="center"/>
          </w:tcPr>
          <w:p w14:paraId="40706E87"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 xml:space="preserve">Year 2006: Urban: 47.30% / Rural: 55.04%; </w:t>
            </w:r>
          </w:p>
          <w:p w14:paraId="344D020B"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2007: Urban: 42.74% / Rural: 53.75%; </w:t>
            </w:r>
          </w:p>
          <w:p w14:paraId="0954210A"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2008: Urban: 40.25% / Rural: 56.16%; </w:t>
            </w:r>
          </w:p>
          <w:p w14:paraId="7B842338"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Year 2009: Urban: 37.42% / Rural: 54.73%; </w:t>
            </w:r>
          </w:p>
          <w:p w14:paraId="17480A17" w14:textId="77777777" w:rsidR="007577D9" w:rsidRPr="001F49E7" w:rsidRDefault="007577D9"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lastRenderedPageBreak/>
              <w:t>Year 2011: Urban: 41.41% / Rural: 44.64%</w:t>
            </w:r>
          </w:p>
        </w:tc>
      </w:tr>
    </w:tbl>
    <w:p w14:paraId="27E4C0CC" w14:textId="40899FDF" w:rsidR="002B0ADD" w:rsidRPr="001F49E7" w:rsidRDefault="00FA7458" w:rsidP="001F49E7">
      <w:pPr>
        <w:jc w:val="both"/>
        <w:rPr>
          <w:i/>
          <w:iCs/>
          <w:sz w:val="18"/>
          <w:szCs w:val="18"/>
        </w:rPr>
      </w:pPr>
      <w:r w:rsidRPr="001F49E7">
        <w:rPr>
          <w:i/>
          <w:iCs/>
          <w:sz w:val="18"/>
          <w:szCs w:val="18"/>
          <w:vertAlign w:val="superscript"/>
        </w:rPr>
        <w:lastRenderedPageBreak/>
        <w:t>1</w:t>
      </w:r>
      <w:r w:rsidRPr="001F49E7">
        <w:rPr>
          <w:i/>
          <w:iCs/>
          <w:sz w:val="18"/>
          <w:szCs w:val="18"/>
        </w:rPr>
        <w:t xml:space="preserve">Validated by Delshad et al in an Iranian adolescent population </w:t>
      </w:r>
      <w:r w:rsidRPr="001F49E7">
        <w:rPr>
          <w:i/>
          <w:iCs/>
          <w:sz w:val="18"/>
          <w:szCs w:val="18"/>
        </w:rPr>
        <w:fldChar w:fldCharType="begin"/>
      </w:r>
      <w:r w:rsidR="00207711" w:rsidRPr="001F49E7">
        <w:rPr>
          <w:i/>
          <w:iCs/>
          <w:sz w:val="18"/>
          <w:szCs w:val="18"/>
        </w:rPr>
        <w:instrText xml:space="preserve"> ADDIN ZOTERO_ITEM CSL_CITATION {"citationID":"3fcd090V","properties":{"unsorted":false,"formattedCitation":"(42)","plainCitation":"(42)","noteIndex":0},"citationItems":[{"id":37,"uris":["http://zotero.org/users/local/SBvLfXY8/items/EI3RSTYV"],"itemData":{"id":37,"type":"article-journal","abstract":"Background:\nThe purpose of this study was to evaluate the validity and reliability on the Persian translation of the Modifiable Activity Questionnaire (MAQ) in a sample of Tehranian adolescents.\n\nMethods:\nOf a total of 52 subjects, a sub-sample of 40 participations (55.0% boys) was used to assess the reliability and the validity of the physical activity questionnaire. The reliability of the two MAQs was calculated by intraclass correlation coefficients, and validation was evaluated using Pearson correlation coefficients to compare data between mean of the two MAQs and mean of four physical activity records.\n\nResults:\nIntraclass correlation coefficient was calculated to assess the reliability between two MAQs and the results of leisure time physical activity over the past year were 0.97. Pearson correlation coefficients between mean of two MAQs and mean of four physical activity records were 0.49 (P &lt; 0.001), for leisure time physical activities.\n\nConclusions:\nHigh reliability and relatively moderate validity were found for the Persian translation of the MAQ in a Tehranian adolescent population. Further studies with large sample size are suggested to assess the validity more precisely.","container-title":"International Journal of Preventive Medicine","DOI":"10.4103/2008-7802.151433","ISSN":"2008-7802","journalAbbreviation":"Int J Prev Med","page":"3","PMID":"25789138","PMCID":"PMC4362275","source":"PubMed Central","title":"Reliability and Validity of the Modifiable Activity Questionnaire for an Iranian Urban Adolescent Population","volume":"6","author":[{"family":"Delshad","given":"Maryam"},{"family":"Ghanbarian","given":"Arash"},{"family":"Ghaleh","given":"Nasrollah Rezaei"},{"family":"Amirshekari","given":"Golshan"},{"family":"Askari","given":"Sahar"},{"family":"Azizi","given":"Fereidoun"}],"issued":{"date-parts":[["2015",1,15]]}}}],"schema":"https://github.com/citation-style-language/schema/raw/master/csl-citation.json"} </w:instrText>
      </w:r>
      <w:r w:rsidRPr="001F49E7">
        <w:rPr>
          <w:i/>
          <w:iCs/>
          <w:sz w:val="18"/>
          <w:szCs w:val="18"/>
        </w:rPr>
        <w:fldChar w:fldCharType="separate"/>
      </w:r>
      <w:r w:rsidR="00207711" w:rsidRPr="001F49E7">
        <w:rPr>
          <w:rFonts w:ascii="Aptos" w:hAnsi="Aptos"/>
          <w:sz w:val="18"/>
        </w:rPr>
        <w:t>(42)</w:t>
      </w:r>
      <w:r w:rsidRPr="001F49E7">
        <w:rPr>
          <w:i/>
          <w:iCs/>
          <w:sz w:val="18"/>
          <w:szCs w:val="18"/>
        </w:rPr>
        <w:fldChar w:fldCharType="end"/>
      </w:r>
      <w:r w:rsidRPr="001F49E7">
        <w:rPr>
          <w:i/>
          <w:iCs/>
          <w:sz w:val="18"/>
          <w:szCs w:val="18"/>
        </w:rPr>
        <w:t xml:space="preserve"> </w:t>
      </w:r>
    </w:p>
    <w:p w14:paraId="3E6035D2" w14:textId="6DFB5994" w:rsidR="00FA7458" w:rsidRPr="001F49E7" w:rsidRDefault="00FA7458" w:rsidP="001F49E7">
      <w:pPr>
        <w:jc w:val="both"/>
        <w:rPr>
          <w:i/>
          <w:iCs/>
          <w:sz w:val="18"/>
          <w:szCs w:val="18"/>
        </w:rPr>
      </w:pPr>
      <w:r w:rsidRPr="001F49E7">
        <w:rPr>
          <w:i/>
          <w:iCs/>
          <w:sz w:val="18"/>
          <w:szCs w:val="18"/>
        </w:rPr>
        <w:t>HEPA: health-enhancing physical activity; MAQ: modifiable activity questionnaire; PA: physical activity</w:t>
      </w:r>
    </w:p>
    <w:p w14:paraId="70C697DA" w14:textId="77777777" w:rsidR="00D72184" w:rsidRPr="001F49E7" w:rsidRDefault="00D72184" w:rsidP="001F49E7">
      <w:pPr>
        <w:jc w:val="both"/>
        <w:rPr>
          <w:i/>
          <w:iCs/>
          <w:sz w:val="18"/>
          <w:szCs w:val="18"/>
        </w:rPr>
      </w:pPr>
    </w:p>
    <w:p w14:paraId="3425BCAD" w14:textId="77777777" w:rsidR="003933C5" w:rsidRPr="001F49E7" w:rsidRDefault="003933C5" w:rsidP="001F49E7">
      <w:pPr>
        <w:jc w:val="both"/>
        <w:rPr>
          <w:i/>
          <w:iCs/>
          <w:sz w:val="18"/>
          <w:szCs w:val="18"/>
        </w:rPr>
      </w:pPr>
    </w:p>
    <w:p w14:paraId="2408B2A4" w14:textId="4A592BB8" w:rsidR="00AD1E4E" w:rsidRPr="001F49E7" w:rsidRDefault="003933C5" w:rsidP="001F49E7">
      <w:pPr>
        <w:jc w:val="both"/>
        <w:rPr>
          <w:i/>
          <w:iCs/>
          <w:sz w:val="18"/>
          <w:szCs w:val="18"/>
        </w:rPr>
      </w:pPr>
      <w:r w:rsidRPr="001F49E7">
        <w:rPr>
          <w:i/>
          <w:iCs/>
          <w:sz w:val="18"/>
          <w:szCs w:val="18"/>
        </w:rPr>
        <w:t>Table S6- Prevalence of HEPA in subgroups of the older adults population of the included studies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748"/>
        <w:gridCol w:w="1539"/>
        <w:gridCol w:w="2856"/>
        <w:gridCol w:w="2408"/>
        <w:gridCol w:w="2532"/>
        <w:gridCol w:w="1861"/>
      </w:tblGrid>
      <w:tr w:rsidR="003933C5" w:rsidRPr="001F49E7" w14:paraId="4096F1C7" w14:textId="77777777" w:rsidTr="001F49E7">
        <w:trPr>
          <w:trHeight w:val="600"/>
        </w:trPr>
        <w:tc>
          <w:tcPr>
            <w:tcW w:w="675" w:type="pct"/>
            <w:vMerge w:val="restart"/>
            <w:tcMar>
              <w:top w:w="30" w:type="dxa"/>
              <w:left w:w="45" w:type="dxa"/>
              <w:bottom w:w="30" w:type="dxa"/>
              <w:right w:w="45" w:type="dxa"/>
            </w:tcMar>
            <w:vAlign w:val="center"/>
            <w:hideMark/>
          </w:tcPr>
          <w:p w14:paraId="6D4C94CD"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Author &amp; Year</w:t>
            </w:r>
          </w:p>
        </w:tc>
        <w:tc>
          <w:tcPr>
            <w:tcW w:w="594" w:type="pct"/>
            <w:vMerge w:val="restart"/>
            <w:tcMar>
              <w:top w:w="30" w:type="dxa"/>
              <w:left w:w="45" w:type="dxa"/>
              <w:bottom w:w="30" w:type="dxa"/>
              <w:right w:w="45" w:type="dxa"/>
            </w:tcMar>
            <w:vAlign w:val="center"/>
            <w:hideMark/>
          </w:tcPr>
          <w:p w14:paraId="2DF5660C"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Tools for measuring PA</w:t>
            </w:r>
          </w:p>
        </w:tc>
        <w:tc>
          <w:tcPr>
            <w:tcW w:w="1103" w:type="pct"/>
            <w:vMerge w:val="restart"/>
            <w:tcMar>
              <w:top w:w="30" w:type="dxa"/>
              <w:left w:w="45" w:type="dxa"/>
              <w:bottom w:w="30" w:type="dxa"/>
              <w:right w:w="45" w:type="dxa"/>
            </w:tcMar>
            <w:vAlign w:val="center"/>
            <w:hideMark/>
          </w:tcPr>
          <w:p w14:paraId="77A41E98"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grouping rationale</w:t>
            </w:r>
          </w:p>
        </w:tc>
        <w:tc>
          <w:tcPr>
            <w:tcW w:w="2627" w:type="pct"/>
            <w:gridSpan w:val="3"/>
            <w:tcMar>
              <w:top w:w="30" w:type="dxa"/>
              <w:left w:w="45" w:type="dxa"/>
              <w:bottom w:w="30" w:type="dxa"/>
              <w:right w:w="45" w:type="dxa"/>
            </w:tcMar>
            <w:vAlign w:val="center"/>
            <w:hideMark/>
          </w:tcPr>
          <w:p w14:paraId="6E369FA2"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PA prevalence (by subgroups)</w:t>
            </w:r>
          </w:p>
        </w:tc>
      </w:tr>
      <w:tr w:rsidR="003933C5" w:rsidRPr="001F49E7" w14:paraId="507034E9" w14:textId="77777777" w:rsidTr="001F49E7">
        <w:trPr>
          <w:trHeight w:val="600"/>
        </w:trPr>
        <w:tc>
          <w:tcPr>
            <w:tcW w:w="675" w:type="pct"/>
            <w:vMerge/>
            <w:vAlign w:val="center"/>
            <w:hideMark/>
          </w:tcPr>
          <w:p w14:paraId="79C636BB" w14:textId="77777777" w:rsidR="003933C5" w:rsidRPr="001F49E7" w:rsidRDefault="003933C5" w:rsidP="001F49E7">
            <w:pPr>
              <w:spacing w:after="0" w:line="240" w:lineRule="auto"/>
              <w:rPr>
                <w:rFonts w:eastAsia="Times New Roman" w:cstheme="minorHAnsi"/>
                <w:b/>
                <w:bCs/>
                <w:kern w:val="0"/>
                <w:sz w:val="18"/>
                <w:szCs w:val="18"/>
                <w14:ligatures w14:val="none"/>
              </w:rPr>
            </w:pPr>
          </w:p>
        </w:tc>
        <w:tc>
          <w:tcPr>
            <w:tcW w:w="594" w:type="pct"/>
            <w:vMerge/>
            <w:vAlign w:val="center"/>
            <w:hideMark/>
          </w:tcPr>
          <w:p w14:paraId="442EA329" w14:textId="77777777" w:rsidR="003933C5" w:rsidRPr="001F49E7" w:rsidRDefault="003933C5" w:rsidP="001F49E7">
            <w:pPr>
              <w:spacing w:after="0" w:line="240" w:lineRule="auto"/>
              <w:rPr>
                <w:rFonts w:eastAsia="Times New Roman" w:cstheme="minorHAnsi"/>
                <w:b/>
                <w:bCs/>
                <w:kern w:val="0"/>
                <w:sz w:val="18"/>
                <w:szCs w:val="18"/>
                <w14:ligatures w14:val="none"/>
              </w:rPr>
            </w:pPr>
          </w:p>
        </w:tc>
        <w:tc>
          <w:tcPr>
            <w:tcW w:w="1103" w:type="pct"/>
            <w:vMerge/>
            <w:vAlign w:val="center"/>
            <w:hideMark/>
          </w:tcPr>
          <w:p w14:paraId="1CC014E2" w14:textId="77777777" w:rsidR="003933C5" w:rsidRPr="001F49E7" w:rsidRDefault="003933C5" w:rsidP="001F49E7">
            <w:pPr>
              <w:spacing w:after="0" w:line="240" w:lineRule="auto"/>
              <w:rPr>
                <w:rFonts w:eastAsia="Times New Roman" w:cstheme="minorHAnsi"/>
                <w:b/>
                <w:bCs/>
                <w:kern w:val="0"/>
                <w:sz w:val="18"/>
                <w:szCs w:val="18"/>
                <w14:ligatures w14:val="none"/>
              </w:rPr>
            </w:pPr>
          </w:p>
        </w:tc>
        <w:tc>
          <w:tcPr>
            <w:tcW w:w="930" w:type="pct"/>
            <w:tcMar>
              <w:top w:w="30" w:type="dxa"/>
              <w:left w:w="45" w:type="dxa"/>
              <w:bottom w:w="30" w:type="dxa"/>
              <w:right w:w="45" w:type="dxa"/>
            </w:tcMar>
            <w:vAlign w:val="center"/>
            <w:hideMark/>
          </w:tcPr>
          <w:p w14:paraId="0FEDE65D"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Low / Mild</w:t>
            </w:r>
          </w:p>
        </w:tc>
        <w:tc>
          <w:tcPr>
            <w:tcW w:w="978" w:type="pct"/>
            <w:tcMar>
              <w:top w:w="30" w:type="dxa"/>
              <w:left w:w="45" w:type="dxa"/>
              <w:bottom w:w="30" w:type="dxa"/>
              <w:right w:w="45" w:type="dxa"/>
            </w:tcMar>
            <w:vAlign w:val="center"/>
            <w:hideMark/>
          </w:tcPr>
          <w:p w14:paraId="34AB4378"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Moderate</w:t>
            </w:r>
          </w:p>
        </w:tc>
        <w:tc>
          <w:tcPr>
            <w:tcW w:w="719" w:type="pct"/>
            <w:tcMar>
              <w:top w:w="30" w:type="dxa"/>
              <w:left w:w="45" w:type="dxa"/>
              <w:bottom w:w="30" w:type="dxa"/>
              <w:right w:w="45" w:type="dxa"/>
            </w:tcMar>
            <w:vAlign w:val="center"/>
            <w:hideMark/>
          </w:tcPr>
          <w:p w14:paraId="29482996" w14:textId="77777777" w:rsidR="003933C5" w:rsidRPr="001F49E7" w:rsidRDefault="003933C5" w:rsidP="001F49E7">
            <w:pPr>
              <w:spacing w:after="0" w:line="240" w:lineRule="auto"/>
              <w:jc w:val="center"/>
              <w:rPr>
                <w:rFonts w:eastAsia="Times New Roman" w:cstheme="minorHAnsi"/>
                <w:b/>
                <w:bCs/>
                <w:kern w:val="0"/>
                <w:sz w:val="18"/>
                <w:szCs w:val="18"/>
                <w14:ligatures w14:val="none"/>
              </w:rPr>
            </w:pPr>
            <w:r w:rsidRPr="001F49E7">
              <w:rPr>
                <w:rFonts w:eastAsia="Times New Roman" w:cstheme="minorHAnsi"/>
                <w:b/>
                <w:bCs/>
                <w:kern w:val="0"/>
                <w:sz w:val="18"/>
                <w:szCs w:val="18"/>
                <w14:ligatures w14:val="none"/>
              </w:rPr>
              <w:t>High</w:t>
            </w:r>
          </w:p>
        </w:tc>
      </w:tr>
      <w:tr w:rsidR="003933C5" w:rsidRPr="001F49E7" w14:paraId="3BD8542F" w14:textId="77777777" w:rsidTr="001F49E7">
        <w:trPr>
          <w:trHeight w:val="600"/>
        </w:trPr>
        <w:tc>
          <w:tcPr>
            <w:tcW w:w="675" w:type="pct"/>
            <w:shd w:val="clear" w:color="auto" w:fill="FFFFFF"/>
            <w:tcMar>
              <w:top w:w="30" w:type="dxa"/>
              <w:left w:w="45" w:type="dxa"/>
              <w:bottom w:w="30" w:type="dxa"/>
              <w:right w:w="45" w:type="dxa"/>
            </w:tcMar>
            <w:vAlign w:val="center"/>
            <w:hideMark/>
          </w:tcPr>
          <w:p w14:paraId="7BAAAB2D" w14:textId="455D7EF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A. A. Momenan 2011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{"citationID":"nJnaaREp","properties":{"unsorted":false,"formattedCitation":"(1)","plainCitation":"(1)","noteIndex":0},"citationItems":[{"id":74,"uris":["http://zotero.org/users/local/SBvLfXY8/items/RIHBE8Y3"],"itemData":{"id":74,"type":"article-journal","abstract":"The aim of this study was to assess leisure time physical activity and its determinants among adults in Tehran. This cross-sectional study comprised adults (n = 7285), aged 20 years and older. The subjects were participants of the Tehran Lipid and ...","container-title":"International Journal of Preventive Medicine","issue":"4","language":"en","page":"243","PMID":"22174964","source":"pmc.ncbi.nlm.nih.gov","title":"Leisure Time Physical Activity and Its Determinants among Adults in Tehran: Tehran Lipid and Glucose Study","title-short":"Leisure Time Physical Activity and Its Determinants among Adults in Tehran","volume":"2","author":[{"family":"Momenan","given":"Amir Abbas"},{"family":"Delshad","given":"Maryam"},{"family":"Mirmiran","given":"Parvin"},{"family":"Ghanbarian","given":"Arash"},{"family":"Azizi","given":"Fereidoun"}],"issued":{"date-parts":[["2011",12]]}}}],"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w:t>
            </w:r>
            <w:r w:rsidRPr="001F49E7">
              <w:rPr>
                <w:rFonts w:eastAsia="Times New Roman" w:cstheme="minorHAnsi"/>
                <w:color w:val="000000" w:themeColor="text1"/>
                <w:kern w:val="0"/>
                <w:sz w:val="16"/>
                <w:szCs w:val="16"/>
                <w14:ligatures w14:val="none"/>
              </w:rPr>
              <w:fldChar w:fldCharType="end"/>
            </w:r>
          </w:p>
        </w:tc>
        <w:tc>
          <w:tcPr>
            <w:tcW w:w="594" w:type="pct"/>
            <w:shd w:val="clear" w:color="auto" w:fill="FFFFFF"/>
            <w:tcMar>
              <w:top w:w="30" w:type="dxa"/>
              <w:left w:w="45" w:type="dxa"/>
              <w:bottom w:w="30" w:type="dxa"/>
              <w:right w:w="45" w:type="dxa"/>
            </w:tcMar>
            <w:vAlign w:val="center"/>
            <w:hideMark/>
          </w:tcPr>
          <w:p w14:paraId="5D75EA10"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MAQ</w:t>
            </w:r>
          </w:p>
        </w:tc>
        <w:tc>
          <w:tcPr>
            <w:tcW w:w="1103" w:type="pct"/>
            <w:shd w:val="clear" w:color="auto" w:fill="FFFFFF"/>
            <w:tcMar>
              <w:top w:w="30" w:type="dxa"/>
              <w:left w:w="45" w:type="dxa"/>
              <w:bottom w:w="30" w:type="dxa"/>
              <w:right w:w="45" w:type="dxa"/>
            </w:tcMar>
            <w:vAlign w:val="center"/>
            <w:hideMark/>
          </w:tcPr>
          <w:p w14:paraId="635708D6"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30" w:type="pct"/>
            <w:shd w:val="clear" w:color="auto" w:fill="FFFFFF"/>
            <w:tcMar>
              <w:top w:w="30" w:type="dxa"/>
              <w:left w:w="45" w:type="dxa"/>
              <w:bottom w:w="30" w:type="dxa"/>
              <w:right w:w="45" w:type="dxa"/>
            </w:tcMar>
            <w:vAlign w:val="center"/>
            <w:hideMark/>
          </w:tcPr>
          <w:p w14:paraId="1CFAF0A8"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78" w:type="pct"/>
            <w:shd w:val="clear" w:color="auto" w:fill="FFFFFF"/>
            <w:tcMar>
              <w:top w:w="30" w:type="dxa"/>
              <w:left w:w="45" w:type="dxa"/>
              <w:bottom w:w="30" w:type="dxa"/>
              <w:right w:w="45" w:type="dxa"/>
            </w:tcMar>
            <w:vAlign w:val="center"/>
            <w:hideMark/>
          </w:tcPr>
          <w:p w14:paraId="61EF1A9F"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719" w:type="pct"/>
            <w:shd w:val="clear" w:color="auto" w:fill="FFFFFF"/>
            <w:tcMar>
              <w:top w:w="30" w:type="dxa"/>
              <w:left w:w="45" w:type="dxa"/>
              <w:bottom w:w="30" w:type="dxa"/>
              <w:right w:w="45" w:type="dxa"/>
            </w:tcMar>
            <w:vAlign w:val="center"/>
            <w:hideMark/>
          </w:tcPr>
          <w:p w14:paraId="2CDD2B71"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3933C5" w:rsidRPr="001F49E7" w14:paraId="25F35B7B" w14:textId="77777777" w:rsidTr="001F49E7">
        <w:trPr>
          <w:trHeight w:val="600"/>
        </w:trPr>
        <w:tc>
          <w:tcPr>
            <w:tcW w:w="675" w:type="pct"/>
            <w:shd w:val="clear" w:color="auto" w:fill="FFFFFF"/>
            <w:tcMar>
              <w:top w:w="30" w:type="dxa"/>
              <w:left w:w="45" w:type="dxa"/>
              <w:bottom w:w="30" w:type="dxa"/>
              <w:right w:w="45" w:type="dxa"/>
            </w:tcMar>
            <w:vAlign w:val="center"/>
          </w:tcPr>
          <w:p w14:paraId="75226982" w14:textId="450BC08F"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N. Khademi 2017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{"citationID":"jkK45CPf","properties":{"unsorted":false,"formattedCitation":"(6)","plainCitation":"(6)","noteIndex":0},"citationItems":[{"id":79,"uris":["http://zotero.org/users/local/SBvLfXY8/items/9FYTWKNS"],"itemData":{"id":79,"type":"article-journal","abstract":"The relationships that age and gender share with risk factors (RFs) of noncommunicable diseases (NCDs) were assessed among a large-scale employ in Western Iran. In this epidemiologic cross-sectional study, 7129 employees from Kermanshah Province ...","container-title":"International Journal of Preventive Medicine","DOI":"10.4103/ijpvm.IJPVM_400_16","language":"en","page":"9","PMID":"28299033","source":"pmc.ncbi.nlm.nih.gov","title":"The Association of Age and Gender with Risk Factors of Noncommunicable Diseases among Employees in West of Iran","volume":"8","author":[{"family":"Khademi","given":"Nahid"},{"family":"Babanejad","given":"Mehran"},{"family":"Asadmobini","given":"Atefeh"},{"family":"Karim","given":"Hossein"}],"issued":{"date-parts":[["2017",2,20]]}}}],"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(6)</w:t>
            </w:r>
            <w:r w:rsidRPr="001F49E7">
              <w:rPr>
                <w:rFonts w:eastAsia="Times New Roman" w:cstheme="minorHAnsi"/>
                <w:kern w:val="0"/>
                <w:sz w:val="16"/>
                <w:szCs w:val="16"/>
                <w14:ligatures w14:val="none"/>
              </w:rPr>
              <w:fldChar w:fldCharType="end"/>
            </w:r>
          </w:p>
        </w:tc>
        <w:tc>
          <w:tcPr>
            <w:tcW w:w="594" w:type="pct"/>
            <w:shd w:val="clear" w:color="auto" w:fill="FFFFFF"/>
            <w:tcMar>
              <w:top w:w="30" w:type="dxa"/>
              <w:left w:w="45" w:type="dxa"/>
              <w:bottom w:w="30" w:type="dxa"/>
              <w:right w:w="45" w:type="dxa"/>
            </w:tcMar>
            <w:vAlign w:val="center"/>
          </w:tcPr>
          <w:p w14:paraId="4436A9A5"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103" w:type="pct"/>
            <w:shd w:val="clear" w:color="auto" w:fill="FFFFFF"/>
            <w:tcMar>
              <w:top w:w="30" w:type="dxa"/>
              <w:left w:w="45" w:type="dxa"/>
              <w:bottom w:w="30" w:type="dxa"/>
              <w:right w:w="45" w:type="dxa"/>
            </w:tcMar>
            <w:vAlign w:val="center"/>
          </w:tcPr>
          <w:p w14:paraId="1619B2F4"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30" w:type="pct"/>
            <w:shd w:val="clear" w:color="auto" w:fill="FFFFFF"/>
            <w:tcMar>
              <w:top w:w="30" w:type="dxa"/>
              <w:left w:w="45" w:type="dxa"/>
              <w:bottom w:w="30" w:type="dxa"/>
              <w:right w:w="45" w:type="dxa"/>
            </w:tcMar>
            <w:vAlign w:val="center"/>
          </w:tcPr>
          <w:p w14:paraId="72F2F77B"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78" w:type="pct"/>
            <w:shd w:val="clear" w:color="auto" w:fill="FFFFFF"/>
            <w:tcMar>
              <w:top w:w="30" w:type="dxa"/>
              <w:left w:w="45" w:type="dxa"/>
              <w:bottom w:w="30" w:type="dxa"/>
              <w:right w:w="45" w:type="dxa"/>
            </w:tcMar>
            <w:vAlign w:val="center"/>
          </w:tcPr>
          <w:p w14:paraId="6E0D1667"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719" w:type="pct"/>
            <w:shd w:val="clear" w:color="auto" w:fill="FFFFFF"/>
            <w:tcMar>
              <w:top w:w="30" w:type="dxa"/>
              <w:left w:w="45" w:type="dxa"/>
              <w:bottom w:w="30" w:type="dxa"/>
              <w:right w:w="45" w:type="dxa"/>
            </w:tcMar>
            <w:vAlign w:val="center"/>
          </w:tcPr>
          <w:p w14:paraId="07215CD7"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3933C5" w:rsidRPr="001F49E7" w14:paraId="637D9A23" w14:textId="77777777" w:rsidTr="001F49E7">
        <w:trPr>
          <w:trHeight w:val="600"/>
        </w:trPr>
        <w:tc>
          <w:tcPr>
            <w:tcW w:w="675" w:type="pct"/>
            <w:shd w:val="clear" w:color="auto" w:fill="FFFFFF"/>
            <w:tcMar>
              <w:top w:w="30" w:type="dxa"/>
              <w:left w:w="45" w:type="dxa"/>
              <w:bottom w:w="30" w:type="dxa"/>
              <w:right w:w="45" w:type="dxa"/>
            </w:tcMar>
            <w:vAlign w:val="center"/>
            <w:hideMark/>
          </w:tcPr>
          <w:p w14:paraId="04093A14" w14:textId="0369DCD8"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H. Najafipour 2020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0Axu5y5a","properties":{"unsorted":false,"formattedCitation":"(14)","plainCitation":"(14)","noteIndex":0},"citationItems":[{"id":72,"uris":["http://zotero.org/users/local/SBvLfXY8/items/AN6HB45P"],"itemData":{"id":72,"type":"article-journal","abstract":"BACKGROUND: Because of high prevalence of coronary artery diseases (CADs) in Iran and their relationship with low physical activity (LPA), this study aimed to measure the epidemic size of LPA, its incidence rate, and its relationship with other CAD risk factors in Kerman, Iran.\nMETHODS: About 10,000 adults were randomly recruited through single-stage cluster sampling. Demographic characteristics, biochemical variables, smoking, opium use, mental status, and physical activities were assessed. The relationship between LPA and 7 other CAD risk factors was measured. Five-year incidence rate of LPA was calculated according to the data from the physically active participants in the first phase of the study (n = 3416) who attended the second phase after 5 years.\nRESULTS: The prevalence of low, moderate, and intense physical activity was 47.2%, 34.8%, and 18.0%, respectively. LPA rose from 45.1% to 62.2% after the age of 25 years. Women had higher LPA than men. Participants with LPA had significantly higher chance of cigarette smoking, diabetes, overweight/obesity, hypertension, and opium addiction. Five-year incidence rate of LPA was 5.1 persons/100 person-years among physically active population.\nCONCLUSION: Almost half of the studied population suffering from LPA was at risk of CAD. Such risky lifestyle pattern while worsened in the last 5 years makes the emerging of CAD epidemic unavoidable, if appropriate timely interventions not being in place accordingly.","container-title":"Journal of Physical Activity &amp; Health","DOI":"10.1123/jpah.2019-0426","ISSN":"1543-5474","issue":"4","journalAbbreviation":"J Phys Act Health","language":"eng","page":"435-442","PMID":"32109881","source":"PubMed","title":"The Prevalence and 5-Year Incidence Rate of Low Physical Activity in an Urban Population of 10,000 in Southeastern Iran: Relationship With Other Cardiovascular Risk Factors","title-short":"The Prevalence and 5-Year Incidence Rate of Low Physical Activity in an Urban Population of 10,000 in Southeastern Iran","volume":"17","author":[{"family":"Najafipour","given":"Hamid"},{"family":"Kahnooji","given":"Masoomeh"},{"family":"Baneshi","given":"Mohammad Reza"},{"family":"Yeganeh","given":"Mahboobeh"},{"family":"Ahmadi Gohari","given":"Milad"},{"family":"Shadkam Farokhi","given":"Mitra"},{"family":"Mirzazadeh","given":"Ali"}],"issued":{"date-parts":[["2020",4,1]]}}}],"schema":"https://github.com/citation-style-language/schema/raw/master/csl-citation.json"}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(14)</w:t>
            </w:r>
            <w:r w:rsidRPr="001F49E7">
              <w:rPr>
                <w:rFonts w:eastAsia="Times New Roman" w:cstheme="minorHAnsi"/>
                <w:color w:val="000000" w:themeColor="text1"/>
                <w:kern w:val="0"/>
                <w:sz w:val="16"/>
                <w:szCs w:val="16"/>
                <w14:ligatures w14:val="none"/>
              </w:rPr>
              <w:fldChar w:fldCharType="end"/>
            </w:r>
          </w:p>
        </w:tc>
        <w:tc>
          <w:tcPr>
            <w:tcW w:w="594" w:type="pct"/>
            <w:shd w:val="clear" w:color="auto" w:fill="FFFFFF"/>
            <w:tcMar>
              <w:top w:w="30" w:type="dxa"/>
              <w:left w:w="45" w:type="dxa"/>
              <w:bottom w:w="30" w:type="dxa"/>
              <w:right w:w="45" w:type="dxa"/>
            </w:tcMar>
            <w:vAlign w:val="center"/>
            <w:hideMark/>
          </w:tcPr>
          <w:p w14:paraId="7105D42D"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GPAQ</w:t>
            </w:r>
          </w:p>
        </w:tc>
        <w:tc>
          <w:tcPr>
            <w:tcW w:w="1103" w:type="pct"/>
            <w:shd w:val="clear" w:color="auto" w:fill="FFFFFF"/>
            <w:tcMar>
              <w:top w:w="30" w:type="dxa"/>
              <w:left w:w="45" w:type="dxa"/>
              <w:bottom w:w="30" w:type="dxa"/>
              <w:right w:w="45" w:type="dxa"/>
            </w:tcMar>
            <w:vAlign w:val="center"/>
            <w:hideMark/>
          </w:tcPr>
          <w:p w14:paraId="545FADD4"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30" w:type="pct"/>
            <w:shd w:val="clear" w:color="auto" w:fill="FFFFFF"/>
            <w:tcMar>
              <w:top w:w="30" w:type="dxa"/>
              <w:left w:w="45" w:type="dxa"/>
              <w:bottom w:w="30" w:type="dxa"/>
              <w:right w:w="45" w:type="dxa"/>
            </w:tcMar>
            <w:vAlign w:val="center"/>
            <w:hideMark/>
          </w:tcPr>
          <w:p w14:paraId="759C77A0"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78" w:type="pct"/>
            <w:shd w:val="clear" w:color="auto" w:fill="FFFFFF"/>
            <w:tcMar>
              <w:top w:w="30" w:type="dxa"/>
              <w:left w:w="45" w:type="dxa"/>
              <w:bottom w:w="30" w:type="dxa"/>
              <w:right w:w="45" w:type="dxa"/>
            </w:tcMar>
            <w:vAlign w:val="center"/>
            <w:hideMark/>
          </w:tcPr>
          <w:p w14:paraId="0EA63E9F"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719" w:type="pct"/>
            <w:shd w:val="clear" w:color="auto" w:fill="FFFFFF"/>
            <w:tcMar>
              <w:top w:w="30" w:type="dxa"/>
              <w:left w:w="45" w:type="dxa"/>
              <w:bottom w:w="30" w:type="dxa"/>
              <w:right w:w="45" w:type="dxa"/>
            </w:tcMar>
            <w:vAlign w:val="center"/>
            <w:hideMark/>
          </w:tcPr>
          <w:p w14:paraId="1ABD193B"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3933C5" w:rsidRPr="001F49E7" w14:paraId="20E006C0" w14:textId="77777777" w:rsidTr="001F49E7">
        <w:trPr>
          <w:trHeight w:val="600"/>
        </w:trPr>
        <w:tc>
          <w:tcPr>
            <w:tcW w:w="675" w:type="pct"/>
            <w:shd w:val="clear" w:color="auto" w:fill="FFFFFF"/>
            <w:tcMar>
              <w:top w:w="30" w:type="dxa"/>
              <w:left w:w="45" w:type="dxa"/>
              <w:bottom w:w="30" w:type="dxa"/>
              <w:right w:w="45" w:type="dxa"/>
            </w:tcMar>
            <w:vAlign w:val="center"/>
            <w:hideMark/>
          </w:tcPr>
          <w:p w14:paraId="648F2946" w14:textId="11C9FF3C"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N. Mohammadi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{"citationID":"hPm1vZWw","properties":{"unsorted":false,"formattedCitation":"(26)","plainCitation":"(26)","noteIndex":0},"citationItems":[{"id":61,"uris":["http://zotero.org/users/local/SBvLfXY8/items/582LZXER"],"itemData":{"id":61,"type":"article-journal","abstract":"We aimed to determine the prevalence of physical activity and socio-economic inequality among the adults of Hamadan city.","container-title":"International Journal for Equity in Health","DOI":"10.1186/s12939-024-02362-6","ISSN":"1475-9276","issue":"1","journalAbbreviation":"International Journal for Equity in Health","page":"273","source":"BioMed Central","title":"Socioeconomic inequality in physical activity among adults in western Iran: a cross-sectional study","title-short":"Socioeconomic inequality in physical activity among adults in western Iran","volume":"23","author":[{"family":"Mohammadi","given":"Nikta"},{"family":"Doosti-Irani","given":"Amin"},{"family":"Cheraghi","given":"Zahra"}],"issued":{"date-parts":[["2024",12,27]]}}}],"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(26)</w:t>
            </w:r>
            <w:r w:rsidRPr="001F49E7">
              <w:rPr>
                <w:rFonts w:eastAsia="Times New Roman" w:cstheme="minorHAnsi"/>
                <w:color w:val="000000" w:themeColor="text1"/>
                <w:kern w:val="0"/>
                <w:sz w:val="16"/>
                <w:szCs w:val="16"/>
                <w14:ligatures w14:val="none"/>
              </w:rPr>
              <w:fldChar w:fldCharType="end"/>
            </w:r>
          </w:p>
        </w:tc>
        <w:tc>
          <w:tcPr>
            <w:tcW w:w="594" w:type="pct"/>
            <w:shd w:val="clear" w:color="auto" w:fill="FFFFFF"/>
            <w:tcMar>
              <w:top w:w="30" w:type="dxa"/>
              <w:left w:w="45" w:type="dxa"/>
              <w:bottom w:w="30" w:type="dxa"/>
              <w:right w:w="45" w:type="dxa"/>
            </w:tcMar>
            <w:vAlign w:val="center"/>
            <w:hideMark/>
          </w:tcPr>
          <w:p w14:paraId="632F463B"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w:t>
            </w:r>
          </w:p>
        </w:tc>
        <w:tc>
          <w:tcPr>
            <w:tcW w:w="1103" w:type="pct"/>
            <w:shd w:val="clear" w:color="auto" w:fill="FFFFFF"/>
            <w:tcMar>
              <w:top w:w="30" w:type="dxa"/>
              <w:left w:w="45" w:type="dxa"/>
              <w:bottom w:w="30" w:type="dxa"/>
              <w:right w:w="45" w:type="dxa"/>
            </w:tcMar>
            <w:vAlign w:val="center"/>
            <w:hideMark/>
          </w:tcPr>
          <w:p w14:paraId="2FD42A1C"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30" w:type="pct"/>
            <w:shd w:val="clear" w:color="auto" w:fill="FFFFFF"/>
            <w:tcMar>
              <w:top w:w="30" w:type="dxa"/>
              <w:left w:w="45" w:type="dxa"/>
              <w:bottom w:w="30" w:type="dxa"/>
              <w:right w:w="45" w:type="dxa"/>
            </w:tcMar>
            <w:vAlign w:val="center"/>
          </w:tcPr>
          <w:p w14:paraId="79602F70"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978" w:type="pct"/>
            <w:shd w:val="clear" w:color="auto" w:fill="FFFFFF"/>
            <w:tcMar>
              <w:top w:w="30" w:type="dxa"/>
              <w:left w:w="45" w:type="dxa"/>
              <w:bottom w:w="30" w:type="dxa"/>
              <w:right w:w="45" w:type="dxa"/>
            </w:tcMar>
            <w:vAlign w:val="center"/>
          </w:tcPr>
          <w:p w14:paraId="7A08CF86"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719" w:type="pct"/>
            <w:shd w:val="clear" w:color="auto" w:fill="FFFFFF"/>
            <w:tcMar>
              <w:top w:w="30" w:type="dxa"/>
              <w:left w:w="45" w:type="dxa"/>
              <w:bottom w:w="30" w:type="dxa"/>
              <w:right w:w="45" w:type="dxa"/>
            </w:tcMar>
            <w:vAlign w:val="center"/>
          </w:tcPr>
          <w:p w14:paraId="3F0E40FD"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r>
      <w:tr w:rsidR="003933C5" w:rsidRPr="001F49E7" w14:paraId="26A7FBC6" w14:textId="77777777" w:rsidTr="001F49E7">
        <w:trPr>
          <w:trHeight w:val="600"/>
        </w:trPr>
        <w:tc>
          <w:tcPr>
            <w:tcW w:w="675" w:type="pct"/>
            <w:shd w:val="clear" w:color="auto" w:fill="FFFFFF"/>
            <w:tcMar>
              <w:top w:w="30" w:type="dxa"/>
              <w:left w:w="45" w:type="dxa"/>
              <w:bottom w:w="30" w:type="dxa"/>
              <w:right w:w="45" w:type="dxa"/>
            </w:tcMar>
            <w:vAlign w:val="center"/>
            <w:hideMark/>
          </w:tcPr>
          <w:p w14:paraId="4D6FA940" w14:textId="1E0D9496"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color w:val="000000" w:themeColor="text1"/>
                <w:kern w:val="0"/>
                <w:sz w:val="16"/>
                <w:szCs w:val="16"/>
                <w14:ligatures w14:val="none"/>
              </w:rPr>
              <w:t xml:space="preserve">M. Marzban 2024 </w:t>
            </w:r>
            <w:r w:rsidRPr="001F49E7">
              <w:rPr>
                <w:rFonts w:eastAsia="Times New Roman" w:cstheme="minorHAnsi"/>
                <w:color w:val="000000" w:themeColor="text1"/>
                <w:kern w:val="0"/>
                <w:sz w:val="16"/>
                <w:szCs w:val="16"/>
                <w14:ligatures w14:val="none"/>
              </w:rPr>
              <w:fldChar w:fldCharType="begin"/>
            </w:r>
            <w:r w:rsidR="00207711" w:rsidRPr="001F49E7">
              <w:rPr>
                <w:rFonts w:eastAsia="Times New Roman" w:cstheme="minorHAnsi"/>
                <w:color w:val="000000" w:themeColor="text1"/>
                <w:kern w:val="0"/>
                <w:sz w:val="16"/>
                <w:szCs w:val="16"/>
                <w14:ligatures w14:val="none"/>
              </w:rPr>
              <w:instrText xml:space="preserve"> ADDIN ZOTERO_ITEM CSL_CITATION {"citationID":"54ULEAIl","properties":{"unsorted":false,"formattedCitation":"(37)","plainCitation":"(37)","noteIndex":0},"citationItems":[{"id":103,"uris":["http://zotero.org/users/local/SBvLfXY8/items/VFXK5J4A"],"itemData":{"id":103,"type":"article-journal","abstract":"Multimorbidity, defined as the presence of two or more long-term health conditions in an individual, is one of the most significant challenges facing health systems worldwide. This study aimed to identify determinants of classes of multimorbidity among older adults in Iran.","container-title":"BMC Geriatrics","DOI":"10.1186/s12877-024-04848-y","ISSN":"1471-2318","issue":"1","journalAbbreviation":"BMC Geriatrics","page":"247","source":"BioMed Central","title":"Determinants of multimorbidity in older adults in Iran: a cross-sectional study using latent class analysis on the Bushehr Elderly Health (BEH) program","title-short":"Determinants of multimorbidity in older adults in Iran","volume":"24","author":[{"family":"Marzban","given":"Maryam"},{"family":"Jamshidi","given":"Ali"},{"family":"Khorrami","given":"Zahra"},{"family":"Hall","given":"Marlous"},{"family":"Batty","given":"Jonathan A."},{"family":"Farhadi","given":"Akram"},{"family":"Mahmudpour","given":"Mehdi"},{"family":"Gholizade","given":"Mohamad"},{"family":"Nabipour","given":"Iraj"},{"family":"Larijani","given":"Bagher"},{"family":"Afrashteh","given":"Sima"}],"issued":{"date-parts":[["2024",3,11]]}}}],"schema":"https://github.com/citation-style-language/schema/raw/master/csl-citation.json"} </w:instrText>
            </w:r>
            <w:r w:rsidRPr="001F49E7">
              <w:rPr>
                <w:rFonts w:eastAsia="Times New Roman" w:cstheme="minorHAnsi"/>
                <w:color w:val="000000" w:themeColor="text1"/>
                <w:kern w:val="0"/>
                <w:sz w:val="16"/>
                <w:szCs w:val="16"/>
                <w14:ligatures w14:val="none"/>
              </w:rPr>
              <w:fldChar w:fldCharType="separate"/>
            </w:r>
            <w:r w:rsidR="00207711" w:rsidRPr="001F49E7">
              <w:rPr>
                <w:rFonts w:ascii="Aptos" w:hAnsi="Aptos"/>
                <w:sz w:val="16"/>
              </w:rPr>
              <w:t>(37)</w:t>
            </w:r>
            <w:r w:rsidRPr="001F49E7">
              <w:rPr>
                <w:rFonts w:eastAsia="Times New Roman" w:cstheme="minorHAnsi"/>
                <w:color w:val="000000" w:themeColor="text1"/>
                <w:kern w:val="0"/>
                <w:sz w:val="16"/>
                <w:szCs w:val="16"/>
                <w14:ligatures w14:val="none"/>
              </w:rPr>
              <w:fldChar w:fldCharType="end"/>
            </w:r>
          </w:p>
        </w:tc>
        <w:tc>
          <w:tcPr>
            <w:tcW w:w="594" w:type="pct"/>
            <w:shd w:val="clear" w:color="auto" w:fill="FFFFFF"/>
            <w:tcMar>
              <w:top w:w="30" w:type="dxa"/>
              <w:left w:w="45" w:type="dxa"/>
              <w:bottom w:w="30" w:type="dxa"/>
              <w:right w:w="45" w:type="dxa"/>
            </w:tcMar>
            <w:vAlign w:val="center"/>
            <w:hideMark/>
          </w:tcPr>
          <w:p w14:paraId="4FBCCA40"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A Danish MET-based questionnaire</w:t>
            </w:r>
            <w:r w:rsidRPr="001F49E7">
              <w:rPr>
                <w:rFonts w:eastAsia="Times New Roman" w:cstheme="minorHAnsi"/>
                <w:kern w:val="0"/>
                <w:sz w:val="16"/>
                <w:szCs w:val="16"/>
                <w:vertAlign w:val="superscript"/>
                <w14:ligatures w14:val="none"/>
              </w:rPr>
              <w:t>1</w:t>
            </w:r>
            <w:r w:rsidRPr="001F49E7">
              <w:rPr>
                <w:rFonts w:eastAsia="Times New Roman" w:cstheme="minorHAnsi"/>
                <w:kern w:val="0"/>
                <w:sz w:val="16"/>
                <w:szCs w:val="16"/>
                <w14:ligatures w14:val="none"/>
              </w:rPr>
              <w:t xml:space="preserve"> </w:t>
            </w:r>
          </w:p>
        </w:tc>
        <w:tc>
          <w:tcPr>
            <w:tcW w:w="1103" w:type="pct"/>
            <w:shd w:val="clear" w:color="auto" w:fill="FFFFFF"/>
            <w:tcMar>
              <w:top w:w="30" w:type="dxa"/>
              <w:left w:w="45" w:type="dxa"/>
              <w:bottom w:w="30" w:type="dxa"/>
              <w:right w:w="45" w:type="dxa"/>
            </w:tcMar>
            <w:vAlign w:val="center"/>
            <w:hideMark/>
          </w:tcPr>
          <w:p w14:paraId="12BD6C54"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Sex</w:t>
            </w:r>
          </w:p>
        </w:tc>
        <w:tc>
          <w:tcPr>
            <w:tcW w:w="930" w:type="pct"/>
            <w:shd w:val="clear" w:color="auto" w:fill="FFFFFF"/>
            <w:tcMar>
              <w:top w:w="30" w:type="dxa"/>
              <w:left w:w="45" w:type="dxa"/>
              <w:bottom w:w="30" w:type="dxa"/>
              <w:right w:w="45" w:type="dxa"/>
            </w:tcMar>
            <w:vAlign w:val="center"/>
            <w:hideMark/>
          </w:tcPr>
          <w:p w14:paraId="07F180E6"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893 (76.9%); </w:t>
            </w:r>
            <w:r w:rsidRPr="001F49E7">
              <w:rPr>
                <w:rFonts w:eastAsia="Times New Roman" w:cstheme="minorHAnsi"/>
                <w:kern w:val="0"/>
                <w:sz w:val="16"/>
                <w:szCs w:val="16"/>
                <w14:ligatures w14:val="none"/>
              </w:rPr>
              <w:br/>
              <w:t>Female: 976 (77.2%)</w:t>
            </w:r>
          </w:p>
        </w:tc>
        <w:tc>
          <w:tcPr>
            <w:tcW w:w="978" w:type="pct"/>
            <w:shd w:val="clear" w:color="auto" w:fill="FFFFFF"/>
            <w:tcMar>
              <w:top w:w="30" w:type="dxa"/>
              <w:left w:w="45" w:type="dxa"/>
              <w:bottom w:w="30" w:type="dxa"/>
              <w:right w:w="45" w:type="dxa"/>
            </w:tcMar>
            <w:vAlign w:val="center"/>
            <w:hideMark/>
          </w:tcPr>
          <w:p w14:paraId="56EABBBD"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180 (15.5%); </w:t>
            </w:r>
            <w:r w:rsidRPr="001F49E7">
              <w:rPr>
                <w:rFonts w:eastAsia="Times New Roman" w:cstheme="minorHAnsi"/>
                <w:kern w:val="0"/>
                <w:sz w:val="16"/>
                <w:szCs w:val="16"/>
                <w14:ligatures w14:val="none"/>
              </w:rPr>
              <w:br/>
              <w:t>Female: 219 (17.3%)</w:t>
            </w:r>
          </w:p>
        </w:tc>
        <w:tc>
          <w:tcPr>
            <w:tcW w:w="719" w:type="pct"/>
            <w:shd w:val="clear" w:color="auto" w:fill="FFFFFF"/>
            <w:tcMar>
              <w:top w:w="30" w:type="dxa"/>
              <w:left w:w="45" w:type="dxa"/>
              <w:bottom w:w="30" w:type="dxa"/>
              <w:right w:w="45" w:type="dxa"/>
            </w:tcMar>
            <w:vAlign w:val="center"/>
            <w:hideMark/>
          </w:tcPr>
          <w:p w14:paraId="063126BE"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Male: 88 (7.6%); </w:t>
            </w:r>
            <w:r w:rsidRPr="001F49E7">
              <w:rPr>
                <w:rFonts w:eastAsia="Times New Roman" w:cstheme="minorHAnsi"/>
                <w:kern w:val="0"/>
                <w:sz w:val="16"/>
                <w:szCs w:val="16"/>
                <w14:ligatures w14:val="none"/>
              </w:rPr>
              <w:br/>
              <w:t>Female: 70 (5.5%)</w:t>
            </w:r>
          </w:p>
        </w:tc>
      </w:tr>
      <w:tr w:rsidR="003933C5" w:rsidRPr="001F49E7" w14:paraId="50319C91" w14:textId="77777777" w:rsidTr="001F49E7">
        <w:trPr>
          <w:trHeight w:val="600"/>
        </w:trPr>
        <w:tc>
          <w:tcPr>
            <w:tcW w:w="675" w:type="pct"/>
            <w:shd w:val="clear" w:color="auto" w:fill="FFFFFF"/>
            <w:tcMar>
              <w:top w:w="30" w:type="dxa"/>
              <w:left w:w="45" w:type="dxa"/>
              <w:bottom w:w="30" w:type="dxa"/>
              <w:right w:w="45" w:type="dxa"/>
            </w:tcMar>
            <w:vAlign w:val="center"/>
          </w:tcPr>
          <w:p w14:paraId="1572AFFA" w14:textId="747441B8"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J. </w:t>
            </w:r>
            <w:r w:rsidRPr="001F49E7">
              <w:rPr>
                <w:rFonts w:eastAsia="Times New Roman" w:cstheme="minorHAnsi"/>
                <w:color w:val="000000" w:themeColor="text1"/>
                <w:kern w:val="0"/>
                <w:sz w:val="16"/>
                <w:szCs w:val="16"/>
                <w14:ligatures w14:val="none"/>
              </w:rPr>
              <w:t>Hallajzadeh 2026</w:t>
            </w:r>
            <w:r w:rsidRPr="001F49E7">
              <w:rPr>
                <w:rFonts w:eastAsia="Times New Roman" w:cstheme="minorHAnsi"/>
                <w:kern w:val="0"/>
                <w:sz w:val="16"/>
                <w:szCs w:val="16"/>
                <w14:ligatures w14:val="none"/>
              </w:rPr>
              <w:t xml:space="preserve"> </w:t>
            </w:r>
            <w:r w:rsidRPr="001F49E7">
              <w:rPr>
                <w:rFonts w:eastAsia="Times New Roman" w:cstheme="minorHAnsi"/>
                <w:kern w:val="0"/>
                <w:sz w:val="16"/>
                <w:szCs w:val="16"/>
                <w14:ligatures w14:val="none"/>
              </w:rPr>
              <w:fldChar w:fldCharType="begin"/>
            </w:r>
            <w:r w:rsidRPr="001F49E7">
              <w:rPr>
                <w:rFonts w:eastAsia="Times New Roman" w:cstheme="minorHAnsi"/>
                <w:kern w:val="0"/>
                <w:sz w:val="16"/>
                <w:szCs w:val="16"/>
                <w14:ligatures w14:val="none"/>
              </w:rPr>
              <w:instrText xml:space="preserve"> ADDIN ZOTERO_ITEM CSL_CITATION {"citationID":"7cRbvax0","properties":{"unsorted":false,"formattedCitation":"(38)","plainCitation":"(38)","noteIndex":0},"citationItems":[{"id":232,"uris":["http://zotero.org/users/local/SBvLfXY8/items/CUMWN2AA"],"itemData":{"id":232,"type":"article-journal","abstract":"AIM: A community-based cross-sectional study was conducted to explore the association between Ultra-Processed Foods (UPFs) intake and the risk of frailty  among community-dwelling older adults. METHODS: The current study was conducted  on 368 community-dwelling older adults (with a mean age of 67.11</w:instrText>
            </w:r>
            <w:r w:rsidRPr="001F49E7">
              <w:rPr>
                <w:rFonts w:ascii="Arial" w:eastAsia="Times New Roman" w:hAnsi="Arial" w:cs="Arial"/>
                <w:kern w:val="0"/>
                <w:sz w:val="16"/>
                <w:szCs w:val="16"/>
                <w14:ligatures w14:val="none"/>
              </w:rPr>
              <w:instrText> </w:instrText>
            </w:r>
            <w:r w:rsidRPr="001F49E7">
              <w:rPr>
                <w:rFonts w:ascii="Aptos" w:eastAsia="Times New Roman" w:hAnsi="Aptos" w:cs="Aptos"/>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6.21 years, of  whom 55.2% were women) at health centers of Maragheh city in Iran. Body  composition was measured by a body composition analyzer and physical activity by  the short-form physical activity questionnaire. The UPFs intake were determined  using NOVA classification, based on a self-administered 147-item  semi-quantitative FFQ. Blood samples were derived for the evaluation of blood  parameters. Raw and adjusted logistic regression models were used to examine the  relationship between UPFs intake tertiles and the risk of frailty. RESULTS:  Outcomes showed that the overall prevalence of frailty was 96 (26.1%). Results  from the multivariable adjusted logistic regression model indicated that higher  UPFs intake was significantly associated with higher odds of frailty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2.15,  95% CI: 1.13-4.09,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0.019). Subgroup analysis also indicated that among men,  higher UPF intake was significantly related to higher odds of frailty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3.55,  95% CI: 1.20-10.51,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0.022), but not for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0.05). Additionally, the  results revealed that higher UPF intake was significantly associated with the  risk of exhaustion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3.97, 95% CI: 1.89-8.34,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especially among  men (OR</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9.89, 95% CI: 3.10-31.60,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&lt;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0.001), unlike women (P</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&gt;</w:instrText>
            </w:r>
            <w:r w:rsidRPr="001F49E7">
              <w:rPr>
                <w:rFonts w:ascii="Arial" w:eastAsia="Times New Roman" w:hAnsi="Arial" w:cs="Arial"/>
                <w:kern w:val="0"/>
                <w:sz w:val="16"/>
                <w:szCs w:val="16"/>
                <w14:ligatures w14:val="none"/>
              </w:rPr>
              <w:instrText> </w:instrText>
            </w:r>
            <w:r w:rsidRPr="001F49E7">
              <w:rPr>
                <w:rFonts w:eastAsia="Times New Roman" w:cstheme="minorHAnsi"/>
                <w:kern w:val="0"/>
                <w:sz w:val="16"/>
                <w:szCs w:val="16"/>
                <w14:ligatures w14:val="none"/>
              </w:rPr>
              <w:instrText xml:space="preserve">0.05). However,  there were no significant associations between UPFs intake and other components  of frailty, including the risk of weight loss, slowness, dominant hand grip  strength and low physical activity. CONCLUSIONS: The results highlighted that  higher UPFs intake was significantly associated with the risk of frailty and  exhaustion among community-dwelling older adults, especially for men. Future  large-scale prospective and interventional studies are warranted to validate  these associations and elucidate underlying biological mechanisms.","container-title":"Journal of health, population, and nutrition","DOI":"10.1186/s41043-025-01209-2","ISSN":"2072-1315 1606-0997","issue":"1","journalAbbreviation":"J Health Popul Nutr","language":"eng","license":"© 2025. The Author(s).","page":"30","PMID":"41449480","PMCID":"PMC12849376","publisher-place":"Bangladesh","title":"Association between ultra-processed foods intake and frailty risk in community-dwelling older adults.","volume":"45","author":[{"family":"Hallajzadeh","given":"Jamal"},{"family":"Yousefi Tanha","given":"Parasto"},{"family":"Azadnia","given":"Arian"},{"family":"Wong","given":"Alexei"},{"family":"Moradi","given":"Sajjad"}],"issued":{"date-parts":[["2025",12,25]]}}}],"schema":"https://github.com/citation-style-language/schema/raw/master/csl-citation.json"} </w:instrText>
            </w:r>
            <w:r w:rsidRPr="001F49E7">
              <w:rPr>
                <w:rFonts w:eastAsia="Times New Roman" w:cstheme="minorHAnsi"/>
                <w:kern w:val="0"/>
                <w:sz w:val="16"/>
                <w:szCs w:val="16"/>
                <w14:ligatures w14:val="none"/>
              </w:rPr>
              <w:fldChar w:fldCharType="separate"/>
            </w:r>
            <w:r w:rsidRPr="001F49E7">
              <w:rPr>
                <w:rFonts w:ascii="Aptos" w:hAnsi="Aptos"/>
                <w:sz w:val="16"/>
              </w:rPr>
              <w:t>(38)</w:t>
            </w:r>
            <w:r w:rsidRPr="001F49E7">
              <w:rPr>
                <w:rFonts w:eastAsia="Times New Roman" w:cstheme="minorHAnsi"/>
                <w:kern w:val="0"/>
                <w:sz w:val="16"/>
                <w:szCs w:val="16"/>
                <w14:ligatures w14:val="none"/>
              </w:rPr>
              <w:fldChar w:fldCharType="end"/>
            </w:r>
            <w:r w:rsidRPr="001F49E7">
              <w:rPr>
                <w:rFonts w:eastAsia="Times New Roman" w:cstheme="minorHAnsi"/>
                <w:kern w:val="0"/>
                <w:sz w:val="16"/>
                <w:szCs w:val="16"/>
                <w14:ligatures w14:val="none"/>
              </w:rPr>
              <w:t xml:space="preserve"> </w:t>
            </w:r>
          </w:p>
        </w:tc>
        <w:tc>
          <w:tcPr>
            <w:tcW w:w="594" w:type="pct"/>
            <w:shd w:val="clear" w:color="auto" w:fill="FFFFFF"/>
            <w:tcMar>
              <w:top w:w="30" w:type="dxa"/>
              <w:left w:w="45" w:type="dxa"/>
              <w:bottom w:w="30" w:type="dxa"/>
              <w:right w:w="45" w:type="dxa"/>
            </w:tcMar>
            <w:vAlign w:val="center"/>
          </w:tcPr>
          <w:p w14:paraId="6BD5C383"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IPAQ-SF</w:t>
            </w:r>
          </w:p>
        </w:tc>
        <w:tc>
          <w:tcPr>
            <w:tcW w:w="1103" w:type="pct"/>
            <w:shd w:val="clear" w:color="auto" w:fill="FFFFFF"/>
            <w:tcMar>
              <w:top w:w="30" w:type="dxa"/>
              <w:left w:w="45" w:type="dxa"/>
              <w:bottom w:w="30" w:type="dxa"/>
              <w:right w:w="45" w:type="dxa"/>
            </w:tcMar>
            <w:vAlign w:val="center"/>
          </w:tcPr>
          <w:p w14:paraId="2CE9C244"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Tertiles of ultra-processed food intake score</w:t>
            </w:r>
          </w:p>
        </w:tc>
        <w:tc>
          <w:tcPr>
            <w:tcW w:w="930" w:type="pct"/>
            <w:shd w:val="clear" w:color="auto" w:fill="FFFFFF"/>
            <w:tcMar>
              <w:top w:w="30" w:type="dxa"/>
              <w:left w:w="45" w:type="dxa"/>
              <w:bottom w:w="30" w:type="dxa"/>
              <w:right w:w="45" w:type="dxa"/>
            </w:tcMar>
            <w:vAlign w:val="center"/>
          </w:tcPr>
          <w:p w14:paraId="1ECE7E1A"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T1: 26 (21.1%);</w:t>
            </w:r>
          </w:p>
          <w:p w14:paraId="72C8654A"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T2: 38 (30.9%);</w:t>
            </w:r>
          </w:p>
          <w:p w14:paraId="0CE2AA6B"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T3: 30 (24.6%)</w:t>
            </w:r>
          </w:p>
        </w:tc>
        <w:tc>
          <w:tcPr>
            <w:tcW w:w="978" w:type="pct"/>
            <w:shd w:val="clear" w:color="auto" w:fill="FFFFFF"/>
            <w:tcMar>
              <w:top w:w="30" w:type="dxa"/>
              <w:left w:w="45" w:type="dxa"/>
              <w:bottom w:w="30" w:type="dxa"/>
              <w:right w:w="45" w:type="dxa"/>
            </w:tcMar>
            <w:vAlign w:val="center"/>
          </w:tcPr>
          <w:p w14:paraId="6EB078F3"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w:t>
            </w:r>
          </w:p>
        </w:tc>
        <w:tc>
          <w:tcPr>
            <w:tcW w:w="719" w:type="pct"/>
            <w:shd w:val="clear" w:color="auto" w:fill="FFFFFF"/>
            <w:tcMar>
              <w:top w:w="30" w:type="dxa"/>
              <w:left w:w="45" w:type="dxa"/>
              <w:bottom w:w="30" w:type="dxa"/>
              <w:right w:w="45" w:type="dxa"/>
            </w:tcMar>
            <w:vAlign w:val="center"/>
          </w:tcPr>
          <w:p w14:paraId="031CF752"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T1: 97 (78.9%);</w:t>
            </w:r>
          </w:p>
          <w:p w14:paraId="0948ADC7"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T2: 85 (69.1%);</w:t>
            </w:r>
          </w:p>
          <w:p w14:paraId="443F6C7C" w14:textId="77777777" w:rsidR="003933C5" w:rsidRPr="001F49E7" w:rsidRDefault="003933C5" w:rsidP="001F49E7">
            <w:pPr>
              <w:spacing w:after="0" w:line="240" w:lineRule="auto"/>
              <w:jc w:val="center"/>
              <w:rPr>
                <w:rFonts w:eastAsia="Times New Roman" w:cstheme="minorHAnsi"/>
                <w:kern w:val="0"/>
                <w:sz w:val="16"/>
                <w:szCs w:val="16"/>
                <w14:ligatures w14:val="none"/>
              </w:rPr>
            </w:pPr>
            <w:r w:rsidRPr="001F49E7">
              <w:rPr>
                <w:rFonts w:eastAsia="Times New Roman" w:cstheme="minorHAnsi"/>
                <w:kern w:val="0"/>
                <w:sz w:val="16"/>
                <w:szCs w:val="16"/>
                <w14:ligatures w14:val="none"/>
              </w:rPr>
              <w:t xml:space="preserve"> T3: 92 (75.4%)</w:t>
            </w:r>
          </w:p>
        </w:tc>
      </w:tr>
    </w:tbl>
    <w:p w14:paraId="0A46A828" w14:textId="58273F07" w:rsidR="003933C5" w:rsidRPr="001F49E7" w:rsidRDefault="003933C5" w:rsidP="001F49E7">
      <w:pPr>
        <w:jc w:val="both"/>
        <w:rPr>
          <w:rFonts w:eastAsia="Times New Roman" w:cstheme="minorHAnsi"/>
          <w:kern w:val="0"/>
          <w:sz w:val="16"/>
          <w:szCs w:val="16"/>
          <w14:ligatures w14:val="none"/>
        </w:rPr>
      </w:pPr>
      <w:r w:rsidRPr="001F49E7">
        <w:rPr>
          <w:vertAlign w:val="superscript"/>
        </w:rPr>
        <w:t xml:space="preserve">1 </w:t>
      </w:r>
      <w:r w:rsidRPr="001F49E7">
        <w:rPr>
          <w:rFonts w:eastAsia="Times New Roman" w:cstheme="minorHAnsi"/>
          <w:kern w:val="0"/>
          <w:sz w:val="16"/>
          <w:szCs w:val="16"/>
          <w14:ligatures w14:val="none"/>
        </w:rPr>
        <w:t xml:space="preserve">Validated by Adahl et al.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{"citationID":"vhZ01oNw","properties":{"formattedCitation":"(39)","plainCitation":"(39)","noteIndex":0},"citationItems":[{"id":"ulROLKvl/34Lr8cy5","uris":["http://zotero.org/users/16072611/items/MHEE8S9B"],"itemData":{"id":497,"type":"article-journal","abstract":"PURPOSE: Development and validation of a physical activity scale for measuring physical activity in 24 h of sports, work, and leisure time on an average weekday.\nMETHODS: For development of the physical activity scale, 2500 randomly selected Danish men and women between the age of 20 and 60 were contacted by mail and asked to select frequent and relevant physical activities from a number of activities of known MET intensity. The activities were included in the physical activity scale, organized in nine different MET levels ranging from sleep/rest (0.9 METs) to high-intensity physical activities (&gt;6 METs). Face validity of the physical activity scale was explored through interviews with 10 volunteer men and women. Concurrent validity was assessed against 4 d of accelerometry (CSA 7164) and physical activity diary in 40 volunteer men and women between 20 and 60 yr of age.\nRESULTS: The correlation between the activity scale and the diary was high (r = 0.74, P = 0.000), whereas correlation between the activity scale and accelerometer measurements was poor (r = 0.20, NS). The physical activity scale MET-time was systematically higher than average MET-time estimated from the diary, and the difference increased with increasing total MET-time.\nCONCLUSION: The physical activity scale appears to be a simple and valid alternative to measuring physical activity by diary in adult sedentary to moderately active Danes. The scale encompasses work, leisure time, and sports activity in one measure; it is easy to administer, and it provides detailed information on different activity levels as well as a single measure of the total amount of physical activity on an average weekday.","container-title":"Medicine and Science in Sports and Exercise","DOI":"10.1249/01.MSS.0000074446.02192.14","ISSN":"0195-9131","issue":"7","journalAbbreviation":"Med Sci Sports Exerc","language":"eng","page":"1196-1202","PMID":"12840642","source":"PubMed","title":"Validation of a new self-report instrument for measuring physical activity","volume":"35","author":[{"family":"Aadahl","given":"Mette"},{"family":"Jørgensen","given":"Torben"}],"issued":{"date-parts":[["2003",7]]}}}],"schema":"https://github.com/citation-style-language/schema/raw/master/csl-citation.json"}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(39)</w:t>
      </w:r>
      <w:r w:rsidRPr="001F49E7">
        <w:rPr>
          <w:rFonts w:eastAsia="Times New Roman" w:cstheme="minorHAnsi"/>
          <w:kern w:val="0"/>
          <w:sz w:val="16"/>
          <w:szCs w:val="16"/>
          <w14:ligatures w14:val="none"/>
        </w:rPr>
        <w:fldChar w:fldCharType="end"/>
      </w:r>
      <w:r w:rsidRPr="001F49E7">
        <w:rPr>
          <w:rFonts w:eastAsia="Times New Roman" w:cstheme="minorHAnsi"/>
          <w:kern w:val="0"/>
          <w:sz w:val="16"/>
          <w:szCs w:val="16"/>
          <w14:ligatures w14:val="none"/>
        </w:rPr>
        <w:t xml:space="preserve">, and further validated by Kelishadi et al. </w:t>
      </w:r>
      <w:r w:rsidRPr="001F49E7">
        <w:rPr>
          <w:rFonts w:eastAsia="Times New Roman" w:cstheme="minorHAnsi"/>
          <w:kern w:val="0"/>
          <w:sz w:val="16"/>
          <w:szCs w:val="16"/>
          <w14:ligatures w14:val="none"/>
        </w:rPr>
        <w:fldChar w:fldCharType="begin"/>
      </w:r>
      <w:r w:rsidR="00207711" w:rsidRPr="001F49E7">
        <w:rPr>
          <w:rFonts w:eastAsia="Times New Roman" w:cstheme="minorHAnsi"/>
          <w:kern w:val="0"/>
          <w:sz w:val="16"/>
          <w:szCs w:val="16"/>
          <w14:ligatures w14:val="none"/>
        </w:rPr>
        <w:instrText xml:space="preserve"> ADDIN ZOTERO_ITEM CSL_CITATION {"citationID":"WjAefFLP","properties":{"unsorted":false,"formattedCitation":"(40)","plainCitation":"(40)","noteIndex":0},"citationItems":[{"id":180,"uris":["http://zotero.org/users/local/SBvLfXY8/items/N4EGMTLS"],"itemData":{"id":180,"type":"article-journal","issue":"3(2):55-66","journalAbbreviation":"Journal of Shahrekord University of Medical Sciences","title":"Assessment of Physical Activity of Adolescents in Isfahan","URL":"https://sid.ir/paper/58480/en","author":[{"literal":"Kelishadi R., Rabiei K., Khosravi A., Famouri F., Sadeghi M., Rouhafza H., Shirani SH."}],"issued":{"date-parts":[["2001"]]}}}],"schema":"https://github.com/citation-style-language/schema/raw/master/csl-citation.json"} </w:instrText>
      </w:r>
      <w:r w:rsidRPr="001F49E7">
        <w:rPr>
          <w:rFonts w:eastAsia="Times New Roman" w:cstheme="minorHAnsi"/>
          <w:kern w:val="0"/>
          <w:sz w:val="16"/>
          <w:szCs w:val="16"/>
          <w14:ligatures w14:val="none"/>
        </w:rPr>
        <w:fldChar w:fldCharType="separate"/>
      </w:r>
      <w:r w:rsidR="00207711" w:rsidRPr="001F49E7">
        <w:rPr>
          <w:rFonts w:ascii="Aptos" w:hAnsi="Aptos"/>
          <w:sz w:val="16"/>
        </w:rPr>
        <w:t>(40)</w:t>
      </w:r>
      <w:r w:rsidRPr="001F49E7">
        <w:rPr>
          <w:rFonts w:eastAsia="Times New Roman" w:cstheme="minorHAnsi"/>
          <w:kern w:val="0"/>
          <w:sz w:val="16"/>
          <w:szCs w:val="16"/>
          <w14:ligatures w14:val="none"/>
        </w:rPr>
        <w:fldChar w:fldCharType="end"/>
      </w:r>
      <w:r w:rsidRPr="001F49E7">
        <w:rPr>
          <w:rFonts w:eastAsia="Times New Roman" w:cstheme="minorHAnsi"/>
          <w:kern w:val="0"/>
          <w:sz w:val="16"/>
          <w:szCs w:val="16"/>
          <w14:ligatures w14:val="none"/>
        </w:rPr>
        <w:t xml:space="preserve"> in the Iranian population</w:t>
      </w:r>
    </w:p>
    <w:p w14:paraId="26A742AF" w14:textId="0779BEC3" w:rsidR="001B416B" w:rsidRPr="001F49E7" w:rsidRDefault="003933C5" w:rsidP="001F49E7">
      <w:pPr>
        <w:jc w:val="both"/>
        <w:rPr>
          <w:i/>
          <w:iCs/>
          <w:sz w:val="18"/>
          <w:szCs w:val="18"/>
        </w:rPr>
      </w:pPr>
      <w:r w:rsidRPr="001F49E7">
        <w:rPr>
          <w:i/>
          <w:iCs/>
          <w:sz w:val="18"/>
          <w:szCs w:val="18"/>
        </w:rPr>
        <w:t>GPAQ: global physical activity questionnaire; HEPA: health-enhancing physical activity; IPAQ: international physical activity questionnaire;</w:t>
      </w:r>
      <w:r w:rsidR="0047188F" w:rsidRPr="001F49E7">
        <w:rPr>
          <w:i/>
          <w:iCs/>
          <w:sz w:val="18"/>
          <w:szCs w:val="18"/>
        </w:rPr>
        <w:t xml:space="preserve"> IPAQ-SF: short form IPAQ; </w:t>
      </w:r>
      <w:r w:rsidRPr="001F49E7">
        <w:rPr>
          <w:i/>
          <w:iCs/>
          <w:sz w:val="18"/>
          <w:szCs w:val="18"/>
        </w:rPr>
        <w:t xml:space="preserve"> MAQ: modifiable activity questionnaire; MET: metabolic equivalent; PA: physical activity</w:t>
      </w:r>
    </w:p>
    <w:p w14:paraId="60001D47" w14:textId="43F71A05" w:rsidR="002B0ADD" w:rsidRPr="001F49E7" w:rsidRDefault="002B0ADD" w:rsidP="001F49E7">
      <w:pPr>
        <w:jc w:val="both"/>
      </w:pPr>
      <w:r w:rsidRPr="001F49E7">
        <w:lastRenderedPageBreak/>
        <w:t>References</w:t>
      </w:r>
    </w:p>
    <w:p w14:paraId="22FC94FC" w14:textId="77777777" w:rsidR="002B0ADD" w:rsidRPr="001F49E7" w:rsidRDefault="002B0ADD" w:rsidP="001F49E7">
      <w:pPr>
        <w:jc w:val="both"/>
        <w:rPr>
          <w:i/>
          <w:iCs/>
          <w:sz w:val="18"/>
          <w:szCs w:val="18"/>
        </w:rPr>
      </w:pPr>
    </w:p>
    <w:p w14:paraId="7544304E" w14:textId="77777777" w:rsidR="00207711" w:rsidRPr="001F49E7" w:rsidRDefault="002B0ADD" w:rsidP="001F49E7">
      <w:pPr>
        <w:pStyle w:val="Bibliography"/>
      </w:pPr>
      <w:r w:rsidRPr="001F49E7">
        <w:fldChar w:fldCharType="begin"/>
      </w:r>
      <w:r w:rsidR="00207711" w:rsidRPr="001F49E7">
        <w:instrText xml:space="preserve"> ADDIN ZOTERO_BIBL {"uncited":[],"omitted":[],"custom":[]} CSL_BIBLIOGRAPHY </w:instrText>
      </w:r>
      <w:r w:rsidRPr="001F49E7">
        <w:fldChar w:fldCharType="separate"/>
      </w:r>
      <w:r w:rsidR="00207711" w:rsidRPr="001F49E7">
        <w:t>1.</w:t>
      </w:r>
      <w:r w:rsidR="00207711" w:rsidRPr="001F49E7">
        <w:tab/>
        <w:t>Momenan AA, Delshad M, Mirmiran P, Ghanbarian A, Azizi F. Leisure Time Physical Activity and Its Determinants among Adults in Tehran: Tehran Lipid and Glucose Study. Int J Prev Med. 2011 Dec;2(4):243. PubMed PMID: 22174964.</w:t>
      </w:r>
    </w:p>
    <w:p w14:paraId="53FE10E1" w14:textId="77777777" w:rsidR="00207711" w:rsidRPr="001F49E7" w:rsidRDefault="00207711" w:rsidP="001F49E7">
      <w:pPr>
        <w:pStyle w:val="Bibliography"/>
      </w:pPr>
      <w:r w:rsidRPr="001F49E7">
        <w:t>2.</w:t>
      </w:r>
      <w:r w:rsidRPr="001F49E7">
        <w:tab/>
        <w:t>Jessri M, Rashidkhani B, Hajizadeh B, Jessri M, Gotay C. Macronutrients, vitamins and minerals intake and risk of esophageal squamous cell carcinoma: a case-control study in Iran. Nutr J. 2011 Dec 20;10:137. doi:10.1186/1475-2891-10-137 PubMed PMID: 22185224; PubMed Central PMCID: PMC3260093.</w:t>
      </w:r>
    </w:p>
    <w:p w14:paraId="54DA5AFC" w14:textId="77777777" w:rsidR="00207711" w:rsidRPr="001F49E7" w:rsidRDefault="00207711" w:rsidP="001F49E7">
      <w:pPr>
        <w:pStyle w:val="Bibliography"/>
      </w:pPr>
      <w:r w:rsidRPr="001F49E7">
        <w:t>3.</w:t>
      </w:r>
      <w:r w:rsidRPr="001F49E7">
        <w:tab/>
        <w:t>Esmaeilzadeh S, Delavar MA, Basirat Z, Shafi H. Physical activity and body mass index among women who have experienced infertility. Arch Med Sci AMS. 2013 Jun 20;9(3):499–505. doi:10.5114/aoms.2013.35342 PubMed PMID: 23847673; PubMed Central PMCID: PMC3701979.</w:t>
      </w:r>
    </w:p>
    <w:p w14:paraId="57E147D1" w14:textId="77777777" w:rsidR="00207711" w:rsidRPr="001F49E7" w:rsidRDefault="00207711" w:rsidP="001F49E7">
      <w:pPr>
        <w:pStyle w:val="Bibliography"/>
      </w:pPr>
      <w:r w:rsidRPr="001F49E7">
        <w:t>4.</w:t>
      </w:r>
      <w:r w:rsidRPr="001F49E7">
        <w:tab/>
        <w:t>Sadeghi F, Miri N, Barikani A, Hossein Rashidi B, Ghasemi Nejad A, Hojaji E, et al. Comparison of Food intake, physical activity and weight in infertile and healthy women aged 25-40 years. Iran J Obstet Gynecol Infertil. 2015;18(173):32–40. doi:10.22038/ijogi.2015.6367</w:t>
      </w:r>
    </w:p>
    <w:p w14:paraId="788D07B2" w14:textId="77777777" w:rsidR="00207711" w:rsidRPr="001F49E7" w:rsidRDefault="00207711" w:rsidP="001F49E7">
      <w:pPr>
        <w:pStyle w:val="Bibliography"/>
      </w:pPr>
      <w:r w:rsidRPr="001F49E7">
        <w:t>5.</w:t>
      </w:r>
      <w:r w:rsidRPr="001F49E7">
        <w:tab/>
        <w:t>Pasdar Y, Rahimi F, Salehi M, Darbandi M, Nazar M, Niazi P, et al. The relationship between anthropometric indexes and blood biomarkers with fatty liver-a case-control study; Kermanshah, Iran. Vol. 8. 2016 Jul;8:12837–46.</w:t>
      </w:r>
    </w:p>
    <w:p w14:paraId="556D31A5" w14:textId="77777777" w:rsidR="00207711" w:rsidRPr="001F49E7" w:rsidRDefault="00207711" w:rsidP="001F49E7">
      <w:pPr>
        <w:pStyle w:val="Bibliography"/>
      </w:pPr>
      <w:r w:rsidRPr="001F49E7">
        <w:t>6.</w:t>
      </w:r>
      <w:r w:rsidRPr="001F49E7">
        <w:tab/>
        <w:t>Khademi N, Babanejad M, Asadmobini A, Karim H. The Association of Age and Gender with Risk Factors of Noncommunicable Diseases among Employees in West of Iran. Int J Prev Med. 2017 Feb 20;8:9. doi:10.4103/ijpvm.IJPVM_400_16 PubMed PMID: 28299033.</w:t>
      </w:r>
    </w:p>
    <w:p w14:paraId="59167C0E" w14:textId="77777777" w:rsidR="00207711" w:rsidRPr="001F49E7" w:rsidRDefault="00207711" w:rsidP="001F49E7">
      <w:pPr>
        <w:pStyle w:val="Bibliography"/>
      </w:pPr>
      <w:r w:rsidRPr="001F49E7">
        <w:t>7.</w:t>
      </w:r>
      <w:r w:rsidRPr="001F49E7">
        <w:tab/>
        <w:t>Noormohammadpour P, Mansournia MA, Koohpayehzadeh J, Asgari F, Rostami M, Rafei A, et al. Prevalence of Chronic Neck Pain, Low Back Pain, and Knee Pain and Their Related Factors in Community-Dwelling Adults in Iran: A Population-based National Study. Clin J Pain. 2017 Feb;33(2):181–7. doi:10.1097/AJP.0000000000000396 PubMed PMID: 27258995.</w:t>
      </w:r>
    </w:p>
    <w:p w14:paraId="4EA1FB41" w14:textId="77777777" w:rsidR="00207711" w:rsidRPr="001F49E7" w:rsidRDefault="00207711" w:rsidP="001F49E7">
      <w:pPr>
        <w:pStyle w:val="Bibliography"/>
      </w:pPr>
      <w:r w:rsidRPr="001F49E7">
        <w:t>8.</w:t>
      </w:r>
      <w:r w:rsidRPr="001F49E7">
        <w:tab/>
        <w:t>Shakiba E, Khademi N, Khoramdad M, Alimohamadi Y, Izadi N. Association of Body Mass Index with Dyslipidemia among the Government Staff of Kermanshah, Iran: A Cross-Sectional Study. Iran Red Crescent Med J IRCMJ. 2017 Aug 1;19(8):1–6. doi:10.5812/ircmj.58335</w:t>
      </w:r>
    </w:p>
    <w:p w14:paraId="3730C21B" w14:textId="77777777" w:rsidR="00207711" w:rsidRPr="001F49E7" w:rsidRDefault="00207711" w:rsidP="001F49E7">
      <w:pPr>
        <w:pStyle w:val="Bibliography"/>
      </w:pPr>
      <w:r w:rsidRPr="001F49E7">
        <w:lastRenderedPageBreak/>
        <w:t>9.</w:t>
      </w:r>
      <w:r w:rsidRPr="001F49E7">
        <w:tab/>
        <w:t>Mojtahedzadeh SM, Holakouie-Naieni K, Nematollahi S, Mazarei AH. Prevalence of Overweight and Obesity in the Personnel of Abadan Oil Refinery and Factors Related to It. J Sch Public Health Inst Public Health Res [Internet]. 2017;15(1). Available from: http://sjsph.tums.ac.ir/article-1-5477-fa.html</w:t>
      </w:r>
    </w:p>
    <w:p w14:paraId="64936950" w14:textId="77777777" w:rsidR="00207711" w:rsidRPr="001F49E7" w:rsidRDefault="00207711" w:rsidP="001F49E7">
      <w:pPr>
        <w:pStyle w:val="Bibliography"/>
      </w:pPr>
      <w:r w:rsidRPr="001F49E7">
        <w:t>10.</w:t>
      </w:r>
      <w:r w:rsidRPr="001F49E7">
        <w:tab/>
        <w:t>Gholizadeh F, Moludi J, Lotfi Yagin N, Alizadeh M, Mostafa Nachvak S, Abdollahzad H, et al. The relation of Dietary diversity score and food insecurity to metabolic syndrome features and glucose level among pre-diabetes subjects. Prim Care Diabetes. 2018 Aug;12(4):338–44. doi:10.1016/j.pcd.2018.03.003 PubMed PMID: 29650341.</w:t>
      </w:r>
    </w:p>
    <w:p w14:paraId="063C044C" w14:textId="77777777" w:rsidR="00207711" w:rsidRPr="001F49E7" w:rsidRDefault="00207711" w:rsidP="001F49E7">
      <w:pPr>
        <w:pStyle w:val="Bibliography"/>
      </w:pPr>
      <w:r w:rsidRPr="001F49E7">
        <w:t>11.</w:t>
      </w:r>
      <w:r w:rsidRPr="001F49E7">
        <w:tab/>
        <w:t>Hajian-Tilaki K, Heidari B. Metabolically healthy obese and unhealthy normal weight in Iranian adult population: Prevalence and the associated factors. Diabetes Metab Syndr. 2018;12(2):129–34. doi:10.1016/j.dsx.2017.11.005 PubMed PMID: 29196231.</w:t>
      </w:r>
    </w:p>
    <w:p w14:paraId="477D901B" w14:textId="77777777" w:rsidR="00207711" w:rsidRPr="001F49E7" w:rsidRDefault="00207711" w:rsidP="001F49E7">
      <w:pPr>
        <w:pStyle w:val="Bibliography"/>
      </w:pPr>
      <w:r w:rsidRPr="001F49E7">
        <w:t>12.</w:t>
      </w:r>
      <w:r w:rsidRPr="001F49E7">
        <w:tab/>
        <w:t>Sahebkar M, Heidarian Miri H, Noormohammadpour P, Tiyuri A, Pakzad R, Mansournia N, et al. Geographical Patterning of Physical Activity Prevalence in Iran: Spatial Analysis of 4 Pooled National Health Surveys Among 119,560 Adults. J Phys Act Health. 2019 Dec 1;16(12):1071–7. doi:10.1123/jpah.2019-0053 PubMed PMID: 31541069.</w:t>
      </w:r>
    </w:p>
    <w:p w14:paraId="370E3400" w14:textId="77777777" w:rsidR="00207711" w:rsidRPr="001F49E7" w:rsidRDefault="00207711" w:rsidP="001F49E7">
      <w:pPr>
        <w:pStyle w:val="Bibliography"/>
      </w:pPr>
      <w:r w:rsidRPr="001F49E7">
        <w:t>13.</w:t>
      </w:r>
      <w:r w:rsidRPr="001F49E7">
        <w:tab/>
        <w:t>Cheraghian B, Sharafkhah M, Mohammadi Z, Hariri S, Rahimi Z, Danehchin L, et al. The Khuzestan Comprehensive Health Study (KCHS): Methodology and Profile of Participants. Arch Iran Med. 2020 Oct 1;23(10):653–7. doi:10.34172/aim.2020.82 PubMed PMID: 33107305.</w:t>
      </w:r>
    </w:p>
    <w:p w14:paraId="36EDB5D3" w14:textId="77777777" w:rsidR="00207711" w:rsidRPr="001F49E7" w:rsidRDefault="00207711" w:rsidP="001F49E7">
      <w:pPr>
        <w:pStyle w:val="Bibliography"/>
      </w:pPr>
      <w:r w:rsidRPr="001F49E7">
        <w:t>14.</w:t>
      </w:r>
      <w:r w:rsidRPr="001F49E7">
        <w:tab/>
        <w:t>Najafipour H, Kahnooji M, Baneshi MR, Yeganeh M, Ahmadi Gohari M, Shadkam Farokhi M, et al. The Prevalence and 5-Year Incidence Rate of Low Physical Activity in an Urban Population of 10,000 in Southeastern Iran: Relationship With Other Cardiovascular Risk Factors. J Phys Act Health. 2020 Apr 1;17(4):435–42. doi:10.1123/jpah.2019-0426 PubMed PMID: 32109881.</w:t>
      </w:r>
    </w:p>
    <w:p w14:paraId="5865209D" w14:textId="77777777" w:rsidR="00207711" w:rsidRPr="001F49E7" w:rsidRDefault="00207711" w:rsidP="001F49E7">
      <w:pPr>
        <w:pStyle w:val="Bibliography"/>
      </w:pPr>
      <w:r w:rsidRPr="001F49E7">
        <w:t>15.</w:t>
      </w:r>
      <w:r w:rsidRPr="001F49E7">
        <w:tab/>
        <w:t>Abbaspoor Z, Miryan M, Haghighi</w:t>
      </w:r>
      <w:r w:rsidRPr="001F49E7">
        <w:rPr>
          <w:rFonts w:ascii="Cambria Math" w:hAnsi="Cambria Math" w:cs="Cambria Math"/>
        </w:rPr>
        <w:t>‐</w:t>
      </w:r>
      <w:r w:rsidRPr="001F49E7">
        <w:t>Zadeh M, Rashidi H, Sharifipoor F, Amani R. The prevalence of determinants of obesity, metabolic syndrome and overweight in middle-aged urban women living in a megacity. Fam Med Prim Care Rev. 2020;22(1):7–12. doi:10.5114/fmpcr.2020.92499</w:t>
      </w:r>
    </w:p>
    <w:p w14:paraId="3AA11362" w14:textId="77777777" w:rsidR="00207711" w:rsidRPr="001F49E7" w:rsidRDefault="00207711" w:rsidP="001F49E7">
      <w:pPr>
        <w:pStyle w:val="Bibliography"/>
      </w:pPr>
      <w:r w:rsidRPr="001F49E7">
        <w:t>16.</w:t>
      </w:r>
      <w:r w:rsidRPr="001F49E7">
        <w:tab/>
        <w:t>Bashirian S, Ouji Z, Afshari M, Barati M, Heydarimoghadam R, Soltanian A. Effect of an Educational Intervention Based on the BASNEF Model on Promoting Physical Activity Among Postpartum Women. Int Q Community Health Educ. 2020 Jan;40(2):151–8. doi:10.1177/0272684X19858897 PubMed PMID: 31242087.</w:t>
      </w:r>
    </w:p>
    <w:p w14:paraId="5071631A" w14:textId="77777777" w:rsidR="00207711" w:rsidRPr="001F49E7" w:rsidRDefault="00207711" w:rsidP="001F49E7">
      <w:pPr>
        <w:pStyle w:val="Bibliography"/>
      </w:pPr>
      <w:r w:rsidRPr="001F49E7">
        <w:lastRenderedPageBreak/>
        <w:t>17.</w:t>
      </w:r>
      <w:r w:rsidRPr="001F49E7">
        <w:tab/>
        <w:t>Kamalian A, Khosravi Shadmani F, Yoosefi M, Mohajer B, Mohebi F, Naderimagham S, et al. A national and sub-national metaregression of the trend of insufficient physical activity among Iranian adults between 2001 and 2016. Sci Rep. 2021 Nov 2;11(1):21441. doi:10.1038/s41598-021-00252-3 PubMed PMID: 34728645; PubMed Central PMCID: PMC8564525.</w:t>
      </w:r>
    </w:p>
    <w:p w14:paraId="28F3C7BF" w14:textId="77777777" w:rsidR="00207711" w:rsidRPr="001F49E7" w:rsidRDefault="00207711" w:rsidP="001F49E7">
      <w:pPr>
        <w:pStyle w:val="Bibliography"/>
      </w:pPr>
      <w:r w:rsidRPr="001F49E7">
        <w:t>18.</w:t>
      </w:r>
      <w:r w:rsidRPr="001F49E7">
        <w:tab/>
        <w:t>Mirzaei M, Mirzaei M, Gholami S, Abolhosseini H. Prevalence of hypertension and related risk factors in central Iran: Results from Yazd Health Study. ARYA Atheroscler. 2021 Jan;17(1):1–9. doi:10.22122/arya.v17i0.2045 PubMed PMID: 34703488; PubMed Central PMCID: PMC8519624.</w:t>
      </w:r>
    </w:p>
    <w:p w14:paraId="2B42A20F" w14:textId="77777777" w:rsidR="00207711" w:rsidRPr="001F49E7" w:rsidRDefault="00207711" w:rsidP="001F49E7">
      <w:pPr>
        <w:pStyle w:val="Bibliography"/>
      </w:pPr>
      <w:r w:rsidRPr="001F49E7">
        <w:t>19.</w:t>
      </w:r>
      <w:r w:rsidRPr="001F49E7">
        <w:tab/>
        <w:t>Ghafouri M, Teymourzadeh A, Nakhostin-Ansari A, Sepanlou SG, Dalvand S, Moradpour F, et al. Prevalence and predictors of low back pain among the Iranian population: Results from the Persian cohort study. Ann Med Surg 2012. 2022 Feb;74:103243. doi:10.1016/j.amsu.2022.103243 PubMed PMID: 35145656; PubMed Central PMCID: PMC8801351.</w:t>
      </w:r>
    </w:p>
    <w:p w14:paraId="364FF1B7" w14:textId="77777777" w:rsidR="00207711" w:rsidRPr="001F49E7" w:rsidRDefault="00207711" w:rsidP="001F49E7">
      <w:pPr>
        <w:pStyle w:val="Bibliography"/>
      </w:pPr>
      <w:r w:rsidRPr="001F49E7">
        <w:t>20.</w:t>
      </w:r>
      <w:r w:rsidRPr="001F49E7">
        <w:tab/>
        <w:t>Nakhostin-Ansari A, Akbari P, Selk-Ghaffari M, Memari AH, Vaez-Mahdavi MR, Asadi-Lari M. Physical Inactivity and Food Insecurity Are Associated with Social Capital: A Large-Scale Population-Based Study in Tehran. ScientificWorldJournal. 2022;2022:5410611. doi:10.1155/2022/5410611 PubMed PMID: 36398032; PubMed Central PMCID: PMC9666025.</w:t>
      </w:r>
    </w:p>
    <w:p w14:paraId="33F8D246" w14:textId="77777777" w:rsidR="00207711" w:rsidRPr="001F49E7" w:rsidRDefault="00207711" w:rsidP="001F49E7">
      <w:pPr>
        <w:pStyle w:val="Bibliography"/>
      </w:pPr>
      <w:r w:rsidRPr="001F49E7">
        <w:t>21.</w:t>
      </w:r>
      <w:r w:rsidRPr="001F49E7">
        <w:tab/>
        <w:t>Odland ML, Ismail S, Sepanlou SG, Poustchi H, Sadjadi A, Pourshams A, et al. Multimorbidity and associations with clinical outcomes in a middle-aged population in Iran: a longitudinal cohort study. BMJ Glob Health. 2022 May;7(5):e007278. doi:10.1136/bmjgh-2021-007278 PubMed PMID: 35550337; PubMed Central PMCID: PMC9109019.</w:t>
      </w:r>
    </w:p>
    <w:p w14:paraId="6BA78445" w14:textId="77777777" w:rsidR="00207711" w:rsidRPr="001F49E7" w:rsidRDefault="00207711" w:rsidP="001F49E7">
      <w:pPr>
        <w:pStyle w:val="Bibliography"/>
      </w:pPr>
      <w:r w:rsidRPr="001F49E7">
        <w:t>22.</w:t>
      </w:r>
      <w:r w:rsidRPr="001F49E7">
        <w:tab/>
        <w:t>Atefatfar A, Babajafari S, Mohammadifard N, Nouri F, Boshtam M, Sadeghi M, et al. A healthy diet, physical activity, or either in relation to cardiovascular and all-cause mortality: A prospective cohort study. Nutr Burbank Los Angel Cty Calif. 2023 Dec;116:112186. doi:10.1016/j.nut.2023.112186 PubMed PMID: 37678016.</w:t>
      </w:r>
    </w:p>
    <w:p w14:paraId="148A37CA" w14:textId="77777777" w:rsidR="00207711" w:rsidRPr="001F49E7" w:rsidRDefault="00207711" w:rsidP="001F49E7">
      <w:pPr>
        <w:pStyle w:val="Bibliography"/>
      </w:pPr>
      <w:r w:rsidRPr="001F49E7">
        <w:t>23.</w:t>
      </w:r>
      <w:r w:rsidRPr="001F49E7">
        <w:tab/>
        <w:t>Babaei M, Afrooghe A, Rafati A, Mohebbi B, Moosavi J, Ghadri N, et al. Prevalence and associated factors of chronic venous disease among the modern Iranian urban population. J Vasc Surg Venous Lymphat Disord. 2023 Nov;11(6):1098-1106.e10. doi:10.1016/j.jvsv.2023.06.005 PubMed PMID: 37690625.</w:t>
      </w:r>
    </w:p>
    <w:p w14:paraId="158B0971" w14:textId="77777777" w:rsidR="00207711" w:rsidRPr="001F49E7" w:rsidRDefault="00207711" w:rsidP="001F49E7">
      <w:pPr>
        <w:pStyle w:val="Bibliography"/>
      </w:pPr>
      <w:r w:rsidRPr="001F49E7">
        <w:t>24.</w:t>
      </w:r>
      <w:r w:rsidRPr="001F49E7">
        <w:tab/>
        <w:t>Razzaghi S, Farshbaf Khalili A, Nikniaz L, Nikniaz Z, Zeinalzadeh AH. Prevalence of Asthma in East Azerbaijan Adult Population and Its Determinants Factors: A Cross-Sectional Study from the Northwest of Iran. Tanaffos. 2023 Mar;22(3):325–31. PubMed PMID: 38638384; PubMed Central PMCID: PMC11022198.</w:t>
      </w:r>
    </w:p>
    <w:p w14:paraId="11F5EB5A" w14:textId="77777777" w:rsidR="00207711" w:rsidRPr="001F49E7" w:rsidRDefault="00207711" w:rsidP="001F49E7">
      <w:pPr>
        <w:pStyle w:val="Bibliography"/>
      </w:pPr>
      <w:r w:rsidRPr="001F49E7">
        <w:lastRenderedPageBreak/>
        <w:t>25.</w:t>
      </w:r>
      <w:r w:rsidRPr="001F49E7">
        <w:tab/>
        <w:t>Nejadghaderi SA, Ahmadi N, Rashidi MM, Ghanbari A, Noori M, Abbasi-Kangevari M, Nasserinejad M, Rezaei N, Yoosefi M, Fattahi N, Ghasemi E, Farzi Y, Abdolhamidi E, Darman M, Djalalinia S, Farzadfar F. Physical activity pattern in Iran: Findings from STEPS 2021 - PubMed. Front Public Health. 2023 Jan 4;10:1036219. doi:10.3389/fpubh.2022.1036219</w:t>
      </w:r>
    </w:p>
    <w:p w14:paraId="2252911F" w14:textId="77777777" w:rsidR="00207711" w:rsidRPr="001F49E7" w:rsidRDefault="00207711" w:rsidP="001F49E7">
      <w:pPr>
        <w:pStyle w:val="Bibliography"/>
      </w:pPr>
      <w:r w:rsidRPr="001F49E7">
        <w:t>26.</w:t>
      </w:r>
      <w:r w:rsidRPr="001F49E7">
        <w:tab/>
        <w:t>Mohammadi N, Doosti-Irani A, Cheraghi Z. Socioeconomic inequality in physical activity among adults in western Iran: a cross-sectional study. Int J Equity Health. 2024 Dec 27;23(1):273. doi:10.1186/s12939-024-02362-6</w:t>
      </w:r>
    </w:p>
    <w:p w14:paraId="5496194B" w14:textId="77777777" w:rsidR="00207711" w:rsidRPr="001F49E7" w:rsidRDefault="00207711" w:rsidP="001F49E7">
      <w:pPr>
        <w:pStyle w:val="Bibliography"/>
      </w:pPr>
      <w:r w:rsidRPr="001F49E7">
        <w:t>27.</w:t>
      </w:r>
      <w:r w:rsidRPr="001F49E7">
        <w:tab/>
        <w:t>Taherifard E, Taherifard E, Jeddi M, Ahmadkhani A, Kelishadi R, Poustchi H, et al. Prevalence of metabolically healthy obesity and healthy overweight and the associated factors in southern Iran: A population-based cross-sectional study. Health Sci Rep. 2024 Feb;7(2):e1909. doi:10.1002/hsr2.1909 PubMed PMID: 38361808; PubMed Central PMCID: PMC10867705.</w:t>
      </w:r>
    </w:p>
    <w:p w14:paraId="1D553395" w14:textId="77777777" w:rsidR="00207711" w:rsidRPr="001F49E7" w:rsidRDefault="00207711" w:rsidP="001F49E7">
      <w:pPr>
        <w:pStyle w:val="Bibliography"/>
      </w:pPr>
      <w:r w:rsidRPr="001F49E7">
        <w:t>28.</w:t>
      </w:r>
      <w:r w:rsidRPr="001F49E7">
        <w:tab/>
        <w:t>Sarebanhassanabadi M, Mirjalili SR, Marques-Vidal P, Kraemer A, Namayandeh SM. Coronary artery disease incidence, risk factors, awareness, and medication utilization in a 10-year cohort study. BMC Cardiovasc Disord. 2024 Feb 12;24(1):101. doi:10.1186/s12872-024-03769-3 PubMed PMID: 38347457; PubMed Central PMCID: PMC10863377.</w:t>
      </w:r>
    </w:p>
    <w:p w14:paraId="68A88CBB" w14:textId="77777777" w:rsidR="00207711" w:rsidRPr="001F49E7" w:rsidRDefault="00207711" w:rsidP="001F49E7">
      <w:pPr>
        <w:pStyle w:val="Bibliography"/>
      </w:pPr>
      <w:r w:rsidRPr="001F49E7">
        <w:t>29.</w:t>
      </w:r>
      <w:r w:rsidRPr="001F49E7">
        <w:tab/>
        <w:t>Ranjbar M, Avini NA, Shab-Bidar S. The association between ultra-processed food consumption and adiposity indexes in adults living in Tehran: a dose-response analysis within a cross-sectional study. BMC Public Health. 2025 Apr 25;25(1):1548. doi:10.1186/s12889-025-22812-2 PubMed PMID: 40281568; PubMed Central PMCID: PMC12023585.</w:t>
      </w:r>
    </w:p>
    <w:p w14:paraId="252BC537" w14:textId="77777777" w:rsidR="00207711" w:rsidRPr="001F49E7" w:rsidRDefault="00207711" w:rsidP="001F49E7">
      <w:pPr>
        <w:pStyle w:val="Bibliography"/>
      </w:pPr>
      <w:r w:rsidRPr="001F49E7">
        <w:t>30.</w:t>
      </w:r>
      <w:r w:rsidRPr="001F49E7">
        <w:tab/>
        <w:t>Lesani A, Zeraattalab-Motlagh S, Djafarian K, Majdi M, Akbarzade Z, Shab-Bidar S. Association of chrono-nutrition components with cardiometabolic health in a sample of Iranian adults: a cross-sectional study. Br J Nutr. 2025 Jan 14;133(1):94–106. doi:10.1017/S0007114524002745 PubMed PMID: 39562331.</w:t>
      </w:r>
    </w:p>
    <w:p w14:paraId="1B399C4F" w14:textId="77777777" w:rsidR="00207711" w:rsidRPr="001F49E7" w:rsidRDefault="00207711" w:rsidP="001F49E7">
      <w:pPr>
        <w:pStyle w:val="Bibliography"/>
      </w:pPr>
      <w:r w:rsidRPr="001F49E7">
        <w:t>31.</w:t>
      </w:r>
      <w:r w:rsidRPr="001F49E7">
        <w:tab/>
        <w:t>Kazemi T, Jafarizadeh R, Bizhaem SK, Bijari B, Karbasi S. Cardiovascular health metrics among an Iranian population: insights from life’s essential 8. BMC Cardiovasc Disord. 2026 Jan 27;26(1):170. doi:10.1186/s12872-025-05201-w PubMed PMID: 41593512; PubMed Central PMCID: PMC12918101.</w:t>
      </w:r>
    </w:p>
    <w:p w14:paraId="0C2E4790" w14:textId="77777777" w:rsidR="00207711" w:rsidRPr="001F49E7" w:rsidRDefault="00207711" w:rsidP="001F49E7">
      <w:pPr>
        <w:pStyle w:val="Bibliography"/>
      </w:pPr>
      <w:r w:rsidRPr="001F49E7">
        <w:t>32.</w:t>
      </w:r>
      <w:r w:rsidRPr="001F49E7">
        <w:tab/>
        <w:t>Jabbari M, Poursalehi D, Moradmand Z, Rashki A, Shahdadian F, Rouhani P, et al. Legumes and nuts intake in relation to sleep duration and quality, oxidative stress and inflammation in Iranian adults. Food Funct. 2026;17(4):2081–93. doi:10.1039/D5FO04053A</w:t>
      </w:r>
    </w:p>
    <w:p w14:paraId="667C1004" w14:textId="77777777" w:rsidR="00207711" w:rsidRPr="001F49E7" w:rsidRDefault="00207711" w:rsidP="001F49E7">
      <w:pPr>
        <w:pStyle w:val="Bibliography"/>
      </w:pPr>
      <w:r w:rsidRPr="001F49E7">
        <w:lastRenderedPageBreak/>
        <w:t>33.</w:t>
      </w:r>
      <w:r w:rsidRPr="001F49E7">
        <w:tab/>
        <w:t>Jabbarzadeh-Ganjeh B, Mirrafiei A, Norouziasl R, Ghaemi S, Bafkar N, Firouzi M, et al. Association of chrono-nutrition components with anthropometric measures and body composition in adults living in Tehran. Br J Nutr. 2026 Feb 14;135(3):335–48. doi:10.1017/S0007114525105047 PubMed PMID: 41347499.</w:t>
      </w:r>
    </w:p>
    <w:p w14:paraId="407F45D7" w14:textId="77777777" w:rsidR="00207711" w:rsidRPr="001F49E7" w:rsidRDefault="00207711" w:rsidP="001F49E7">
      <w:pPr>
        <w:pStyle w:val="Bibliography"/>
      </w:pPr>
      <w:r w:rsidRPr="001F49E7">
        <w:t>34.</w:t>
      </w:r>
      <w:r w:rsidRPr="001F49E7">
        <w:tab/>
        <w:t>Mostafavi F, Moradi G, Azadi N, Esmaeilnasab N, Roshani D. Using Oaxaca Decomposition to Study Socioeconomic Inequity of Physical Activity among Children Aged 10-12 Years: A Study in West of Iran. Int J Prev Med. 2019;10:83. doi:10.4103/ijpvm.IJPVM_222_17 PubMed PMID: 31198518; PubMed Central PMCID: PMC6547781.</w:t>
      </w:r>
    </w:p>
    <w:p w14:paraId="6DA72185" w14:textId="77777777" w:rsidR="00207711" w:rsidRPr="001F49E7" w:rsidRDefault="00207711" w:rsidP="001F49E7">
      <w:pPr>
        <w:pStyle w:val="Bibliography"/>
      </w:pPr>
      <w:r w:rsidRPr="001F49E7">
        <w:t>35.</w:t>
      </w:r>
      <w:r w:rsidRPr="001F49E7">
        <w:tab/>
        <w:t>Moradi G, Mostafavi F, Piroozi B, Zareie B, Mahboobi M, Rasouli MA. The prevalence of physical inactivity in Iranian adolescents and the impact of economic and social inequalities on it: results of a National Study in 2018. BMC Public Health. 2020 Oct 2;20(1):1499. doi:10.1186/s12889-020-09618-0 PubMed PMID: 33008338; PubMed Central PMCID: PMC7532599.</w:t>
      </w:r>
    </w:p>
    <w:p w14:paraId="3FBDD20B" w14:textId="77777777" w:rsidR="00207711" w:rsidRPr="001F49E7" w:rsidRDefault="00207711" w:rsidP="001F49E7">
      <w:pPr>
        <w:pStyle w:val="Bibliography"/>
      </w:pPr>
      <w:r w:rsidRPr="001F49E7">
        <w:t>36.</w:t>
      </w:r>
      <w:r w:rsidRPr="001F49E7">
        <w:tab/>
        <w:t>Amiri P, Naseri P, Vahedi-Notash G, Jalali-Farahani S, Mehrabi Y, Hamzavi-Zarghani N, et al. Trends of low physical activity among Iranian adolescents across urban and rural areas during 2006-2011. Sci Rep. 2020 Dec 7;10(1):21318. doi:10.1038/s41598-020-78048-0 PubMed PMID: 33288806; PubMed Central PMCID: PMC7721745.</w:t>
      </w:r>
    </w:p>
    <w:p w14:paraId="702FCB08" w14:textId="77777777" w:rsidR="00207711" w:rsidRPr="001F49E7" w:rsidRDefault="00207711" w:rsidP="001F49E7">
      <w:pPr>
        <w:pStyle w:val="Bibliography"/>
      </w:pPr>
      <w:r w:rsidRPr="001F49E7">
        <w:t>37.</w:t>
      </w:r>
      <w:r w:rsidRPr="001F49E7">
        <w:tab/>
        <w:t>Marzban M, Jamshidi A, Khorrami Z, Hall M, Batty JA, Farhadi A, et al. Determinants of multimorbidity in older adults in Iran: a cross-sectional study using latent class analysis on the Bushehr Elderly Health (BEH) program. BMC Geriatr. 2024 Mar 11;24(1):247. doi:10.1186/s12877-024-04848-y</w:t>
      </w:r>
    </w:p>
    <w:p w14:paraId="748CE658" w14:textId="77777777" w:rsidR="00207711" w:rsidRPr="001F49E7" w:rsidRDefault="00207711" w:rsidP="001F49E7">
      <w:pPr>
        <w:pStyle w:val="Bibliography"/>
      </w:pPr>
      <w:r w:rsidRPr="001F49E7">
        <w:t>38.</w:t>
      </w:r>
      <w:r w:rsidRPr="001F49E7">
        <w:tab/>
        <w:t>Hallajzadeh J, Yousefi Tanha P, Azadnia A, Wong A, Moradi S. Association between ultra-processed foods intake and frailty risk in community-dwelling older adults. J Health Popul Nutr. 2025 Dec 25;45(1):30. doi:10.1186/s41043-025-01209-2 PubMed PMID: 41449480; PubMed Central PMCID: PMC12849376.</w:t>
      </w:r>
    </w:p>
    <w:p w14:paraId="5C6DA24C" w14:textId="77777777" w:rsidR="00207711" w:rsidRPr="001F49E7" w:rsidRDefault="00207711" w:rsidP="001F49E7">
      <w:pPr>
        <w:pStyle w:val="Bibliography"/>
      </w:pPr>
      <w:r w:rsidRPr="001F49E7">
        <w:t>39.</w:t>
      </w:r>
      <w:r w:rsidRPr="001F49E7">
        <w:tab/>
        <w:t>Aadahl M, Jørgensen T. Validation of a new self-report instrument for measuring physical activity. Med Sci Sports Exerc. 2003 Jul;35(7):1196–202. doi:10.1249/01.MSS.0000074446.02192.14 PubMed PMID: 12840642.</w:t>
      </w:r>
    </w:p>
    <w:p w14:paraId="74F81FD6" w14:textId="77777777" w:rsidR="00207711" w:rsidRPr="001F49E7" w:rsidRDefault="00207711" w:rsidP="001F49E7">
      <w:pPr>
        <w:pStyle w:val="Bibliography"/>
      </w:pPr>
      <w:r w:rsidRPr="001F49E7">
        <w:t>40.</w:t>
      </w:r>
      <w:r w:rsidRPr="001F49E7">
        <w:tab/>
        <w:t>Kelishadi R., Rabiei K., Khosravi A., Famouri F., Sadeghi M., Rouhafza H., Shirani SH. Assessment of Physical Activity of Adolescents in Isfahan [Internet]. 2001;(3(2):55-66). Available from: https://sid.ir/paper/58480/en</w:t>
      </w:r>
    </w:p>
    <w:p w14:paraId="6DEA59F6" w14:textId="77777777" w:rsidR="00207711" w:rsidRPr="001F49E7" w:rsidRDefault="00207711" w:rsidP="001F49E7">
      <w:pPr>
        <w:pStyle w:val="Bibliography"/>
      </w:pPr>
      <w:r w:rsidRPr="001F49E7">
        <w:lastRenderedPageBreak/>
        <w:t>41.</w:t>
      </w:r>
      <w:r w:rsidRPr="001F49E7">
        <w:tab/>
        <w:t>Sepanlou SG, Etemadi A, Kamangar F, Sepehr A, Pourshams A, Poustchi H, et al. The gastro-esophageal malignancies in Northern Iran research project: impact on the health research and health care systems in Iran. Arch Iran Med. 2013 Jan;16(1):46–53. PubMed PMID: 23273237; PubMed Central PMCID: PMC3659328.</w:t>
      </w:r>
    </w:p>
    <w:p w14:paraId="528A3112" w14:textId="77777777" w:rsidR="00207711" w:rsidRPr="001F49E7" w:rsidRDefault="00207711" w:rsidP="001F49E7">
      <w:pPr>
        <w:pStyle w:val="Bibliography"/>
      </w:pPr>
      <w:r w:rsidRPr="001F49E7">
        <w:t>42.</w:t>
      </w:r>
      <w:r w:rsidRPr="001F49E7">
        <w:tab/>
        <w:t>Delshad M, Ghanbarian A, Ghaleh NR, Amirshekari G, Askari S, Azizi F. Reliability and Validity of the Modifiable Activity Questionnaire for an Iranian Urban Adolescent Population. Int J Prev Med. 2015 Jan 15;6:3. doi:10.4103/2008-7802.151433 PubMed PMID: 25789138; PubMed Central PMCID: PMC4362275.</w:t>
      </w:r>
    </w:p>
    <w:p w14:paraId="652E2DD5" w14:textId="1D086E4A" w:rsidR="00BB4199" w:rsidRDefault="002B0ADD" w:rsidP="001F49E7">
      <w:r w:rsidRPr="001F49E7">
        <w:fldChar w:fldCharType="end"/>
      </w:r>
    </w:p>
    <w:sectPr w:rsidR="00BB4199" w:rsidSect="002B0AD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2C04"/>
    <w:multiLevelType w:val="multilevel"/>
    <w:tmpl w:val="C790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C5FEF"/>
    <w:multiLevelType w:val="hybridMultilevel"/>
    <w:tmpl w:val="128CCA34"/>
    <w:lvl w:ilvl="0" w:tplc="EBC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B24A2"/>
    <w:multiLevelType w:val="multilevel"/>
    <w:tmpl w:val="0B1A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8B78E8"/>
    <w:multiLevelType w:val="multilevel"/>
    <w:tmpl w:val="4CAA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2954E0"/>
    <w:multiLevelType w:val="hybridMultilevel"/>
    <w:tmpl w:val="128CC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06A6343"/>
    <w:multiLevelType w:val="multilevel"/>
    <w:tmpl w:val="99E0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05976"/>
    <w:multiLevelType w:val="multilevel"/>
    <w:tmpl w:val="BF24416A"/>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407680">
    <w:abstractNumId w:val="2"/>
  </w:num>
  <w:num w:numId="2" w16cid:durableId="1753820306">
    <w:abstractNumId w:val="0"/>
  </w:num>
  <w:num w:numId="3" w16cid:durableId="183445928">
    <w:abstractNumId w:val="3"/>
  </w:num>
  <w:num w:numId="4" w16cid:durableId="117260232">
    <w:abstractNumId w:val="6"/>
  </w:num>
  <w:num w:numId="5" w16cid:durableId="895822656">
    <w:abstractNumId w:val="1"/>
  </w:num>
  <w:num w:numId="6" w16cid:durableId="1326396510">
    <w:abstractNumId w:val="4"/>
  </w:num>
  <w:num w:numId="7" w16cid:durableId="990134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ADD"/>
    <w:rsid w:val="00002C99"/>
    <w:rsid w:val="00004E98"/>
    <w:rsid w:val="00005847"/>
    <w:rsid w:val="00005D8C"/>
    <w:rsid w:val="0001473F"/>
    <w:rsid w:val="00016C1B"/>
    <w:rsid w:val="000244F6"/>
    <w:rsid w:val="00030D84"/>
    <w:rsid w:val="00032860"/>
    <w:rsid w:val="000473E3"/>
    <w:rsid w:val="0005079C"/>
    <w:rsid w:val="00067DB7"/>
    <w:rsid w:val="00075949"/>
    <w:rsid w:val="00077BD1"/>
    <w:rsid w:val="000821B7"/>
    <w:rsid w:val="00093AEF"/>
    <w:rsid w:val="00095FAD"/>
    <w:rsid w:val="00097F30"/>
    <w:rsid w:val="000A30AC"/>
    <w:rsid w:val="000A4C15"/>
    <w:rsid w:val="000B1E20"/>
    <w:rsid w:val="000B2095"/>
    <w:rsid w:val="000C41D6"/>
    <w:rsid w:val="000D258B"/>
    <w:rsid w:val="000D2A6C"/>
    <w:rsid w:val="000F3CB4"/>
    <w:rsid w:val="00105F74"/>
    <w:rsid w:val="001077DD"/>
    <w:rsid w:val="0013527A"/>
    <w:rsid w:val="00135D07"/>
    <w:rsid w:val="001378AC"/>
    <w:rsid w:val="00140B71"/>
    <w:rsid w:val="001473D5"/>
    <w:rsid w:val="001507C7"/>
    <w:rsid w:val="00152BBA"/>
    <w:rsid w:val="00153D95"/>
    <w:rsid w:val="00160736"/>
    <w:rsid w:val="00160C35"/>
    <w:rsid w:val="001655DF"/>
    <w:rsid w:val="00171A39"/>
    <w:rsid w:val="0017244A"/>
    <w:rsid w:val="00174E9E"/>
    <w:rsid w:val="001766E5"/>
    <w:rsid w:val="00183507"/>
    <w:rsid w:val="00184032"/>
    <w:rsid w:val="001A0797"/>
    <w:rsid w:val="001B2516"/>
    <w:rsid w:val="001B416B"/>
    <w:rsid w:val="001B561E"/>
    <w:rsid w:val="001C6811"/>
    <w:rsid w:val="001D3151"/>
    <w:rsid w:val="001D4073"/>
    <w:rsid w:val="001E0B46"/>
    <w:rsid w:val="001E428D"/>
    <w:rsid w:val="001F1271"/>
    <w:rsid w:val="001F49E7"/>
    <w:rsid w:val="001F682E"/>
    <w:rsid w:val="001F6E79"/>
    <w:rsid w:val="001F7B79"/>
    <w:rsid w:val="002051DA"/>
    <w:rsid w:val="00207711"/>
    <w:rsid w:val="00214C7A"/>
    <w:rsid w:val="0021633A"/>
    <w:rsid w:val="00225270"/>
    <w:rsid w:val="00226C08"/>
    <w:rsid w:val="00237C32"/>
    <w:rsid w:val="00240A86"/>
    <w:rsid w:val="002416C8"/>
    <w:rsid w:val="00241BD4"/>
    <w:rsid w:val="00242104"/>
    <w:rsid w:val="00246156"/>
    <w:rsid w:val="00254014"/>
    <w:rsid w:val="0026325F"/>
    <w:rsid w:val="00264541"/>
    <w:rsid w:val="00264555"/>
    <w:rsid w:val="0026705C"/>
    <w:rsid w:val="00272515"/>
    <w:rsid w:val="00277416"/>
    <w:rsid w:val="00292E3E"/>
    <w:rsid w:val="0029477F"/>
    <w:rsid w:val="00296846"/>
    <w:rsid w:val="002A68AF"/>
    <w:rsid w:val="002A7701"/>
    <w:rsid w:val="002B0ADD"/>
    <w:rsid w:val="002B167B"/>
    <w:rsid w:val="002B2557"/>
    <w:rsid w:val="002B5C4A"/>
    <w:rsid w:val="002C295D"/>
    <w:rsid w:val="002C3BA5"/>
    <w:rsid w:val="002C5A90"/>
    <w:rsid w:val="002D0DCF"/>
    <w:rsid w:val="002D245C"/>
    <w:rsid w:val="002E2629"/>
    <w:rsid w:val="002E612E"/>
    <w:rsid w:val="00300410"/>
    <w:rsid w:val="003030F8"/>
    <w:rsid w:val="00310BC1"/>
    <w:rsid w:val="003121C1"/>
    <w:rsid w:val="00320E85"/>
    <w:rsid w:val="00321251"/>
    <w:rsid w:val="00323E5B"/>
    <w:rsid w:val="00327CF0"/>
    <w:rsid w:val="003300D0"/>
    <w:rsid w:val="00342521"/>
    <w:rsid w:val="00345435"/>
    <w:rsid w:val="00370FF8"/>
    <w:rsid w:val="00371AC4"/>
    <w:rsid w:val="00371EE6"/>
    <w:rsid w:val="00376346"/>
    <w:rsid w:val="003769F6"/>
    <w:rsid w:val="0038444D"/>
    <w:rsid w:val="003933C5"/>
    <w:rsid w:val="003A0A3A"/>
    <w:rsid w:val="003A4F74"/>
    <w:rsid w:val="003A57A0"/>
    <w:rsid w:val="003A7A91"/>
    <w:rsid w:val="003B7C1F"/>
    <w:rsid w:val="003C2A79"/>
    <w:rsid w:val="003C2F3B"/>
    <w:rsid w:val="003C787B"/>
    <w:rsid w:val="003D1BAF"/>
    <w:rsid w:val="003D425C"/>
    <w:rsid w:val="003E0DB0"/>
    <w:rsid w:val="003F052A"/>
    <w:rsid w:val="003F4219"/>
    <w:rsid w:val="003F4C14"/>
    <w:rsid w:val="003F4EB2"/>
    <w:rsid w:val="004013F0"/>
    <w:rsid w:val="00401924"/>
    <w:rsid w:val="00405AFC"/>
    <w:rsid w:val="00405BED"/>
    <w:rsid w:val="00423384"/>
    <w:rsid w:val="00435A1C"/>
    <w:rsid w:val="00442507"/>
    <w:rsid w:val="0044257D"/>
    <w:rsid w:val="00447CB7"/>
    <w:rsid w:val="00460001"/>
    <w:rsid w:val="00467859"/>
    <w:rsid w:val="0047188F"/>
    <w:rsid w:val="00474DCE"/>
    <w:rsid w:val="00475115"/>
    <w:rsid w:val="00476AB3"/>
    <w:rsid w:val="00481F5E"/>
    <w:rsid w:val="00492A72"/>
    <w:rsid w:val="00496657"/>
    <w:rsid w:val="004A0D88"/>
    <w:rsid w:val="004B5D35"/>
    <w:rsid w:val="004C4949"/>
    <w:rsid w:val="004C66EB"/>
    <w:rsid w:val="004E0E1B"/>
    <w:rsid w:val="004F5686"/>
    <w:rsid w:val="00501147"/>
    <w:rsid w:val="00505A47"/>
    <w:rsid w:val="00507ABE"/>
    <w:rsid w:val="005212E2"/>
    <w:rsid w:val="005374BA"/>
    <w:rsid w:val="00541D3C"/>
    <w:rsid w:val="00542E72"/>
    <w:rsid w:val="0055423A"/>
    <w:rsid w:val="005608FA"/>
    <w:rsid w:val="00564141"/>
    <w:rsid w:val="00565F81"/>
    <w:rsid w:val="005743B1"/>
    <w:rsid w:val="00587B79"/>
    <w:rsid w:val="00587EC3"/>
    <w:rsid w:val="005A7582"/>
    <w:rsid w:val="005B4C78"/>
    <w:rsid w:val="005B6958"/>
    <w:rsid w:val="005C2492"/>
    <w:rsid w:val="005C68B1"/>
    <w:rsid w:val="005C7E41"/>
    <w:rsid w:val="005D2022"/>
    <w:rsid w:val="005D3D65"/>
    <w:rsid w:val="005D6C91"/>
    <w:rsid w:val="005E1F4F"/>
    <w:rsid w:val="005E3EA4"/>
    <w:rsid w:val="005E6AB9"/>
    <w:rsid w:val="005E79E0"/>
    <w:rsid w:val="005F24DC"/>
    <w:rsid w:val="00602511"/>
    <w:rsid w:val="0061357A"/>
    <w:rsid w:val="00623A7A"/>
    <w:rsid w:val="0064245B"/>
    <w:rsid w:val="006434A5"/>
    <w:rsid w:val="00650CE5"/>
    <w:rsid w:val="00651BD8"/>
    <w:rsid w:val="0065382F"/>
    <w:rsid w:val="00666F4B"/>
    <w:rsid w:val="00671EBB"/>
    <w:rsid w:val="0067614D"/>
    <w:rsid w:val="00677374"/>
    <w:rsid w:val="00694998"/>
    <w:rsid w:val="006A2D8C"/>
    <w:rsid w:val="006B4BCF"/>
    <w:rsid w:val="006C0B55"/>
    <w:rsid w:val="006C7003"/>
    <w:rsid w:val="006D162A"/>
    <w:rsid w:val="006D3366"/>
    <w:rsid w:val="006D412B"/>
    <w:rsid w:val="006E7ADA"/>
    <w:rsid w:val="006F1B70"/>
    <w:rsid w:val="006F6286"/>
    <w:rsid w:val="00704591"/>
    <w:rsid w:val="00713433"/>
    <w:rsid w:val="00743A36"/>
    <w:rsid w:val="007577D9"/>
    <w:rsid w:val="00766D10"/>
    <w:rsid w:val="00766E72"/>
    <w:rsid w:val="007671EB"/>
    <w:rsid w:val="00770B51"/>
    <w:rsid w:val="00771307"/>
    <w:rsid w:val="00775A29"/>
    <w:rsid w:val="007911AE"/>
    <w:rsid w:val="007946A9"/>
    <w:rsid w:val="007A0269"/>
    <w:rsid w:val="007B2692"/>
    <w:rsid w:val="007B318B"/>
    <w:rsid w:val="007B3ED0"/>
    <w:rsid w:val="007B3F91"/>
    <w:rsid w:val="007B584B"/>
    <w:rsid w:val="007C705E"/>
    <w:rsid w:val="007E49A6"/>
    <w:rsid w:val="007E5DD0"/>
    <w:rsid w:val="00814B63"/>
    <w:rsid w:val="00814F5B"/>
    <w:rsid w:val="008164DB"/>
    <w:rsid w:val="00820438"/>
    <w:rsid w:val="00825E88"/>
    <w:rsid w:val="00832A7C"/>
    <w:rsid w:val="0083484B"/>
    <w:rsid w:val="00844A02"/>
    <w:rsid w:val="008459A3"/>
    <w:rsid w:val="008504DC"/>
    <w:rsid w:val="00872E8A"/>
    <w:rsid w:val="00874E2C"/>
    <w:rsid w:val="008767DB"/>
    <w:rsid w:val="0088257F"/>
    <w:rsid w:val="008840F5"/>
    <w:rsid w:val="00885717"/>
    <w:rsid w:val="0088721B"/>
    <w:rsid w:val="00892AAB"/>
    <w:rsid w:val="008939CE"/>
    <w:rsid w:val="008951D1"/>
    <w:rsid w:val="008A31AE"/>
    <w:rsid w:val="008B7FEA"/>
    <w:rsid w:val="008C09F7"/>
    <w:rsid w:val="008C25DB"/>
    <w:rsid w:val="008C57D6"/>
    <w:rsid w:val="008C7F93"/>
    <w:rsid w:val="008D32A3"/>
    <w:rsid w:val="008E01F5"/>
    <w:rsid w:val="008E1AD3"/>
    <w:rsid w:val="008E3398"/>
    <w:rsid w:val="008E42AB"/>
    <w:rsid w:val="008E6B94"/>
    <w:rsid w:val="008F25A0"/>
    <w:rsid w:val="0090342B"/>
    <w:rsid w:val="00914EFF"/>
    <w:rsid w:val="009212CB"/>
    <w:rsid w:val="00932B98"/>
    <w:rsid w:val="0093350E"/>
    <w:rsid w:val="00940553"/>
    <w:rsid w:val="0094158F"/>
    <w:rsid w:val="00945B8A"/>
    <w:rsid w:val="00947C7A"/>
    <w:rsid w:val="00951081"/>
    <w:rsid w:val="00951A4D"/>
    <w:rsid w:val="00951F1D"/>
    <w:rsid w:val="00963B3A"/>
    <w:rsid w:val="00991040"/>
    <w:rsid w:val="009A61CD"/>
    <w:rsid w:val="009A7322"/>
    <w:rsid w:val="009B3431"/>
    <w:rsid w:val="009B3C29"/>
    <w:rsid w:val="009B4DE1"/>
    <w:rsid w:val="009C41BB"/>
    <w:rsid w:val="009C48BF"/>
    <w:rsid w:val="009C61A8"/>
    <w:rsid w:val="009D1848"/>
    <w:rsid w:val="009D5518"/>
    <w:rsid w:val="009D5E35"/>
    <w:rsid w:val="009E2921"/>
    <w:rsid w:val="00A15836"/>
    <w:rsid w:val="00A1595F"/>
    <w:rsid w:val="00A21F61"/>
    <w:rsid w:val="00A22249"/>
    <w:rsid w:val="00A23DEB"/>
    <w:rsid w:val="00A23EF1"/>
    <w:rsid w:val="00A43AC0"/>
    <w:rsid w:val="00A463AD"/>
    <w:rsid w:val="00A5755D"/>
    <w:rsid w:val="00A604D3"/>
    <w:rsid w:val="00A72E95"/>
    <w:rsid w:val="00A7779F"/>
    <w:rsid w:val="00A814E9"/>
    <w:rsid w:val="00A81E0B"/>
    <w:rsid w:val="00AA7C00"/>
    <w:rsid w:val="00AB05BE"/>
    <w:rsid w:val="00AB4B7D"/>
    <w:rsid w:val="00AC204B"/>
    <w:rsid w:val="00AC2C93"/>
    <w:rsid w:val="00AD1E4E"/>
    <w:rsid w:val="00AD1E8E"/>
    <w:rsid w:val="00AD3529"/>
    <w:rsid w:val="00AD543A"/>
    <w:rsid w:val="00AE6045"/>
    <w:rsid w:val="00AE6BE3"/>
    <w:rsid w:val="00AF6866"/>
    <w:rsid w:val="00B3771D"/>
    <w:rsid w:val="00B5024A"/>
    <w:rsid w:val="00B5092E"/>
    <w:rsid w:val="00B5772A"/>
    <w:rsid w:val="00B64DBA"/>
    <w:rsid w:val="00B74611"/>
    <w:rsid w:val="00B7755B"/>
    <w:rsid w:val="00B813E0"/>
    <w:rsid w:val="00B840CD"/>
    <w:rsid w:val="00B87848"/>
    <w:rsid w:val="00B940CF"/>
    <w:rsid w:val="00BA4970"/>
    <w:rsid w:val="00BA69B5"/>
    <w:rsid w:val="00BB4199"/>
    <w:rsid w:val="00BB7401"/>
    <w:rsid w:val="00BB7D4F"/>
    <w:rsid w:val="00BC1BB5"/>
    <w:rsid w:val="00BC2932"/>
    <w:rsid w:val="00BC790F"/>
    <w:rsid w:val="00BF37AA"/>
    <w:rsid w:val="00BF3845"/>
    <w:rsid w:val="00C03A26"/>
    <w:rsid w:val="00C03A6A"/>
    <w:rsid w:val="00C07D0C"/>
    <w:rsid w:val="00C102AD"/>
    <w:rsid w:val="00C16723"/>
    <w:rsid w:val="00C208EF"/>
    <w:rsid w:val="00C227E7"/>
    <w:rsid w:val="00C229F5"/>
    <w:rsid w:val="00C23E32"/>
    <w:rsid w:val="00C334CF"/>
    <w:rsid w:val="00C343B5"/>
    <w:rsid w:val="00C526F7"/>
    <w:rsid w:val="00C55B4A"/>
    <w:rsid w:val="00C639DD"/>
    <w:rsid w:val="00C708CA"/>
    <w:rsid w:val="00C744EA"/>
    <w:rsid w:val="00C75218"/>
    <w:rsid w:val="00C776D9"/>
    <w:rsid w:val="00C855A6"/>
    <w:rsid w:val="00C85B19"/>
    <w:rsid w:val="00C97E8E"/>
    <w:rsid w:val="00CA27DD"/>
    <w:rsid w:val="00CA5F91"/>
    <w:rsid w:val="00CA7B2A"/>
    <w:rsid w:val="00CB1B49"/>
    <w:rsid w:val="00CC2F7C"/>
    <w:rsid w:val="00CD5038"/>
    <w:rsid w:val="00CE4FE0"/>
    <w:rsid w:val="00CE71CF"/>
    <w:rsid w:val="00CF269A"/>
    <w:rsid w:val="00CF4B61"/>
    <w:rsid w:val="00D02C14"/>
    <w:rsid w:val="00D23C07"/>
    <w:rsid w:val="00D26444"/>
    <w:rsid w:val="00D30930"/>
    <w:rsid w:val="00D32548"/>
    <w:rsid w:val="00D376BC"/>
    <w:rsid w:val="00D504F1"/>
    <w:rsid w:val="00D5128E"/>
    <w:rsid w:val="00D56EBF"/>
    <w:rsid w:val="00D647A4"/>
    <w:rsid w:val="00D71711"/>
    <w:rsid w:val="00D72184"/>
    <w:rsid w:val="00D75E22"/>
    <w:rsid w:val="00D76A5C"/>
    <w:rsid w:val="00D83D4D"/>
    <w:rsid w:val="00D850B4"/>
    <w:rsid w:val="00D87D49"/>
    <w:rsid w:val="00DA7BC7"/>
    <w:rsid w:val="00DB0410"/>
    <w:rsid w:val="00DC24E2"/>
    <w:rsid w:val="00DC3CBF"/>
    <w:rsid w:val="00DC6628"/>
    <w:rsid w:val="00DC73E8"/>
    <w:rsid w:val="00DD477B"/>
    <w:rsid w:val="00DD7CD8"/>
    <w:rsid w:val="00DE4ACC"/>
    <w:rsid w:val="00E00CBC"/>
    <w:rsid w:val="00E00D81"/>
    <w:rsid w:val="00E07C80"/>
    <w:rsid w:val="00E109B6"/>
    <w:rsid w:val="00E142D8"/>
    <w:rsid w:val="00E14E7D"/>
    <w:rsid w:val="00E505D4"/>
    <w:rsid w:val="00E67B6D"/>
    <w:rsid w:val="00E702C2"/>
    <w:rsid w:val="00E719FF"/>
    <w:rsid w:val="00E82D41"/>
    <w:rsid w:val="00E87721"/>
    <w:rsid w:val="00E90B3F"/>
    <w:rsid w:val="00E974D1"/>
    <w:rsid w:val="00EA30DF"/>
    <w:rsid w:val="00EA59B4"/>
    <w:rsid w:val="00EB1F6B"/>
    <w:rsid w:val="00EB6A63"/>
    <w:rsid w:val="00EC05D0"/>
    <w:rsid w:val="00EE4644"/>
    <w:rsid w:val="00EF1751"/>
    <w:rsid w:val="00EF77A0"/>
    <w:rsid w:val="00F00AD8"/>
    <w:rsid w:val="00F050D8"/>
    <w:rsid w:val="00F05472"/>
    <w:rsid w:val="00F243D9"/>
    <w:rsid w:val="00F40F16"/>
    <w:rsid w:val="00F45998"/>
    <w:rsid w:val="00F472BE"/>
    <w:rsid w:val="00F52096"/>
    <w:rsid w:val="00F628F9"/>
    <w:rsid w:val="00F63E54"/>
    <w:rsid w:val="00F64D8F"/>
    <w:rsid w:val="00F664DD"/>
    <w:rsid w:val="00F85273"/>
    <w:rsid w:val="00F861DF"/>
    <w:rsid w:val="00F9035A"/>
    <w:rsid w:val="00FA6348"/>
    <w:rsid w:val="00FA7458"/>
    <w:rsid w:val="00FA7593"/>
    <w:rsid w:val="00FC1B19"/>
    <w:rsid w:val="00FC48BA"/>
    <w:rsid w:val="00FD675E"/>
    <w:rsid w:val="00FF67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81CA"/>
  <w15:chartTrackingRefBased/>
  <w15:docId w15:val="{0A3E375E-F4EC-4A32-BA28-12EEBFE8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3C5"/>
  </w:style>
  <w:style w:type="paragraph" w:styleId="Heading1">
    <w:name w:val="heading 1"/>
    <w:basedOn w:val="Normal"/>
    <w:next w:val="Normal"/>
    <w:link w:val="Heading1Char"/>
    <w:uiPriority w:val="9"/>
    <w:qFormat/>
    <w:rsid w:val="002B0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0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B0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0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B0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ADD"/>
    <w:rPr>
      <w:rFonts w:eastAsiaTheme="majorEastAsia" w:cstheme="majorBidi"/>
      <w:color w:val="272727" w:themeColor="text1" w:themeTint="D8"/>
    </w:rPr>
  </w:style>
  <w:style w:type="paragraph" w:styleId="Title">
    <w:name w:val="Title"/>
    <w:basedOn w:val="Normal"/>
    <w:next w:val="Normal"/>
    <w:link w:val="TitleChar"/>
    <w:uiPriority w:val="10"/>
    <w:qFormat/>
    <w:rsid w:val="002B0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ADD"/>
    <w:pPr>
      <w:spacing w:before="160"/>
      <w:jc w:val="center"/>
    </w:pPr>
    <w:rPr>
      <w:i/>
      <w:iCs/>
      <w:color w:val="404040" w:themeColor="text1" w:themeTint="BF"/>
    </w:rPr>
  </w:style>
  <w:style w:type="character" w:customStyle="1" w:styleId="QuoteChar">
    <w:name w:val="Quote Char"/>
    <w:basedOn w:val="DefaultParagraphFont"/>
    <w:link w:val="Quote"/>
    <w:uiPriority w:val="29"/>
    <w:rsid w:val="002B0ADD"/>
    <w:rPr>
      <w:i/>
      <w:iCs/>
      <w:color w:val="404040" w:themeColor="text1" w:themeTint="BF"/>
    </w:rPr>
  </w:style>
  <w:style w:type="paragraph" w:styleId="ListParagraph">
    <w:name w:val="List Paragraph"/>
    <w:basedOn w:val="Normal"/>
    <w:uiPriority w:val="34"/>
    <w:qFormat/>
    <w:rsid w:val="002B0ADD"/>
    <w:pPr>
      <w:ind w:left="720"/>
      <w:contextualSpacing/>
    </w:pPr>
  </w:style>
  <w:style w:type="character" w:styleId="IntenseEmphasis">
    <w:name w:val="Intense Emphasis"/>
    <w:basedOn w:val="DefaultParagraphFont"/>
    <w:uiPriority w:val="21"/>
    <w:qFormat/>
    <w:rsid w:val="002B0ADD"/>
    <w:rPr>
      <w:i/>
      <w:iCs/>
      <w:color w:val="0F4761" w:themeColor="accent1" w:themeShade="BF"/>
    </w:rPr>
  </w:style>
  <w:style w:type="paragraph" w:styleId="IntenseQuote">
    <w:name w:val="Intense Quote"/>
    <w:basedOn w:val="Normal"/>
    <w:next w:val="Normal"/>
    <w:link w:val="IntenseQuoteChar"/>
    <w:uiPriority w:val="30"/>
    <w:qFormat/>
    <w:rsid w:val="002B0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ADD"/>
    <w:rPr>
      <w:i/>
      <w:iCs/>
      <w:color w:val="0F4761" w:themeColor="accent1" w:themeShade="BF"/>
    </w:rPr>
  </w:style>
  <w:style w:type="character" w:styleId="IntenseReference">
    <w:name w:val="Intense Reference"/>
    <w:basedOn w:val="DefaultParagraphFont"/>
    <w:uiPriority w:val="32"/>
    <w:qFormat/>
    <w:rsid w:val="002B0ADD"/>
    <w:rPr>
      <w:b/>
      <w:bCs/>
      <w:smallCaps/>
      <w:color w:val="0F4761" w:themeColor="accent1" w:themeShade="BF"/>
      <w:spacing w:val="5"/>
    </w:rPr>
  </w:style>
  <w:style w:type="character" w:styleId="Hyperlink">
    <w:name w:val="Hyperlink"/>
    <w:basedOn w:val="DefaultParagraphFont"/>
    <w:uiPriority w:val="99"/>
    <w:unhideWhenUsed/>
    <w:rsid w:val="002B0ADD"/>
    <w:rPr>
      <w:color w:val="467886" w:themeColor="hyperlink"/>
      <w:u w:val="single"/>
    </w:rPr>
  </w:style>
  <w:style w:type="character" w:styleId="UnresolvedMention">
    <w:name w:val="Unresolved Mention"/>
    <w:basedOn w:val="DefaultParagraphFont"/>
    <w:uiPriority w:val="99"/>
    <w:semiHidden/>
    <w:unhideWhenUsed/>
    <w:rsid w:val="002B0ADD"/>
    <w:rPr>
      <w:color w:val="605E5C"/>
      <w:shd w:val="clear" w:color="auto" w:fill="E1DFDD"/>
    </w:rPr>
  </w:style>
  <w:style w:type="paragraph" w:styleId="Bibliography">
    <w:name w:val="Bibliography"/>
    <w:basedOn w:val="Normal"/>
    <w:next w:val="Normal"/>
    <w:uiPriority w:val="37"/>
    <w:unhideWhenUsed/>
    <w:rsid w:val="002B0ADD"/>
    <w:pPr>
      <w:tabs>
        <w:tab w:val="left" w:pos="384"/>
      </w:tabs>
      <w:spacing w:after="240" w:line="240" w:lineRule="auto"/>
      <w:ind w:left="384" w:hanging="384"/>
    </w:pPr>
  </w:style>
  <w:style w:type="paragraph" w:styleId="Caption">
    <w:name w:val="caption"/>
    <w:basedOn w:val="Normal"/>
    <w:next w:val="Normal"/>
    <w:uiPriority w:val="35"/>
    <w:unhideWhenUsed/>
    <w:qFormat/>
    <w:rsid w:val="002B0ADD"/>
    <w:pPr>
      <w:spacing w:after="200" w:line="240" w:lineRule="auto"/>
    </w:pPr>
    <w:rPr>
      <w:i/>
      <w:iCs/>
      <w:color w:val="0E2841" w:themeColor="text2"/>
      <w:sz w:val="18"/>
      <w:szCs w:val="18"/>
    </w:rPr>
  </w:style>
  <w:style w:type="paragraph" w:styleId="Revision">
    <w:name w:val="Revision"/>
    <w:hidden/>
    <w:uiPriority w:val="99"/>
    <w:semiHidden/>
    <w:rsid w:val="002B0ADD"/>
    <w:pPr>
      <w:spacing w:after="0" w:line="240" w:lineRule="auto"/>
    </w:pPr>
  </w:style>
  <w:style w:type="paragraph" w:styleId="CommentText">
    <w:name w:val="annotation text"/>
    <w:basedOn w:val="Normal"/>
    <w:link w:val="CommentTextChar"/>
    <w:uiPriority w:val="99"/>
    <w:unhideWhenUsed/>
    <w:rsid w:val="002B0ADD"/>
    <w:pPr>
      <w:spacing w:line="240" w:lineRule="auto"/>
    </w:pPr>
    <w:rPr>
      <w:sz w:val="20"/>
      <w:szCs w:val="20"/>
    </w:rPr>
  </w:style>
  <w:style w:type="character" w:customStyle="1" w:styleId="CommentTextChar">
    <w:name w:val="Comment Text Char"/>
    <w:basedOn w:val="DefaultParagraphFont"/>
    <w:link w:val="CommentText"/>
    <w:uiPriority w:val="99"/>
    <w:rsid w:val="002B0ADD"/>
    <w:rPr>
      <w:sz w:val="20"/>
      <w:szCs w:val="20"/>
    </w:rPr>
  </w:style>
  <w:style w:type="character" w:styleId="CommentReference">
    <w:name w:val="annotation reference"/>
    <w:basedOn w:val="DefaultParagraphFont"/>
    <w:uiPriority w:val="99"/>
    <w:semiHidden/>
    <w:unhideWhenUsed/>
    <w:rsid w:val="002B0ADD"/>
    <w:rPr>
      <w:sz w:val="16"/>
      <w:szCs w:val="16"/>
    </w:rPr>
  </w:style>
  <w:style w:type="paragraph" w:styleId="CommentSubject">
    <w:name w:val="annotation subject"/>
    <w:basedOn w:val="CommentText"/>
    <w:next w:val="CommentText"/>
    <w:link w:val="CommentSubjectChar"/>
    <w:uiPriority w:val="99"/>
    <w:semiHidden/>
    <w:unhideWhenUsed/>
    <w:rsid w:val="002B0ADD"/>
    <w:rPr>
      <w:b/>
      <w:bCs/>
    </w:rPr>
  </w:style>
  <w:style w:type="character" w:customStyle="1" w:styleId="CommentSubjectChar">
    <w:name w:val="Comment Subject Char"/>
    <w:basedOn w:val="CommentTextChar"/>
    <w:link w:val="CommentSubject"/>
    <w:uiPriority w:val="99"/>
    <w:semiHidden/>
    <w:rsid w:val="002B0ADD"/>
    <w:rPr>
      <w:b/>
      <w:bCs/>
      <w:sz w:val="20"/>
      <w:szCs w:val="20"/>
    </w:rPr>
  </w:style>
  <w:style w:type="character" w:styleId="FollowedHyperlink">
    <w:name w:val="FollowedHyperlink"/>
    <w:basedOn w:val="DefaultParagraphFont"/>
    <w:uiPriority w:val="99"/>
    <w:semiHidden/>
    <w:unhideWhenUsed/>
    <w:rsid w:val="002B0ADD"/>
    <w:rPr>
      <w:color w:val="96607D" w:themeColor="followedHyperlink"/>
      <w:u w:val="single"/>
    </w:rPr>
  </w:style>
  <w:style w:type="paragraph" w:styleId="NormalWeb">
    <w:name w:val="Normal (Web)"/>
    <w:basedOn w:val="Normal"/>
    <w:uiPriority w:val="99"/>
    <w:unhideWhenUsed/>
    <w:rsid w:val="002B0ADD"/>
    <w:rPr>
      <w:rFonts w:ascii="Times New Roman" w:hAnsi="Times New Roman" w:cs="Times New Roman"/>
    </w:rPr>
  </w:style>
  <w:style w:type="character" w:styleId="Emphasis">
    <w:name w:val="Emphasis"/>
    <w:basedOn w:val="DefaultParagraphFont"/>
    <w:uiPriority w:val="20"/>
    <w:qFormat/>
    <w:rsid w:val="002B0ADD"/>
    <w:rPr>
      <w:i/>
      <w:iCs/>
    </w:rPr>
  </w:style>
  <w:style w:type="character" w:styleId="LineNumber">
    <w:name w:val="line number"/>
    <w:basedOn w:val="DefaultParagraphFont"/>
    <w:uiPriority w:val="99"/>
    <w:semiHidden/>
    <w:unhideWhenUsed/>
    <w:rsid w:val="002B0ADD"/>
  </w:style>
  <w:style w:type="character" w:styleId="Strong">
    <w:name w:val="Strong"/>
    <w:basedOn w:val="DefaultParagraphFont"/>
    <w:uiPriority w:val="22"/>
    <w:qFormat/>
    <w:rsid w:val="006F1B70"/>
    <w:rPr>
      <w:b/>
      <w:bCs/>
    </w:rPr>
  </w:style>
  <w:style w:type="paragraph" w:customStyle="1" w:styleId="my-2">
    <w:name w:val="my-2"/>
    <w:basedOn w:val="Normal"/>
    <w:rsid w:val="00FC1B1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51911">
      <w:bodyDiv w:val="1"/>
      <w:marLeft w:val="0"/>
      <w:marRight w:val="0"/>
      <w:marTop w:val="0"/>
      <w:marBottom w:val="0"/>
      <w:divBdr>
        <w:top w:val="none" w:sz="0" w:space="0" w:color="auto"/>
        <w:left w:val="none" w:sz="0" w:space="0" w:color="auto"/>
        <w:bottom w:val="none" w:sz="0" w:space="0" w:color="auto"/>
        <w:right w:val="none" w:sz="0" w:space="0" w:color="auto"/>
      </w:divBdr>
    </w:div>
    <w:div w:id="1172794618">
      <w:bodyDiv w:val="1"/>
      <w:marLeft w:val="0"/>
      <w:marRight w:val="0"/>
      <w:marTop w:val="0"/>
      <w:marBottom w:val="0"/>
      <w:divBdr>
        <w:top w:val="none" w:sz="0" w:space="0" w:color="auto"/>
        <w:left w:val="none" w:sz="0" w:space="0" w:color="auto"/>
        <w:bottom w:val="none" w:sz="0" w:space="0" w:color="auto"/>
        <w:right w:val="none" w:sz="0" w:space="0" w:color="auto"/>
      </w:divBdr>
      <w:divsChild>
        <w:div w:id="112114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795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D6A3-C9C9-4981-9371-63664B839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1867</TotalTime>
  <Pages>28</Pages>
  <Words>69287</Words>
  <Characters>394940</Characters>
  <Application>Microsoft Office Word</Application>
  <DocSecurity>0</DocSecurity>
  <Lines>3291</Lines>
  <Paragraphs>926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Farahani Rad</dc:creator>
  <cp:keywords/>
  <dc:description/>
  <cp:lastModifiedBy>ava aghakhani</cp:lastModifiedBy>
  <cp:revision>359</cp:revision>
  <cp:lastPrinted>2026-06-30T13:50:00Z</cp:lastPrinted>
  <dcterms:created xsi:type="dcterms:W3CDTF">2025-11-25T14:18:00Z</dcterms:created>
  <dcterms:modified xsi:type="dcterms:W3CDTF">2026-08-21T19:59:00Z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id="ulROLKvl"/&gt;&lt;style id="http://www.zotero.org/styles/nlm-citation-sequence" locale="en-US" hasBibliography="1" bibliographyStyleHasBeenSet="1"/&gt;&lt;prefs&gt;&lt;pref name="fieldType" value="Field"/&gt;&lt;pref nam</vt:lpwstr>
  </property>
  <property fmtid="{D5CDD505-2E9C-101B-9397-08002B2CF9AE}" pid="3" name="ZOTERO_PREF_2">
    <vt:lpwstr>e="automaticJournalAbbreviations" value="true"/&gt;&lt;pref name="dontAskDelayCitationUpdates" value="true"/&gt;&lt;/prefs&gt;&lt;/data&gt;</vt:lpwstr>
  </property>
  <property fmtid="{D5CDD505-2E9C-101B-9397-08002B2CF9AE}" pid="4" name="GrammarlyDocumentId">
    <vt:lpwstr>1ee4e943-205c-4157-8d92-3d89ab4f8b18</vt:lpwstr>
  </property>
</Properties>
</file>