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5CB7" w14:textId="77777777" w:rsidR="00B574B0" w:rsidRDefault="005D04E1">
      <w:pPr>
        <w:rPr>
          <w:rFonts w:ascii="Times New Roman" w:eastAsia="Times New Roman" w:hAnsi="Times New Roman" w:cs="Times New Roman"/>
          <w:sz w:val="24"/>
        </w:rPr>
      </w:pPr>
      <w:commentRangeStart w:id="0"/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114300" distR="114300" wp14:anchorId="6E15CEC5" wp14:editId="55AA5147">
            <wp:extent cx="4572000" cy="2743200"/>
            <wp:effectExtent l="0" t="0" r="0" b="0"/>
            <wp:docPr id="1" name="Image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commentRangeEnd w:id="0"/>
      <w:r>
        <w:rPr>
          <w:rStyle w:val="CommentReference"/>
          <w:rFonts w:ascii="Calibri" w:eastAsia="Calibri" w:hAnsi="Calibri" w:cs="Calibri"/>
        </w:rPr>
        <w:commentReference w:id="0"/>
      </w:r>
    </w:p>
    <w:p w14:paraId="6DABACEC" w14:textId="3D694BE6" w:rsidR="00B574B0" w:rsidRDefault="005D04E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Figure </w:t>
      </w:r>
      <w:r w:rsidR="0087153C">
        <w:rPr>
          <w:rFonts w:ascii="Calibri" w:eastAsia="Calibri" w:hAnsi="Calibri" w:cs="Calibri"/>
        </w:rPr>
        <w:t>A2</w:t>
      </w:r>
    </w:p>
    <w:sectPr w:rsidR="00B574B0">
      <w:pgSz w:w="12240" w:h="15840"/>
      <w:pgMar w:top="1440" w:right="1440" w:bottom="1440" w:left="14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date="2025-08-29T13:53:00Z" w:initials="A">
    <w:p w14:paraId="393DFAD4" w14:textId="6714A913" w:rsidR="005D04E1" w:rsidRPr="005D04E1" w:rsidRDefault="005D04E1">
      <w:pPr>
        <w:pStyle w:val="CommentText"/>
        <w:rPr>
          <w:color w:val="0070C0"/>
        </w:rPr>
      </w:pPr>
      <w:r>
        <w:rPr>
          <w:rStyle w:val="CommentReference"/>
        </w:rPr>
        <w:annotationRef/>
      </w:r>
      <w:r w:rsidRPr="00F45421">
        <w:rPr>
          <w:rStyle w:val="CommentReference"/>
          <w:color w:val="0070C0"/>
        </w:rPr>
        <w:annotationRef/>
      </w:r>
      <w:r w:rsidRPr="00F45421">
        <w:rPr>
          <w:rStyle w:val="CommentReference"/>
          <w:color w:val="0070C0"/>
        </w:rPr>
        <w:t>No changes were needed in this file.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93DFAD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5C2F5A" w16cex:dateUtc="2025-08-29T08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93DFAD4" w16cid:durableId="2C5C2F5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4B0"/>
    <w:rsid w:val="005D04E1"/>
    <w:rsid w:val="0087153C"/>
    <w:rsid w:val="008A0B9C"/>
    <w:rsid w:val="00B5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CC1D13"/>
  <w15:docId w15:val="{F5F16552-7A7C-394F-BA25-99AD4C39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styleId="Subtitle">
    <w:name w:val="Subtitle"/>
    <w:basedOn w:val="Normal"/>
    <w:qFormat/>
    <w:pPr>
      <w:spacing w:line="208" w:lineRule="auto"/>
    </w:pPr>
    <w:rPr>
      <w:rFonts w:ascii="Calibri" w:eastAsia="Calibri" w:hAnsi="Calibri" w:cs="Calibri"/>
      <w:sz w:val="38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paragraph" w:customStyle="1" w:styleId="TableList">
    <w:name w:val="Table List"/>
    <w:basedOn w:val="Normal"/>
    <w:pPr>
      <w:ind w:left="300" w:hanging="300"/>
    </w:pPr>
    <w:rPr>
      <w:sz w:val="20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paragraph" w:customStyle="1" w:styleId="AbstractSubheading">
    <w:name w:val="Abstract Subheading"/>
    <w:basedOn w:val="Normal"/>
    <w:next w:val="Normal"/>
    <w:pPr>
      <w:keepNext/>
      <w:keepLines/>
      <w:numPr>
        <w:ilvl w:val="8"/>
      </w:numPr>
      <w:ind w:left="1440"/>
      <w:outlineLvl w:val="8"/>
    </w:p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  <w:sz w:val="20"/>
    </w:rPr>
  </w:style>
  <w:style w:type="paragraph" w:styleId="CommentText">
    <w:name w:val="annotation text"/>
    <w:basedOn w:val="Normal"/>
    <w:link w:val="CommentTextChar"/>
    <w:pPr>
      <w:spacing w:after="0"/>
    </w:pPr>
    <w:rPr>
      <w:rFonts w:ascii="Calibri" w:eastAsia="Calibri" w:hAnsi="Calibri" w:cs="Calibri"/>
      <w:sz w:val="20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Annotation">
    <w:name w:val="Annotation"/>
    <w:basedOn w:val="Normal"/>
    <w:pPr>
      <w:spacing w:line="360" w:lineRule="auto"/>
      <w:ind w:left="400"/>
    </w:pPr>
    <w:rPr>
      <w:rFonts w:ascii="Calibri" w:eastAsia="Calibri" w:hAnsi="Calibri" w:cs="Calibri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4FFED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z w:val="20"/>
      <w:shd w:val="clear" w:color="auto" w:fill="FFEDFA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</w:rPr>
  </w:style>
  <w:style w:type="paragraph" w:customStyle="1" w:styleId="Quotation">
    <w:name w:val="Quotation"/>
    <w:basedOn w:val="Normal"/>
    <w:pPr>
      <w:spacing w:line="360" w:lineRule="auto"/>
      <w:ind w:left="1200" w:right="1200"/>
      <w:jc w:val="both"/>
    </w:pPr>
    <w:rPr>
      <w:rFonts w:ascii="Calibri" w:eastAsia="Calibri" w:hAnsi="Calibri" w:cs="Calibri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styleId="BlockText">
    <w:name w:val="Block Text"/>
    <w:basedOn w:val="Normal"/>
    <w:pPr>
      <w:spacing w:line="360" w:lineRule="auto"/>
      <w:ind w:left="1200"/>
    </w:pPr>
    <w:rPr>
      <w:rFonts w:ascii="Calibri" w:eastAsia="Calibri" w:hAnsi="Calibri" w:cs="Calibri"/>
    </w:rPr>
  </w:style>
  <w:style w:type="character" w:customStyle="1" w:styleId="Heading">
    <w:name w:val="Heading:"/>
    <w:basedOn w:val="DefaultParagraphFont"/>
    <w:rPr>
      <w:color w:val="5B89C1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hd w:val="clear" w:color="auto" w:fill="FFF5ED"/>
    </w:rPr>
  </w:style>
  <w:style w:type="character" w:styleId="Hyperlink">
    <w:name w:val="Hyperlink"/>
    <w:basedOn w:val="DefaultParagraphFont"/>
    <w:rPr>
      <w:color w:val="0563C1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hd w:val="clear" w:color="auto" w:fill="FFF5ED"/>
    </w:rPr>
  </w:style>
  <w:style w:type="paragraph" w:customStyle="1" w:styleId="Surtitle">
    <w:name w:val="Surtitle"/>
    <w:basedOn w:val="Normal"/>
    <w:qFormat/>
    <w:pPr>
      <w:spacing w:line="208" w:lineRule="auto"/>
    </w:pPr>
    <w:rPr>
      <w:rFonts w:ascii="Calibri" w:eastAsia="Calibri" w:hAnsi="Calibri" w:cs="Calibri"/>
      <w:sz w:val="38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customStyle="1" w:styleId="Biography">
    <w:name w:val="Biography"/>
    <w:basedOn w:val="Normal"/>
    <w:pPr>
      <w:shd w:val="clear" w:color="auto" w:fill="EEFEF4"/>
      <w:spacing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customStyle="1" w:styleId="TableBody">
    <w:name w:val="Table Body"/>
    <w:basedOn w:val="Normal"/>
    <w:pPr>
      <w:spacing w:line="396" w:lineRule="auto"/>
    </w:pPr>
    <w:rPr>
      <w:rFonts w:ascii="Calibri" w:eastAsia="Calibri" w:hAnsi="Calibri" w:cs="Calibri"/>
      <w:sz w:val="20"/>
    </w:rPr>
  </w:style>
  <w:style w:type="paragraph" w:customStyle="1" w:styleId="Abstract">
    <w:name w:val="Abstract"/>
    <w:basedOn w:val="Normal"/>
    <w:pPr>
      <w:spacing w:line="360" w:lineRule="auto"/>
      <w:ind w:left="1440" w:right="1440"/>
      <w:jc w:val="both"/>
    </w:pPr>
    <w:rPr>
      <w:rFonts w:ascii="Calibri" w:eastAsia="Calibri" w:hAnsi="Calibri" w:cs="Calibri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customStyle="1" w:styleId="Acknowledgements">
    <w:name w:val="Acknowledgements"/>
    <w:basedOn w:val="Normal"/>
    <w:pPr>
      <w:shd w:val="clear" w:color="auto" w:fill="F9EDFF"/>
      <w:spacing w:line="396" w:lineRule="auto"/>
      <w:jc w:val="both"/>
    </w:pPr>
    <w:rPr>
      <w:rFonts w:ascii="Calibri" w:eastAsia="Calibri" w:hAnsi="Calibri" w:cs="Calibri"/>
      <w:sz w:val="20"/>
      <w:shd w:val="clear" w:color="auto" w:fill="F9EDFF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paragraph" w:customStyle="1" w:styleId="List9">
    <w:name w:val="List 9"/>
    <w:basedOn w:val="Normal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customStyle="1" w:styleId="List1">
    <w:name w:val="List 1"/>
    <w:basedOn w:val="Normal"/>
    <w:pPr>
      <w:ind w:left="1200" w:hanging="600"/>
      <w:jc w:val="both"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D04E1"/>
    <w:pPr>
      <w:spacing w:after="160" w:line="240" w:lineRule="auto"/>
    </w:pPr>
    <w:rPr>
      <w:rFonts w:asciiTheme="minorHAnsi" w:eastAsiaTheme="minorEastAsia" w:hAnsiTheme="minorHAnsi" w:cstheme="minorBidi"/>
      <w:b/>
      <w:bCs/>
      <w:szCs w:val="20"/>
    </w:rPr>
  </w:style>
  <w:style w:type="character" w:customStyle="1" w:styleId="CommentTextChar">
    <w:name w:val="Comment Text Char"/>
    <w:basedOn w:val="DefaultParagraphFont"/>
    <w:link w:val="CommentText"/>
    <w:rsid w:val="005D04E1"/>
    <w:rPr>
      <w:rFonts w:ascii="Calibri" w:eastAsia="Calibri" w:hAnsi="Calibri" w:cs="Calibri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D04E1"/>
    <w:rPr>
      <w:rFonts w:ascii="Calibri" w:eastAsiaTheme="minorEastAsia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Cochrane</a:t>
            </a:r>
            <a:r>
              <a:rPr lang="en-US" baseline="0"/>
              <a:t> RoB Assesment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'risk of bias chart'!$Y$1</c:f>
              <c:strCache>
                <c:ptCount val="1"/>
                <c:pt idx="0">
                  <c:v>% low risk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'risk of bias chart'!$X$2:$X$8</c:f>
              <c:strCache>
                <c:ptCount val="7"/>
                <c:pt idx="0">
                  <c:v>Zhao et al., 2014</c:v>
                </c:pt>
                <c:pt idx="1">
                  <c:v>Vansteenkiste et al., 2016</c:v>
                </c:pt>
                <c:pt idx="2">
                  <c:v>Jin et al., 2014</c:v>
                </c:pt>
                <c:pt idx="3">
                  <c:v>Mitchell et al., 2015</c:v>
                </c:pt>
                <c:pt idx="4">
                  <c:v>Butts et al., 2014</c:v>
                </c:pt>
                <c:pt idx="5">
                  <c:v>Alfonso et al., 2014</c:v>
                </c:pt>
                <c:pt idx="6">
                  <c:v>West et al., 2019</c:v>
                </c:pt>
              </c:strCache>
            </c:strRef>
          </c:cat>
          <c:val>
            <c:numRef>
              <c:f>'risk of bias chart'!$Y$2:$Y$8</c:f>
              <c:numCache>
                <c:formatCode>0%</c:formatCode>
                <c:ptCount val="7"/>
                <c:pt idx="0">
                  <c:v>0.66666666666666696</c:v>
                </c:pt>
                <c:pt idx="1">
                  <c:v>0.5</c:v>
                </c:pt>
                <c:pt idx="2">
                  <c:v>0.83333333333333304</c:v>
                </c:pt>
                <c:pt idx="3">
                  <c:v>0.83333333333333304</c:v>
                </c:pt>
                <c:pt idx="4">
                  <c:v>0.66666666666666696</c:v>
                </c:pt>
                <c:pt idx="5">
                  <c:v>0.66666666666666696</c:v>
                </c:pt>
                <c:pt idx="6">
                  <c:v>0.66666666666666696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27-483A-A18B-3C2288F6B4D0}"/>
            </c:ext>
          </c:extLst>
        </c:ser>
        <c:ser>
          <c:idx val="1"/>
          <c:order val="1"/>
          <c:tx>
            <c:strRef>
              <c:f>'risk of bias chart'!$Z$1</c:f>
              <c:strCache>
                <c:ptCount val="1"/>
                <c:pt idx="0">
                  <c:v>% unclear risk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'risk of bias chart'!$X$2:$X$8</c:f>
              <c:strCache>
                <c:ptCount val="7"/>
                <c:pt idx="0">
                  <c:v>Zhao et al., 2014</c:v>
                </c:pt>
                <c:pt idx="1">
                  <c:v>Vansteenkiste et al., 2016</c:v>
                </c:pt>
                <c:pt idx="2">
                  <c:v>Jin et al., 2014</c:v>
                </c:pt>
                <c:pt idx="3">
                  <c:v>Mitchell et al., 2015</c:v>
                </c:pt>
                <c:pt idx="4">
                  <c:v>Butts et al., 2014</c:v>
                </c:pt>
                <c:pt idx="5">
                  <c:v>Alfonso et al., 2014</c:v>
                </c:pt>
                <c:pt idx="6">
                  <c:v>West et al., 2019</c:v>
                </c:pt>
              </c:strCache>
            </c:strRef>
          </c:cat>
          <c:val>
            <c:numRef>
              <c:f>'risk of bias chart'!$Z$2:$Z$8</c:f>
              <c:numCache>
                <c:formatCode>0%</c:formatCode>
                <c:ptCount val="7"/>
                <c:pt idx="0">
                  <c:v>0.33333333333333298</c:v>
                </c:pt>
                <c:pt idx="1">
                  <c:v>0.33333333333333298</c:v>
                </c:pt>
                <c:pt idx="2">
                  <c:v>0</c:v>
                </c:pt>
                <c:pt idx="3">
                  <c:v>0</c:v>
                </c:pt>
                <c:pt idx="4">
                  <c:v>0.16666666666666699</c:v>
                </c:pt>
                <c:pt idx="5">
                  <c:v>0</c:v>
                </c:pt>
                <c:pt idx="6">
                  <c:v>0.16666666666666699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27-483A-A18B-3C2288F6B4D0}"/>
            </c:ext>
          </c:extLst>
        </c:ser>
        <c:ser>
          <c:idx val="2"/>
          <c:order val="2"/>
          <c:tx>
            <c:strRef>
              <c:f>'risk of bias chart'!$AA$1</c:f>
              <c:strCache>
                <c:ptCount val="1"/>
                <c:pt idx="0">
                  <c:v>% high risk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'risk of bias chart'!$X$2:$X$8</c:f>
              <c:strCache>
                <c:ptCount val="7"/>
                <c:pt idx="0">
                  <c:v>Zhao et al., 2014</c:v>
                </c:pt>
                <c:pt idx="1">
                  <c:v>Vansteenkiste et al., 2016</c:v>
                </c:pt>
                <c:pt idx="2">
                  <c:v>Jin et al., 2014</c:v>
                </c:pt>
                <c:pt idx="3">
                  <c:v>Mitchell et al., 2015</c:v>
                </c:pt>
                <c:pt idx="4">
                  <c:v>Butts et al., 2014</c:v>
                </c:pt>
                <c:pt idx="5">
                  <c:v>Alfonso et al., 2014</c:v>
                </c:pt>
                <c:pt idx="6">
                  <c:v>West et al., 2019</c:v>
                </c:pt>
              </c:strCache>
            </c:strRef>
          </c:cat>
          <c:val>
            <c:numRef>
              <c:f>'risk of bias chart'!$AA$2:$AA$8</c:f>
              <c:numCache>
                <c:formatCode>0%</c:formatCode>
                <c:ptCount val="7"/>
                <c:pt idx="0">
                  <c:v>0</c:v>
                </c:pt>
                <c:pt idx="1">
                  <c:v>0.16666666666666699</c:v>
                </c:pt>
                <c:pt idx="2">
                  <c:v>0.16666666666666699</c:v>
                </c:pt>
                <c:pt idx="3">
                  <c:v>0.16666666666666699</c:v>
                </c:pt>
                <c:pt idx="4">
                  <c:v>0.16666666666666699</c:v>
                </c:pt>
                <c:pt idx="5">
                  <c:v>0.33333333333333298</c:v>
                </c:pt>
                <c:pt idx="6">
                  <c:v>0.16666666666666699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27-483A-A18B-3C2288F6B4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65209720"/>
        <c:axId val="365205408"/>
      </c:barChart>
      <c:catAx>
        <c:axId val="365209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5205408"/>
        <c:crosses val="autoZero"/>
        <c:auto val="1"/>
        <c:lblAlgn val="ctr"/>
        <c:lblOffset val="100"/>
        <c:noMultiLvlLbl val="0"/>
      </c:catAx>
      <c:valAx>
        <c:axId val="36520540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52097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 safavi</cp:lastModifiedBy>
  <cp:revision>3</cp:revision>
  <dcterms:created xsi:type="dcterms:W3CDTF">2025-08-29T08:23:00Z</dcterms:created>
  <dcterms:modified xsi:type="dcterms:W3CDTF">2025-09-06T22:57:00Z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2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0</vt:lpwstr>
  </property>
  <property fmtid="{D5CDD505-2E9C-101B-9397-08002B2CF9AE}" pid="20" name="Merops figures count">
    <vt:lpwstr>1</vt:lpwstr>
  </property>
  <property fmtid="{D5CDD505-2E9C-101B-9397-08002B2CF9AE}" pid="21" name="Merops graphics count">
    <vt:lpwstr>1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merops/preset-v1/apa-7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crm_23ca0020-df55-4057-a1b5-b570a5bcaa5d.docx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MG-Session/On-20250828/I:ad5cff8a-e684-4366-bb2f-a969c3b56337</vt:lpwstr>
  </property>
  <property fmtid="{D5CDD505-2E9C-101B-9397-08002B2CF9AE}" pid="32" name="Merops processed date">
    <vt:lpwstr>2025/08/28 01:14:11 PM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Merops comment count">
    <vt:lpwstr>0</vt:lpwstr>
  </property>
  <property fmtid="{D5CDD505-2E9C-101B-9397-08002B2CF9AE}" pid="36" name="Merops change count">
    <vt:lpwstr>0</vt:lpwstr>
  </property>
</Properties>
</file>