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8184" w14:textId="77777777" w:rsidR="00CE0E33" w:rsidRDefault="00CE0E33">
      <w:r>
        <w:rPr>
          <w:noProof/>
        </w:rPr>
        <w:drawing>
          <wp:inline distT="0" distB="0" distL="0" distR="0" wp14:anchorId="08267192" wp14:editId="7950DA25">
            <wp:extent cx="5158740" cy="3869780"/>
            <wp:effectExtent l="0" t="0" r="381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172103" cy="3879804"/>
                    </a:xfrm>
                    <a:prstGeom prst="rect">
                      <a:avLst/>
                    </a:prstGeom>
                  </pic:spPr>
                </pic:pic>
              </a:graphicData>
            </a:graphic>
          </wp:inline>
        </w:drawing>
      </w:r>
    </w:p>
    <w:p w14:paraId="432267DD" w14:textId="77777777" w:rsidR="00CE0E33" w:rsidRDefault="00CE0E33">
      <w:pPr>
        <w:spacing w:after="200" w:line="276" w:lineRule="auto"/>
      </w:pPr>
      <w:r>
        <w:lastRenderedPageBreak/>
        <w:br w:type="page"/>
      </w:r>
    </w:p>
    <w:p w14:paraId="19F76AFF" w14:textId="77777777" w:rsidR="000B4B98" w:rsidRDefault="00CE0E33">
      <w:r>
        <w:rPr>
          <w:noProof/>
        </w:rPr>
        <w:lastRenderedPageBreak/>
        <w:drawing>
          <wp:inline distT="0" distB="0" distL="0" distR="0" wp14:anchorId="30A88697" wp14:editId="4C401BF5">
            <wp:extent cx="5486400" cy="4239895"/>
            <wp:effectExtent l="0" t="0" r="0" b="825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4239895"/>
                    </a:xfrm>
                    <a:prstGeom prst="rect">
                      <a:avLst/>
                    </a:prstGeom>
                  </pic:spPr>
                </pic:pic>
              </a:graphicData>
            </a:graphic>
          </wp:inline>
        </w:drawing>
      </w:r>
    </w:p>
    <w:p w14:paraId="2707514E" w14:textId="77777777" w:rsidR="004172A9" w:rsidRDefault="004172A9"/>
    <w:p w14:paraId="10F15770" w14:textId="77777777" w:rsidR="004172A9" w:rsidRDefault="004172A9"/>
    <w:p w14:paraId="3AA42404" w14:textId="77777777" w:rsidR="004172A9" w:rsidRDefault="004172A9"/>
    <w:p w14:paraId="0050BEA7" w14:textId="77777777" w:rsidR="004172A9" w:rsidRDefault="004172A9"/>
    <w:p w14:paraId="2C287E7B" w14:textId="77777777" w:rsidR="004172A9" w:rsidRDefault="004172A9"/>
    <w:p w14:paraId="2D71F72E" w14:textId="77777777" w:rsidR="004172A9" w:rsidRDefault="004172A9"/>
    <w:p w14:paraId="7891BC53" w14:textId="77777777" w:rsidR="004172A9" w:rsidRDefault="004172A9"/>
    <w:p w14:paraId="3FF74364" w14:textId="77777777" w:rsidR="004172A9" w:rsidRDefault="004172A9"/>
    <w:p w14:paraId="5A632736" w14:textId="77777777" w:rsidR="004172A9" w:rsidRDefault="004172A9"/>
    <w:p w14:paraId="54E4C67D" w14:textId="77777777" w:rsidR="004172A9" w:rsidRDefault="004172A9"/>
    <w:p w14:paraId="7154F38F" w14:textId="77777777" w:rsidR="004172A9" w:rsidRDefault="004172A9"/>
    <w:p w14:paraId="13D44167" w14:textId="77777777" w:rsidR="004172A9" w:rsidRDefault="004172A9"/>
    <w:p w14:paraId="01F6E9DF" w14:textId="77777777" w:rsidR="004172A9" w:rsidRPr="004172A9" w:rsidRDefault="004172A9" w:rsidP="004172A9">
      <w:pPr>
        <w:bidi/>
      </w:pPr>
      <w:r w:rsidRPr="004172A9">
        <w:lastRenderedPageBreak/>
        <w:t>Of course. Here is the abstract translated into academic Arabic.</w:t>
      </w:r>
    </w:p>
    <w:p w14:paraId="7876B70C" w14:textId="77777777" w:rsidR="004172A9" w:rsidRPr="004172A9" w:rsidRDefault="00000000" w:rsidP="004172A9">
      <w:pPr>
        <w:bidi/>
      </w:pPr>
      <w:r>
        <w:pict w14:anchorId="14A7BC7E">
          <v:rect id="_x0000_i1028" style="width:0;height:1.5pt" o:hralign="center" o:hrstd="t" o:hr="t" fillcolor="#a0a0a0" stroked="f"/>
        </w:pict>
      </w:r>
    </w:p>
    <w:p w14:paraId="7D59398D" w14:textId="77777777" w:rsidR="004172A9" w:rsidRPr="004172A9" w:rsidRDefault="004172A9" w:rsidP="004172A9">
      <w:pPr>
        <w:bidi/>
      </w:pPr>
      <w:r w:rsidRPr="004172A9">
        <w:rPr>
          <w:b/>
          <w:bCs/>
          <w:rtl/>
        </w:rPr>
        <w:t>نحو بيئة رقمية آمنة: دور اللياقة والمسؤولية الرقمية في الحد من التنمر الإلكتروني لدى طلاب الجامعة</w:t>
      </w:r>
    </w:p>
    <w:p w14:paraId="6301C03F" w14:textId="77777777" w:rsidR="004172A9" w:rsidRPr="004172A9" w:rsidRDefault="004172A9" w:rsidP="004172A9">
      <w:pPr>
        <w:bidi/>
      </w:pPr>
      <w:r w:rsidRPr="004172A9">
        <w:rPr>
          <w:b/>
          <w:bCs/>
          <w:rtl/>
        </w:rPr>
        <w:t>ملخص البحث</w:t>
      </w:r>
    </w:p>
    <w:p w14:paraId="55390BA0" w14:textId="77777777" w:rsidR="004172A9" w:rsidRPr="004172A9" w:rsidRDefault="004172A9" w:rsidP="004172A9">
      <w:pPr>
        <w:bidi/>
      </w:pPr>
      <w:r w:rsidRPr="004172A9">
        <w:rPr>
          <w:rtl/>
        </w:rPr>
        <w:t>مع تزايد اندماج حياة طلاب الجامعة في العالم الرقمي، يبرز التنمر الإلكتروني كتهديد كبير لرفاهيتهم. تتقصى هذه الدراسة أدوار كل من "اللياقة الرقمية</w:t>
      </w:r>
      <w:r w:rsidRPr="004172A9">
        <w:t xml:space="preserve">" (Digital Fitness) — </w:t>
      </w:r>
      <w:r w:rsidRPr="004172A9">
        <w:rPr>
          <w:rtl/>
        </w:rPr>
        <w:t>التي تشمل مهارات الثقافة الرقمية والمرونة والأمان الرقمي — و"المسؤولية الرقمية</w:t>
      </w:r>
      <w:r w:rsidRPr="004172A9">
        <w:t xml:space="preserve">" (Digital Responsibility) — </w:t>
      </w:r>
      <w:r w:rsidRPr="004172A9">
        <w:rPr>
          <w:rtl/>
        </w:rPr>
        <w:t>كإطار أخلاقي للسلوك عبر الإنترنت — باعتبارهما عاملين وقائيين رئيسيين ضد التورط في التنمر الإلكتروني. تم تطبيق استبانة كمية مقطعية على عينة قوامها 1,546 طالبًا جامعيًا من مصر والمملكة العربية السعودية والأردن. استُخدمت نمذجة المعادلات البنائية</w:t>
      </w:r>
      <w:r w:rsidRPr="004172A9">
        <w:t xml:space="preserve"> (SEM) </w:t>
      </w:r>
      <w:r w:rsidRPr="004172A9">
        <w:rPr>
          <w:rtl/>
        </w:rPr>
        <w:t>لاختبار نموذج افتراضي يتنبأ فيه كل من اللياقة الرقمية والمسؤولية الرقمية ببنية كامنة للتنمر الإلكتروني. كما تم إجراء اختبارات "ت" للعينات المستقلة وتحليل التباين الأحادي</w:t>
      </w:r>
      <w:r w:rsidRPr="004172A9">
        <w:t xml:space="preserve"> (ANOVA) </w:t>
      </w:r>
      <w:r w:rsidRPr="004172A9">
        <w:rPr>
          <w:rtl/>
        </w:rPr>
        <w:t>لدراسة الفروق الديموغرافية</w:t>
      </w:r>
      <w:r w:rsidRPr="004172A9">
        <w:t>.</w:t>
      </w:r>
    </w:p>
    <w:p w14:paraId="087FD1B2" w14:textId="77777777" w:rsidR="004172A9" w:rsidRPr="004172A9" w:rsidRDefault="004172A9" w:rsidP="004172A9">
      <w:pPr>
        <w:bidi/>
      </w:pPr>
      <w:r w:rsidRPr="004172A9">
        <w:rPr>
          <w:rtl/>
        </w:rPr>
        <w:t>أكدت نتائج نمذجة المعادلات البنائية</w:t>
      </w:r>
      <w:r w:rsidRPr="004172A9">
        <w:t xml:space="preserve"> (χ²(17)=443.16, CFI=.979, GFI=.938) </w:t>
      </w:r>
      <w:r w:rsidRPr="004172A9">
        <w:rPr>
          <w:rtl/>
        </w:rPr>
        <w:t>أن كلاً من اللياقة الرقمية</w:t>
      </w:r>
      <w:r w:rsidRPr="004172A9">
        <w:t xml:space="preserve"> (β = -.36) </w:t>
      </w:r>
      <w:r w:rsidRPr="004172A9">
        <w:rPr>
          <w:rtl/>
        </w:rPr>
        <w:t>والمسؤولية الرقمية</w:t>
      </w:r>
      <w:r w:rsidRPr="004172A9">
        <w:t xml:space="preserve"> (β = -.36) </w:t>
      </w:r>
      <w:r w:rsidRPr="004172A9">
        <w:rPr>
          <w:rtl/>
        </w:rPr>
        <w:t xml:space="preserve">كانا منبئين سلبيين وذوي دلالة إحصائية بالتنمر الإلكتروني. كما وُجدت فروق ذات دلالة إحصائية بين الدول، حيث سجل الطلاب الأردنيون أعلى مستويات من العوامل الوقائية وأدنى مستويات من التورط في </w:t>
      </w:r>
      <w:r w:rsidRPr="004172A9">
        <w:rPr>
          <w:rtl/>
        </w:rPr>
        <w:lastRenderedPageBreak/>
        <w:t>التنمر، بينما كان النمط معاكساً لدى الطلاب المصريين. علاوة على ذلك، أظهر طلاب السنة الأولى مستويات أقل بكثير في اللياقة والمسؤولية الرقمية مقارنة بزملائهم في السنوات المتقدمة، في حين لم تظهر فروق ذات دلالة إحصائية بين الجنسين</w:t>
      </w:r>
      <w:r w:rsidRPr="004172A9">
        <w:t>.</w:t>
      </w:r>
    </w:p>
    <w:p w14:paraId="2A9C419A" w14:textId="77777777" w:rsidR="004172A9" w:rsidRPr="004172A9" w:rsidRDefault="004172A9" w:rsidP="004172A9">
      <w:pPr>
        <w:bidi/>
      </w:pPr>
      <w:r w:rsidRPr="004172A9">
        <w:rPr>
          <w:rtl/>
        </w:rPr>
        <w:t>تؤكد النتائج الأهمية الحاسمة لتعزيز كل من المهارات الرقمية العملية والمسؤولية الأخلاقية لخلق بيئات أكثر أمانًا عبر الإنترنت لطلاب الجامعة. وتسلط الدراسة الضوء على الحاجة إلى تدخلات تعليمية موجهة، خاصة لطلاب السنة الأولى وفي سياقات ثقافية محددة، بهدف تعزيز الكفاءات الرقمية والتخفيف من مخاطر التنمر الإلكتروني</w:t>
      </w:r>
      <w:r w:rsidRPr="004172A9">
        <w:t>.</w:t>
      </w:r>
    </w:p>
    <w:p w14:paraId="478D83AA" w14:textId="77777777" w:rsidR="004172A9" w:rsidRPr="004172A9" w:rsidRDefault="004172A9" w:rsidP="004172A9">
      <w:pPr>
        <w:bidi/>
      </w:pPr>
      <w:r w:rsidRPr="004172A9">
        <w:rPr>
          <w:b/>
          <w:bCs/>
          <w:rtl/>
        </w:rPr>
        <w:t>الكلمات المفتاحية</w:t>
      </w:r>
      <w:r w:rsidRPr="004172A9">
        <w:rPr>
          <w:b/>
          <w:bCs/>
        </w:rPr>
        <w:t>:</w:t>
      </w:r>
      <w:r w:rsidRPr="004172A9">
        <w:t xml:space="preserve"> </w:t>
      </w:r>
      <w:r w:rsidRPr="004172A9">
        <w:rPr>
          <w:rtl/>
        </w:rPr>
        <w:t>التنمر الإلكتروني، اللياقة الرقمية، المسؤولية الرقمية، المواطنة الرقمية، التعليم العالي، طلاب الجامعة</w:t>
      </w:r>
      <w:r w:rsidRPr="004172A9">
        <w:t>.</w:t>
      </w:r>
    </w:p>
    <w:p w14:paraId="66EF1C29" w14:textId="77777777" w:rsidR="004172A9" w:rsidRPr="004172A9" w:rsidRDefault="004172A9" w:rsidP="004172A9">
      <w:pPr>
        <w:bidi/>
      </w:pPr>
    </w:p>
    <w:p w14:paraId="05876249" w14:textId="77777777" w:rsidR="004172A9" w:rsidRDefault="004172A9"/>
    <w:sectPr w:rsidR="004172A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59FE" w14:textId="77777777" w:rsidR="006E3BE9" w:rsidRDefault="006E3BE9" w:rsidP="00FB2CC4">
      <w:pPr>
        <w:spacing w:after="0" w:line="240" w:lineRule="auto"/>
      </w:pPr>
      <w:r>
        <w:separator/>
      </w:r>
    </w:p>
  </w:endnote>
  <w:endnote w:type="continuationSeparator" w:id="0">
    <w:p w14:paraId="5D4AEF47" w14:textId="77777777" w:rsidR="006E3BE9" w:rsidRDefault="006E3BE9" w:rsidP="00FB2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8FD" w14:textId="77777777" w:rsidR="00FB2CC4" w:rsidRDefault="00FB2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535F" w14:textId="77777777" w:rsidR="00FB2CC4" w:rsidRDefault="00FB2C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646B" w14:textId="77777777" w:rsidR="00FB2CC4" w:rsidRDefault="00FB2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26D3" w14:textId="77777777" w:rsidR="006E3BE9" w:rsidRDefault="006E3BE9" w:rsidP="00FB2CC4">
      <w:pPr>
        <w:spacing w:after="0" w:line="240" w:lineRule="auto"/>
      </w:pPr>
      <w:r>
        <w:separator/>
      </w:r>
    </w:p>
  </w:footnote>
  <w:footnote w:type="continuationSeparator" w:id="0">
    <w:p w14:paraId="24BFF8DF" w14:textId="77777777" w:rsidR="006E3BE9" w:rsidRDefault="006E3BE9" w:rsidP="00FB2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327D" w14:textId="77777777" w:rsidR="00FB2CC4" w:rsidRDefault="00FB2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A8D5"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Research Project: Statistical Analysis Plan</w:t>
    </w:r>
  </w:p>
  <w:p w14:paraId="4741D875"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Title:</w:t>
    </w:r>
    <w:r w:rsidRPr="00FB2CC4">
      <w:rPr>
        <w:rFonts w:asciiTheme="majorBidi" w:hAnsiTheme="majorBidi" w:cstheme="majorBidi"/>
      </w:rPr>
      <w:t> Towards a Safe Digital Environment: The Role of Digital Fitness and Responsibility in Reducing Cyberbullying Among University Students</w:t>
    </w:r>
  </w:p>
  <w:p w14:paraId="2F0B1172"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Research Questions &amp; Statistical Approach</w:t>
    </w:r>
  </w:p>
  <w:p w14:paraId="56A8FC1C"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1. To what extent do Digital Fitness and Digital Responsibility collectively predict lower levels of cyberbullying involvement (victimization and perpetration) among university students?</w:t>
    </w:r>
  </w:p>
  <w:p w14:paraId="2BDC92C4" w14:textId="77777777" w:rsidR="00FB2CC4" w:rsidRPr="00FB2CC4" w:rsidRDefault="00FB2CC4" w:rsidP="00FB2CC4">
    <w:pPr>
      <w:pStyle w:val="Header"/>
      <w:numPr>
        <w:ilvl w:val="0"/>
        <w:numId w:val="8"/>
      </w:numPr>
      <w:spacing w:line="360" w:lineRule="auto"/>
      <w:rPr>
        <w:rFonts w:asciiTheme="majorBidi" w:hAnsiTheme="majorBidi" w:cstheme="majorBidi"/>
      </w:rPr>
    </w:pPr>
    <w:r w:rsidRPr="00FB2CC4">
      <w:rPr>
        <w:rFonts w:asciiTheme="majorBidi" w:hAnsiTheme="majorBidi" w:cstheme="majorBidi"/>
        <w:b/>
        <w:bCs/>
      </w:rPr>
      <w:t>Statistical Method:</w:t>
    </w:r>
    <w:r w:rsidRPr="00FB2CC4">
      <w:rPr>
        <w:rFonts w:asciiTheme="majorBidi" w:hAnsiTheme="majorBidi" w:cstheme="majorBidi"/>
      </w:rPr>
      <w:t> Multiple Linear Regression.</w:t>
    </w:r>
  </w:p>
  <w:p w14:paraId="47F745D0" w14:textId="77777777" w:rsidR="00FB2CC4" w:rsidRPr="00FB2CC4" w:rsidRDefault="00FB2CC4" w:rsidP="00FB2CC4">
    <w:pPr>
      <w:pStyle w:val="Header"/>
      <w:numPr>
        <w:ilvl w:val="0"/>
        <w:numId w:val="8"/>
      </w:numPr>
      <w:spacing w:line="360" w:lineRule="auto"/>
      <w:rPr>
        <w:rFonts w:asciiTheme="majorBidi" w:hAnsiTheme="majorBidi" w:cstheme="majorBidi"/>
      </w:rPr>
    </w:pPr>
    <w:r w:rsidRPr="00FB2CC4">
      <w:rPr>
        <w:rFonts w:asciiTheme="majorBidi" w:hAnsiTheme="majorBidi" w:cstheme="majorBidi"/>
        <w:b/>
        <w:bCs/>
      </w:rPr>
      <w:t>Application:</w:t>
    </w:r>
    <w:r w:rsidRPr="00FB2CC4">
      <w:rPr>
        <w:rFonts w:asciiTheme="majorBidi" w:hAnsiTheme="majorBidi" w:cstheme="majorBidi"/>
      </w:rPr>
      <w:t> Two separate regression models will be constructed.</w:t>
    </w:r>
  </w:p>
  <w:p w14:paraId="743E29E1" w14:textId="77777777" w:rsidR="00FB2CC4" w:rsidRPr="00FB2CC4" w:rsidRDefault="00FB2CC4" w:rsidP="00FB2CC4">
    <w:pPr>
      <w:pStyle w:val="Header"/>
      <w:numPr>
        <w:ilvl w:val="1"/>
        <w:numId w:val="8"/>
      </w:numPr>
      <w:spacing w:line="360" w:lineRule="auto"/>
      <w:rPr>
        <w:rFonts w:asciiTheme="majorBidi" w:hAnsiTheme="majorBidi" w:cstheme="majorBidi"/>
      </w:rPr>
    </w:pPr>
    <w:r w:rsidRPr="00FB2CC4">
      <w:rPr>
        <w:rFonts w:asciiTheme="majorBidi" w:hAnsiTheme="majorBidi" w:cstheme="majorBidi"/>
        <w:b/>
        <w:bCs/>
      </w:rPr>
      <w:t>Model 1 (Predicting Victimization):</w:t>
    </w:r>
  </w:p>
  <w:p w14:paraId="0FD99D78" w14:textId="77777777" w:rsidR="00FB2CC4" w:rsidRPr="00FB2CC4" w:rsidRDefault="00FB2CC4" w:rsidP="00FB2CC4">
    <w:pPr>
      <w:pStyle w:val="Header"/>
      <w:numPr>
        <w:ilvl w:val="2"/>
        <w:numId w:val="8"/>
      </w:numPr>
      <w:spacing w:line="360" w:lineRule="auto"/>
      <w:rPr>
        <w:rFonts w:asciiTheme="majorBidi" w:hAnsiTheme="majorBidi" w:cstheme="majorBidi"/>
      </w:rPr>
    </w:pPr>
    <w:r w:rsidRPr="00FB2CC4">
      <w:rPr>
        <w:rFonts w:asciiTheme="majorBidi" w:hAnsiTheme="majorBidi" w:cstheme="majorBidi"/>
        <w:b/>
        <w:bCs/>
      </w:rPr>
      <w:t>Dependent Variable:</w:t>
    </w:r>
    <w:r w:rsidRPr="00FB2CC4">
      <w:rPr>
        <w:rFonts w:asciiTheme="majorBidi" w:hAnsiTheme="majorBidi" w:cstheme="majorBidi"/>
      </w:rPr>
      <w:t> Overall Cyberbullying Victimization Score.</w:t>
    </w:r>
  </w:p>
  <w:p w14:paraId="2A7ABA78" w14:textId="77777777" w:rsidR="00FB2CC4" w:rsidRPr="00FB2CC4" w:rsidRDefault="00FB2CC4" w:rsidP="00FB2CC4">
    <w:pPr>
      <w:pStyle w:val="Header"/>
      <w:numPr>
        <w:ilvl w:val="2"/>
        <w:numId w:val="8"/>
      </w:numPr>
      <w:spacing w:line="360" w:lineRule="auto"/>
      <w:rPr>
        <w:rFonts w:asciiTheme="majorBidi" w:hAnsiTheme="majorBidi" w:cstheme="majorBidi"/>
      </w:rPr>
    </w:pPr>
    <w:r w:rsidRPr="00FB2CC4">
      <w:rPr>
        <w:rFonts w:asciiTheme="majorBidi" w:hAnsiTheme="majorBidi" w:cstheme="majorBidi"/>
        <w:b/>
        <w:bCs/>
      </w:rPr>
      <w:t>Independent (Predictor) Variables:</w:t>
    </w:r>
    <w:r w:rsidRPr="00FB2CC4">
      <w:rPr>
        <w:rFonts w:asciiTheme="majorBidi" w:hAnsiTheme="majorBidi" w:cstheme="majorBidi"/>
      </w:rPr>
      <w:t> Overall Digital Fitness Score and Overall Digital Responsibility Score.</w:t>
    </w:r>
  </w:p>
  <w:p w14:paraId="41505813" w14:textId="77777777" w:rsidR="00FB2CC4" w:rsidRPr="00FB2CC4" w:rsidRDefault="00FB2CC4" w:rsidP="00FB2CC4">
    <w:pPr>
      <w:pStyle w:val="Header"/>
      <w:numPr>
        <w:ilvl w:val="1"/>
        <w:numId w:val="8"/>
      </w:numPr>
      <w:spacing w:line="360" w:lineRule="auto"/>
      <w:rPr>
        <w:rFonts w:asciiTheme="majorBidi" w:hAnsiTheme="majorBidi" w:cstheme="majorBidi"/>
      </w:rPr>
    </w:pPr>
    <w:r w:rsidRPr="00FB2CC4">
      <w:rPr>
        <w:rFonts w:asciiTheme="majorBidi" w:hAnsiTheme="majorBidi" w:cstheme="majorBidi"/>
        <w:b/>
        <w:bCs/>
      </w:rPr>
      <w:t>Model 2 (Predicting Perpetration):</w:t>
    </w:r>
  </w:p>
  <w:p w14:paraId="424F9982" w14:textId="77777777" w:rsidR="00FB2CC4" w:rsidRPr="00FB2CC4" w:rsidRDefault="00FB2CC4" w:rsidP="00FB2CC4">
    <w:pPr>
      <w:pStyle w:val="Header"/>
      <w:numPr>
        <w:ilvl w:val="2"/>
        <w:numId w:val="8"/>
      </w:numPr>
      <w:spacing w:line="360" w:lineRule="auto"/>
      <w:rPr>
        <w:rFonts w:asciiTheme="majorBidi" w:hAnsiTheme="majorBidi" w:cstheme="majorBidi"/>
      </w:rPr>
    </w:pPr>
    <w:r w:rsidRPr="00FB2CC4">
      <w:rPr>
        <w:rFonts w:asciiTheme="majorBidi" w:hAnsiTheme="majorBidi" w:cstheme="majorBidi"/>
        <w:b/>
        <w:bCs/>
      </w:rPr>
      <w:t>Dependent Variable:</w:t>
    </w:r>
    <w:r w:rsidRPr="00FB2CC4">
      <w:rPr>
        <w:rFonts w:asciiTheme="majorBidi" w:hAnsiTheme="majorBidi" w:cstheme="majorBidi"/>
      </w:rPr>
      <w:t> Overall Cyberbullying Perpetration Score.</w:t>
    </w:r>
  </w:p>
  <w:p w14:paraId="02C0EA72" w14:textId="77777777" w:rsidR="00FB2CC4" w:rsidRPr="00FB2CC4" w:rsidRDefault="00FB2CC4" w:rsidP="00FB2CC4">
    <w:pPr>
      <w:pStyle w:val="Header"/>
      <w:numPr>
        <w:ilvl w:val="2"/>
        <w:numId w:val="8"/>
      </w:numPr>
      <w:spacing w:line="360" w:lineRule="auto"/>
      <w:rPr>
        <w:rFonts w:asciiTheme="majorBidi" w:hAnsiTheme="majorBidi" w:cstheme="majorBidi"/>
      </w:rPr>
    </w:pPr>
    <w:r w:rsidRPr="00FB2CC4">
      <w:rPr>
        <w:rFonts w:asciiTheme="majorBidi" w:hAnsiTheme="majorBidi" w:cstheme="majorBidi"/>
        <w:b/>
        <w:bCs/>
      </w:rPr>
      <w:t>Independent (Predictor) Variables:</w:t>
    </w:r>
    <w:r w:rsidRPr="00FB2CC4">
      <w:rPr>
        <w:rFonts w:asciiTheme="majorBidi" w:hAnsiTheme="majorBidi" w:cstheme="majorBidi"/>
      </w:rPr>
      <w:t> Overall Digital Fitness Score and Overall Digital Responsibility Score.</w:t>
    </w:r>
  </w:p>
  <w:p w14:paraId="3DEEBF34" w14:textId="77777777" w:rsidR="00FB2CC4" w:rsidRPr="00FB2CC4" w:rsidRDefault="00FB2CC4" w:rsidP="00FB2CC4">
    <w:pPr>
      <w:pStyle w:val="Header"/>
      <w:numPr>
        <w:ilvl w:val="0"/>
        <w:numId w:val="8"/>
      </w:numPr>
      <w:spacing w:line="360" w:lineRule="auto"/>
      <w:rPr>
        <w:rFonts w:asciiTheme="majorBidi" w:hAnsiTheme="majorBidi" w:cstheme="majorBidi"/>
      </w:rPr>
    </w:pPr>
    <w:r w:rsidRPr="00FB2CC4">
      <w:rPr>
        <w:rFonts w:asciiTheme="majorBidi" w:hAnsiTheme="majorBidi" w:cstheme="majorBidi"/>
        <w:b/>
        <w:bCs/>
      </w:rPr>
      <w:t>Key Results to Analyze:</w:t>
    </w:r>
  </w:p>
  <w:p w14:paraId="0B29F2AE" w14:textId="77777777" w:rsidR="00FB2CC4" w:rsidRPr="00FB2CC4" w:rsidRDefault="00FB2CC4" w:rsidP="00FB2CC4">
    <w:pPr>
      <w:pStyle w:val="Header"/>
      <w:numPr>
        <w:ilvl w:val="1"/>
        <w:numId w:val="9"/>
      </w:numPr>
      <w:spacing w:line="360" w:lineRule="auto"/>
      <w:rPr>
        <w:rFonts w:asciiTheme="majorBidi" w:hAnsiTheme="majorBidi" w:cstheme="majorBidi"/>
      </w:rPr>
    </w:pPr>
    <w:r w:rsidRPr="00FB2CC4">
      <w:rPr>
        <w:rFonts w:asciiTheme="majorBidi" w:hAnsiTheme="majorBidi" w:cstheme="majorBidi"/>
        <w:b/>
        <w:bCs/>
      </w:rPr>
      <w:t>Adjusted R²:</w:t>
    </w:r>
    <w:r w:rsidRPr="00FB2CC4">
      <w:rPr>
        <w:rFonts w:asciiTheme="majorBidi" w:hAnsiTheme="majorBidi" w:cstheme="majorBidi"/>
      </w:rPr>
      <w:t> This value answers "to what extent?" by indicating the percentage of variance in cyberbullying that can be explained by Digital Fitness and Digital Responsibility combined.</w:t>
    </w:r>
  </w:p>
  <w:p w14:paraId="634FBDF2" w14:textId="77777777" w:rsidR="00FB2CC4" w:rsidRPr="00FB2CC4" w:rsidRDefault="00FB2CC4" w:rsidP="00FB2CC4">
    <w:pPr>
      <w:pStyle w:val="Header"/>
      <w:numPr>
        <w:ilvl w:val="1"/>
        <w:numId w:val="9"/>
      </w:numPr>
      <w:spacing w:line="360" w:lineRule="auto"/>
      <w:rPr>
        <w:rFonts w:asciiTheme="majorBidi" w:hAnsiTheme="majorBidi" w:cstheme="majorBidi"/>
      </w:rPr>
    </w:pPr>
    <w:r w:rsidRPr="00FB2CC4">
      <w:rPr>
        <w:rFonts w:asciiTheme="majorBidi" w:hAnsiTheme="majorBidi" w:cstheme="majorBidi"/>
        <w:b/>
        <w:bCs/>
      </w:rPr>
      <w:t>Model Significance (F-statistic and p-value):</w:t>
    </w:r>
    <w:r w:rsidRPr="00FB2CC4">
      <w:rPr>
        <w:rFonts w:asciiTheme="majorBidi" w:hAnsiTheme="majorBidi" w:cstheme="majorBidi"/>
      </w:rPr>
      <w:t> To confirm that the overall model predicts the outcome significantly better than chance (requires p &lt; .05).</w:t>
    </w:r>
  </w:p>
  <w:p w14:paraId="0536EAB9" w14:textId="77777777" w:rsidR="00FB2CC4" w:rsidRPr="00FB2CC4" w:rsidRDefault="00FB2CC4" w:rsidP="00FB2CC4">
    <w:pPr>
      <w:pStyle w:val="Header"/>
      <w:numPr>
        <w:ilvl w:val="1"/>
        <w:numId w:val="9"/>
      </w:numPr>
      <w:spacing w:line="360" w:lineRule="auto"/>
      <w:rPr>
        <w:rFonts w:asciiTheme="majorBidi" w:hAnsiTheme="majorBidi" w:cstheme="majorBidi"/>
      </w:rPr>
    </w:pPr>
    <w:r w:rsidRPr="00FB2CC4">
      <w:rPr>
        <w:rFonts w:asciiTheme="majorBidi" w:hAnsiTheme="majorBidi" w:cstheme="majorBidi"/>
        <w:b/>
        <w:bCs/>
      </w:rPr>
      <w:t>Beta (β) Coefficients and p-values:</w:t>
    </w:r>
    <w:r w:rsidRPr="00FB2CC4">
      <w:rPr>
        <w:rFonts w:asciiTheme="majorBidi" w:hAnsiTheme="majorBidi" w:cstheme="majorBidi"/>
      </w:rPr>
      <w:t> To determine if Digital Fitness and Digital Responsibility each have a statistically significant predictive impact when included in the model together.</w:t>
    </w:r>
  </w:p>
  <w:p w14:paraId="71E6EFE0" w14:textId="77777777" w:rsidR="00FB2CC4" w:rsidRPr="00FB2CC4" w:rsidRDefault="00FB2CC4" w:rsidP="00FB2CC4">
    <w:pPr>
      <w:pStyle w:val="Header"/>
      <w:spacing w:line="360" w:lineRule="auto"/>
      <w:rPr>
        <w:rFonts w:asciiTheme="majorBidi" w:hAnsiTheme="majorBidi" w:cstheme="majorBidi"/>
      </w:rPr>
    </w:pPr>
  </w:p>
  <w:p w14:paraId="1F645574" w14:textId="77777777" w:rsidR="00FB2CC4" w:rsidRPr="00FB2CC4" w:rsidRDefault="00FB2CC4" w:rsidP="00FB2CC4">
    <w:pPr>
      <w:pStyle w:val="Header"/>
      <w:spacing w:line="360" w:lineRule="auto"/>
      <w:rPr>
        <w:rFonts w:asciiTheme="majorBidi" w:hAnsiTheme="majorBidi" w:cstheme="majorBidi"/>
      </w:rPr>
    </w:pPr>
  </w:p>
  <w:p w14:paraId="3198A2EE" w14:textId="438D50DF"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2. Which specific dimensions of Digital Fitness (i.e., Digital Literacy, Digital Resilience, Digital Safety) and Digital Responsibility (i.e., Interpersonal Ethics, Community Responsibility) are the most significant predictors of lower cyberbullying victimization and perpetration, respectively?</w:t>
    </w:r>
  </w:p>
  <w:p w14:paraId="47AF46B3" w14:textId="77777777" w:rsidR="00FB2CC4" w:rsidRPr="00FB2CC4" w:rsidRDefault="00FB2CC4" w:rsidP="00FB2CC4">
    <w:pPr>
      <w:pStyle w:val="Header"/>
      <w:numPr>
        <w:ilvl w:val="0"/>
        <w:numId w:val="10"/>
      </w:numPr>
      <w:spacing w:line="360" w:lineRule="auto"/>
      <w:rPr>
        <w:rFonts w:asciiTheme="majorBidi" w:hAnsiTheme="majorBidi" w:cstheme="majorBidi"/>
      </w:rPr>
    </w:pPr>
    <w:r w:rsidRPr="00FB2CC4">
      <w:rPr>
        <w:rFonts w:asciiTheme="majorBidi" w:hAnsiTheme="majorBidi" w:cstheme="majorBidi"/>
        <w:b/>
        <w:bCs/>
      </w:rPr>
      <w:t>Statistical Method:</w:t>
    </w:r>
    <w:r w:rsidRPr="00FB2CC4">
      <w:rPr>
        <w:rFonts w:asciiTheme="majorBidi" w:hAnsiTheme="majorBidi" w:cstheme="majorBidi"/>
      </w:rPr>
      <w:t> Multiple Linear Regression (using sub-dimensions instead of total scores).</w:t>
    </w:r>
  </w:p>
  <w:p w14:paraId="2A380A62" w14:textId="77777777" w:rsidR="00FB2CC4" w:rsidRPr="00FB2CC4" w:rsidRDefault="00FB2CC4" w:rsidP="00FB2CC4">
    <w:pPr>
      <w:pStyle w:val="Header"/>
      <w:numPr>
        <w:ilvl w:val="0"/>
        <w:numId w:val="10"/>
      </w:numPr>
      <w:spacing w:line="360" w:lineRule="auto"/>
      <w:rPr>
        <w:rFonts w:asciiTheme="majorBidi" w:hAnsiTheme="majorBidi" w:cstheme="majorBidi"/>
      </w:rPr>
    </w:pPr>
    <w:r w:rsidRPr="00FB2CC4">
      <w:rPr>
        <w:rFonts w:asciiTheme="majorBidi" w:hAnsiTheme="majorBidi" w:cstheme="majorBidi"/>
        <w:b/>
        <w:bCs/>
      </w:rPr>
      <w:t>Application:</w:t>
    </w:r>
    <w:r w:rsidRPr="00FB2CC4">
      <w:rPr>
        <w:rFonts w:asciiTheme="majorBidi" w:hAnsiTheme="majorBidi" w:cstheme="majorBidi"/>
      </w:rPr>
      <w:t> Two detailed regression models will be constructed.</w:t>
    </w:r>
  </w:p>
  <w:p w14:paraId="42F324C6" w14:textId="77777777" w:rsidR="00FB2CC4" w:rsidRPr="00FB2CC4" w:rsidRDefault="00FB2CC4" w:rsidP="00FB2CC4">
    <w:pPr>
      <w:pStyle w:val="Header"/>
      <w:numPr>
        <w:ilvl w:val="1"/>
        <w:numId w:val="10"/>
      </w:numPr>
      <w:spacing w:line="360" w:lineRule="auto"/>
      <w:rPr>
        <w:rFonts w:asciiTheme="majorBidi" w:hAnsiTheme="majorBidi" w:cstheme="majorBidi"/>
      </w:rPr>
    </w:pPr>
    <w:r w:rsidRPr="00FB2CC4">
      <w:rPr>
        <w:rFonts w:asciiTheme="majorBidi" w:hAnsiTheme="majorBidi" w:cstheme="majorBidi"/>
        <w:b/>
        <w:bCs/>
      </w:rPr>
      <w:t>Victimization Prediction Model:</w:t>
    </w:r>
  </w:p>
  <w:p w14:paraId="04D68B3D" w14:textId="77777777" w:rsidR="00FB2CC4" w:rsidRPr="00FB2CC4" w:rsidRDefault="00FB2CC4" w:rsidP="00FB2CC4">
    <w:pPr>
      <w:pStyle w:val="Header"/>
      <w:numPr>
        <w:ilvl w:val="2"/>
        <w:numId w:val="10"/>
      </w:numPr>
      <w:spacing w:line="360" w:lineRule="auto"/>
      <w:rPr>
        <w:rFonts w:asciiTheme="majorBidi" w:hAnsiTheme="majorBidi" w:cstheme="majorBidi"/>
      </w:rPr>
    </w:pPr>
    <w:r w:rsidRPr="00FB2CC4">
      <w:rPr>
        <w:rFonts w:asciiTheme="majorBidi" w:hAnsiTheme="majorBidi" w:cstheme="majorBidi"/>
        <w:b/>
        <w:bCs/>
      </w:rPr>
      <w:t>Dependent Variable:</w:t>
    </w:r>
    <w:r w:rsidRPr="00FB2CC4">
      <w:rPr>
        <w:rFonts w:asciiTheme="majorBidi" w:hAnsiTheme="majorBidi" w:cstheme="majorBidi"/>
      </w:rPr>
      <w:t> Cyberbullying Victimization Score.</w:t>
    </w:r>
  </w:p>
  <w:p w14:paraId="35A84554" w14:textId="77777777" w:rsidR="00FB2CC4" w:rsidRPr="00FB2CC4" w:rsidRDefault="00FB2CC4" w:rsidP="00FB2CC4">
    <w:pPr>
      <w:pStyle w:val="Header"/>
      <w:numPr>
        <w:ilvl w:val="2"/>
        <w:numId w:val="10"/>
      </w:numPr>
      <w:spacing w:line="360" w:lineRule="auto"/>
      <w:rPr>
        <w:rFonts w:asciiTheme="majorBidi" w:hAnsiTheme="majorBidi" w:cstheme="majorBidi"/>
      </w:rPr>
    </w:pPr>
    <w:r w:rsidRPr="00FB2CC4">
      <w:rPr>
        <w:rFonts w:asciiTheme="majorBidi" w:hAnsiTheme="majorBidi" w:cstheme="majorBidi"/>
        <w:b/>
        <w:bCs/>
      </w:rPr>
      <w:t>Independent (Predictor) Variables:</w:t>
    </w:r>
    <w:r w:rsidRPr="00FB2CC4">
      <w:rPr>
        <w:rFonts w:asciiTheme="majorBidi" w:hAnsiTheme="majorBidi" w:cstheme="majorBidi"/>
      </w:rPr>
      <w:t> All sub-dimensions (Digital Literacy, Digital Resilience, Digital Safety, Interpersonal Ethics, Community Responsibility).</w:t>
    </w:r>
  </w:p>
  <w:p w14:paraId="13787AC4" w14:textId="77777777" w:rsidR="00FB2CC4" w:rsidRPr="00FB2CC4" w:rsidRDefault="00FB2CC4" w:rsidP="00FB2CC4">
    <w:pPr>
      <w:pStyle w:val="Header"/>
      <w:numPr>
        <w:ilvl w:val="1"/>
        <w:numId w:val="10"/>
      </w:numPr>
      <w:spacing w:line="360" w:lineRule="auto"/>
      <w:rPr>
        <w:rFonts w:asciiTheme="majorBidi" w:hAnsiTheme="majorBidi" w:cstheme="majorBidi"/>
      </w:rPr>
    </w:pPr>
    <w:r w:rsidRPr="00FB2CC4">
      <w:rPr>
        <w:rFonts w:asciiTheme="majorBidi" w:hAnsiTheme="majorBidi" w:cstheme="majorBidi"/>
        <w:b/>
        <w:bCs/>
      </w:rPr>
      <w:t>Perpetration Prediction Model:</w:t>
    </w:r>
  </w:p>
  <w:p w14:paraId="100A5D1D" w14:textId="77777777" w:rsidR="00FB2CC4" w:rsidRPr="00FB2CC4" w:rsidRDefault="00FB2CC4" w:rsidP="00FB2CC4">
    <w:pPr>
      <w:pStyle w:val="Header"/>
      <w:numPr>
        <w:ilvl w:val="2"/>
        <w:numId w:val="10"/>
      </w:numPr>
      <w:spacing w:line="360" w:lineRule="auto"/>
      <w:rPr>
        <w:rFonts w:asciiTheme="majorBidi" w:hAnsiTheme="majorBidi" w:cstheme="majorBidi"/>
      </w:rPr>
    </w:pPr>
    <w:r w:rsidRPr="00FB2CC4">
      <w:rPr>
        <w:rFonts w:asciiTheme="majorBidi" w:hAnsiTheme="majorBidi" w:cstheme="majorBidi"/>
        <w:b/>
        <w:bCs/>
      </w:rPr>
      <w:t>Dependent Variable:</w:t>
    </w:r>
    <w:r w:rsidRPr="00FB2CC4">
      <w:rPr>
        <w:rFonts w:asciiTheme="majorBidi" w:hAnsiTheme="majorBidi" w:cstheme="majorBidi"/>
      </w:rPr>
      <w:t> Cyberbullying Perpetration Score.</w:t>
    </w:r>
  </w:p>
  <w:p w14:paraId="78A2E5F1" w14:textId="77777777" w:rsidR="00FB2CC4" w:rsidRPr="00FB2CC4" w:rsidRDefault="00FB2CC4" w:rsidP="00FB2CC4">
    <w:pPr>
      <w:pStyle w:val="Header"/>
      <w:numPr>
        <w:ilvl w:val="2"/>
        <w:numId w:val="10"/>
      </w:numPr>
      <w:spacing w:line="360" w:lineRule="auto"/>
      <w:rPr>
        <w:rFonts w:asciiTheme="majorBidi" w:hAnsiTheme="majorBidi" w:cstheme="majorBidi"/>
      </w:rPr>
    </w:pPr>
    <w:r w:rsidRPr="00FB2CC4">
      <w:rPr>
        <w:rFonts w:asciiTheme="majorBidi" w:hAnsiTheme="majorBidi" w:cstheme="majorBidi"/>
        <w:b/>
        <w:bCs/>
      </w:rPr>
      <w:t>Independent (Predictor) Variables:</w:t>
    </w:r>
    <w:r w:rsidRPr="00FB2CC4">
      <w:rPr>
        <w:rFonts w:asciiTheme="majorBidi" w:hAnsiTheme="majorBidi" w:cstheme="majorBidi"/>
      </w:rPr>
      <w:t> All sub-dimensions listed above.</w:t>
    </w:r>
  </w:p>
  <w:p w14:paraId="1C5C4889" w14:textId="77777777" w:rsidR="00FB2CC4" w:rsidRPr="00FB2CC4" w:rsidRDefault="00FB2CC4" w:rsidP="00FB2CC4">
    <w:pPr>
      <w:pStyle w:val="Header"/>
      <w:numPr>
        <w:ilvl w:val="0"/>
        <w:numId w:val="10"/>
      </w:numPr>
      <w:spacing w:line="360" w:lineRule="auto"/>
      <w:rPr>
        <w:rFonts w:asciiTheme="majorBidi" w:hAnsiTheme="majorBidi" w:cstheme="majorBidi"/>
      </w:rPr>
    </w:pPr>
    <w:r w:rsidRPr="00FB2CC4">
      <w:rPr>
        <w:rFonts w:asciiTheme="majorBidi" w:hAnsiTheme="majorBidi" w:cstheme="majorBidi"/>
        <w:b/>
        <w:bCs/>
      </w:rPr>
      <w:t>Key Results to Analyze:</w:t>
    </w:r>
  </w:p>
  <w:p w14:paraId="1B577E86" w14:textId="77777777" w:rsidR="00FB2CC4" w:rsidRPr="00FB2CC4" w:rsidRDefault="00FB2CC4" w:rsidP="00FB2CC4">
    <w:pPr>
      <w:pStyle w:val="Header"/>
      <w:numPr>
        <w:ilvl w:val="1"/>
        <w:numId w:val="11"/>
      </w:numPr>
      <w:spacing w:line="360" w:lineRule="auto"/>
      <w:rPr>
        <w:rFonts w:asciiTheme="majorBidi" w:hAnsiTheme="majorBidi" w:cstheme="majorBidi"/>
      </w:rPr>
    </w:pPr>
    <w:r w:rsidRPr="00FB2CC4">
      <w:rPr>
        <w:rFonts w:asciiTheme="majorBidi" w:hAnsiTheme="majorBidi" w:cstheme="majorBidi"/>
        <w:b/>
        <w:bCs/>
      </w:rPr>
      <w:t>Standardized Beta Coefficients (β):</w:t>
    </w:r>
    <w:r w:rsidRPr="00FB2CC4">
      <w:rPr>
        <w:rFonts w:asciiTheme="majorBidi" w:hAnsiTheme="majorBidi" w:cstheme="majorBidi"/>
      </w:rPr>
      <w:t> This is the most crucial value for answering "which is most significant?". Standardized coefficients are used to compare the relative predictive power of different variables. The sub-dimension with the highest absolute Beta value (regardless of the positive or negative sign) is considered the strongest predictor, provided its p-value is significant (p &lt; .05).</w:t>
    </w:r>
  </w:p>
  <w:p w14:paraId="069D8A7D"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rPr>
      <w:pict w14:anchorId="34E49CAB">
        <v:rect id="_x0000_i1058" style="width:563.4pt;height:1.5pt" o:hrpct="0" o:hralign="center" o:hrstd="t" o:hrnoshade="t" o:hr="t" fillcolor="#1a1c1e" stroked="f"/>
      </w:pict>
    </w:r>
  </w:p>
  <w:p w14:paraId="64D68C8A"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3. Does Digital Responsibility mediate the relationship between Digital Fitness and cyberbullying perpetration?</w:t>
    </w:r>
  </w:p>
  <w:p w14:paraId="15DA6DA4" w14:textId="77777777" w:rsidR="00FB2CC4" w:rsidRPr="00FB2CC4" w:rsidRDefault="00FB2CC4" w:rsidP="00FB2CC4">
    <w:pPr>
      <w:pStyle w:val="Header"/>
      <w:numPr>
        <w:ilvl w:val="0"/>
        <w:numId w:val="12"/>
      </w:numPr>
      <w:spacing w:line="360" w:lineRule="auto"/>
      <w:rPr>
        <w:rFonts w:asciiTheme="majorBidi" w:hAnsiTheme="majorBidi" w:cstheme="majorBidi"/>
      </w:rPr>
    </w:pPr>
    <w:r w:rsidRPr="00FB2CC4">
      <w:rPr>
        <w:rFonts w:asciiTheme="majorBidi" w:hAnsiTheme="majorBidi" w:cstheme="majorBidi"/>
        <w:b/>
        <w:bCs/>
      </w:rPr>
      <w:t>Statistical Method:</w:t>
    </w:r>
    <w:r w:rsidRPr="00FB2CC4">
      <w:rPr>
        <w:rFonts w:asciiTheme="majorBidi" w:hAnsiTheme="majorBidi" w:cstheme="majorBidi"/>
      </w:rPr>
      <w:t> Mediation Analysis, preferably using Bootstrapping.</w:t>
    </w:r>
  </w:p>
  <w:p w14:paraId="77ACE871" w14:textId="77777777" w:rsidR="00FB2CC4" w:rsidRPr="00FB2CC4" w:rsidRDefault="00FB2CC4" w:rsidP="00FB2CC4">
    <w:pPr>
      <w:pStyle w:val="Header"/>
      <w:numPr>
        <w:ilvl w:val="0"/>
        <w:numId w:val="12"/>
      </w:numPr>
      <w:spacing w:line="360" w:lineRule="auto"/>
      <w:rPr>
        <w:rFonts w:asciiTheme="majorBidi" w:hAnsiTheme="majorBidi" w:cstheme="majorBidi"/>
      </w:rPr>
    </w:pPr>
    <w:r w:rsidRPr="00FB2CC4">
      <w:rPr>
        <w:rFonts w:asciiTheme="majorBidi" w:hAnsiTheme="majorBidi" w:cstheme="majorBidi"/>
        <w:b/>
        <w:bCs/>
      </w:rPr>
      <w:t>Application:</w:t>
    </w:r>
    <w:r w:rsidRPr="00FB2CC4">
      <w:rPr>
        <w:rFonts w:asciiTheme="majorBidi" w:hAnsiTheme="majorBidi" w:cstheme="majorBidi"/>
      </w:rPr>
      <w:t> This modern and robust method is superior to older approaches. It can be performed using dedicated software.</w:t>
    </w:r>
  </w:p>
  <w:p w14:paraId="3F5E3C46"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Software:</w:t>
    </w:r>
    <w:r w:rsidRPr="00FB2CC4">
      <w:rPr>
        <w:rFonts w:asciiTheme="majorBidi" w:hAnsiTheme="majorBidi" w:cstheme="majorBidi"/>
      </w:rPr>
      <w:t> IBM SPSS AMOS or the PROCESS Macro for SPSS (developed by Andrew Hayes).</w:t>
    </w:r>
  </w:p>
  <w:p w14:paraId="1D3B21C6"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Independent Variable (X):</w:t>
    </w:r>
    <w:r w:rsidRPr="00FB2CC4">
      <w:rPr>
        <w:rFonts w:asciiTheme="majorBidi" w:hAnsiTheme="majorBidi" w:cstheme="majorBidi"/>
      </w:rPr>
      <w:t> Digital Fitness</w:t>
    </w:r>
  </w:p>
  <w:p w14:paraId="008B6254"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Mediator Variable (M):</w:t>
    </w:r>
    <w:r w:rsidRPr="00FB2CC4">
      <w:rPr>
        <w:rFonts w:asciiTheme="majorBidi" w:hAnsiTheme="majorBidi" w:cstheme="majorBidi"/>
      </w:rPr>
      <w:t> Digital Responsibility</w:t>
    </w:r>
  </w:p>
  <w:p w14:paraId="7E47E93C"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Dependent Variable (Y):</w:t>
    </w:r>
    <w:r w:rsidRPr="00FB2CC4">
      <w:rPr>
        <w:rFonts w:asciiTheme="majorBidi" w:hAnsiTheme="majorBidi" w:cstheme="majorBidi"/>
      </w:rPr>
      <w:t> Cyberbullying Perpetration</w:t>
    </w:r>
  </w:p>
  <w:p w14:paraId="27CB8FE5" w14:textId="77777777" w:rsidR="00FB2CC4" w:rsidRPr="00FB2CC4" w:rsidRDefault="00FB2CC4" w:rsidP="00FB2CC4">
    <w:pPr>
      <w:pStyle w:val="Header"/>
      <w:numPr>
        <w:ilvl w:val="0"/>
        <w:numId w:val="12"/>
      </w:numPr>
      <w:spacing w:line="360" w:lineRule="auto"/>
      <w:rPr>
        <w:rFonts w:asciiTheme="majorBidi" w:hAnsiTheme="majorBidi" w:cstheme="majorBidi"/>
      </w:rPr>
    </w:pPr>
    <w:r w:rsidRPr="00FB2CC4">
      <w:rPr>
        <w:rFonts w:asciiTheme="majorBidi" w:hAnsiTheme="majorBidi" w:cstheme="majorBidi"/>
        <w:b/>
        <w:bCs/>
      </w:rPr>
      <w:t>Key Results to Analyze:</w:t>
    </w:r>
  </w:p>
  <w:p w14:paraId="475C1530"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Indirect Effect:</w:t>
    </w:r>
    <w:r w:rsidRPr="00FB2CC4">
      <w:rPr>
        <w:rFonts w:asciiTheme="majorBidi" w:hAnsiTheme="majorBidi" w:cstheme="majorBidi"/>
      </w:rPr>
      <w:t> This is the core of the mediation analysis.</w:t>
    </w:r>
  </w:p>
  <w:p w14:paraId="32A5B9D7" w14:textId="77777777" w:rsidR="00FB2CC4" w:rsidRPr="00FB2CC4" w:rsidRDefault="00FB2CC4" w:rsidP="00FB2CC4">
    <w:pPr>
      <w:pStyle w:val="Header"/>
      <w:numPr>
        <w:ilvl w:val="1"/>
        <w:numId w:val="12"/>
      </w:numPr>
      <w:spacing w:line="360" w:lineRule="auto"/>
      <w:rPr>
        <w:rFonts w:asciiTheme="majorBidi" w:hAnsiTheme="majorBidi" w:cstheme="majorBidi"/>
      </w:rPr>
    </w:pPr>
    <w:r w:rsidRPr="00FB2CC4">
      <w:rPr>
        <w:rFonts w:asciiTheme="majorBidi" w:hAnsiTheme="majorBidi" w:cstheme="majorBidi"/>
        <w:b/>
        <w:bCs/>
      </w:rPr>
      <w:t>Bootstrapped Confidence Interval (CI):</w:t>
    </w:r>
    <w:r w:rsidRPr="00FB2CC4">
      <w:rPr>
        <w:rFonts w:asciiTheme="majorBidi" w:hAnsiTheme="majorBidi" w:cstheme="majorBidi"/>
      </w:rPr>
      <w:t> The output will provide a confidence interval (e.g., 95% CI) for the indirect effect. If this interval </w:t>
    </w:r>
    <w:r w:rsidRPr="00FB2CC4">
      <w:rPr>
        <w:rFonts w:asciiTheme="majorBidi" w:hAnsiTheme="majorBidi" w:cstheme="majorBidi"/>
        <w:b/>
        <w:bCs/>
      </w:rPr>
      <w:t>does not contain zero</w:t>
    </w:r>
    <w:r w:rsidRPr="00FB2CC4">
      <w:rPr>
        <w:rFonts w:asciiTheme="majorBidi" w:hAnsiTheme="majorBidi" w:cstheme="majorBidi"/>
      </w:rPr>
      <w:t> (e.g., the range is from -0.25 to -0.08), the indirect effect is statistically significant, and the mediation hypothesis is supported.</w:t>
    </w:r>
  </w:p>
  <w:p w14:paraId="1AD73A0F"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rPr>
      <w:pict w14:anchorId="415B20DE">
        <v:rect id="_x0000_i1059" style="width:563.4pt;height:1.5pt" o:hrpct="0" o:hralign="center" o:hrstd="t" o:hrnoshade="t" o:hr="t" fillcolor="#1a1c1e" stroked="f"/>
      </w:pict>
    </w:r>
  </w:p>
  <w:p w14:paraId="4DDB19D4" w14:textId="77777777" w:rsidR="00FB2CC4" w:rsidRPr="00FB2CC4" w:rsidRDefault="00FB2CC4" w:rsidP="00FB2CC4">
    <w:pPr>
      <w:pStyle w:val="Header"/>
      <w:spacing w:line="360" w:lineRule="auto"/>
      <w:rPr>
        <w:rFonts w:asciiTheme="majorBidi" w:hAnsiTheme="majorBidi" w:cstheme="majorBidi"/>
      </w:rPr>
    </w:pPr>
    <w:r w:rsidRPr="00FB2CC4">
      <w:rPr>
        <w:rFonts w:asciiTheme="majorBidi" w:hAnsiTheme="majorBidi" w:cstheme="majorBidi"/>
        <w:b/>
        <w:bCs/>
      </w:rPr>
      <w:t>4. Are there significant differences in the levels of Digital Fitness, Digital Responsibility, and cyberbullying involvement based on demographic variables such as gender, year of study, or academic discipline?</w:t>
    </w:r>
  </w:p>
  <w:p w14:paraId="697AC5AF" w14:textId="77777777" w:rsidR="00FB2CC4" w:rsidRPr="00FB2CC4" w:rsidRDefault="00FB2CC4" w:rsidP="00FB2CC4">
    <w:pPr>
      <w:pStyle w:val="Header"/>
      <w:numPr>
        <w:ilvl w:val="0"/>
        <w:numId w:val="13"/>
      </w:numPr>
      <w:spacing w:line="360" w:lineRule="auto"/>
      <w:rPr>
        <w:rFonts w:asciiTheme="majorBidi" w:hAnsiTheme="majorBidi" w:cstheme="majorBidi"/>
      </w:rPr>
    </w:pPr>
    <w:r w:rsidRPr="00FB2CC4">
      <w:rPr>
        <w:rFonts w:asciiTheme="majorBidi" w:hAnsiTheme="majorBidi" w:cstheme="majorBidi"/>
        <w:b/>
        <w:bCs/>
      </w:rPr>
      <w:t>Statistical Method:</w:t>
    </w:r>
    <w:r w:rsidRPr="00FB2CC4">
      <w:rPr>
        <w:rFonts w:asciiTheme="majorBidi" w:hAnsiTheme="majorBidi" w:cstheme="majorBidi"/>
      </w:rPr>
      <w:t> The choice of test depends on the number of groups in the demographic variable.</w:t>
    </w:r>
  </w:p>
  <w:p w14:paraId="25FECB74" w14:textId="77777777" w:rsidR="00FB2CC4" w:rsidRPr="00FB2CC4" w:rsidRDefault="00FB2CC4" w:rsidP="00FB2CC4">
    <w:pPr>
      <w:pStyle w:val="Header"/>
      <w:numPr>
        <w:ilvl w:val="0"/>
        <w:numId w:val="13"/>
      </w:numPr>
      <w:spacing w:line="360" w:lineRule="auto"/>
      <w:rPr>
        <w:rFonts w:asciiTheme="majorBidi" w:hAnsiTheme="majorBidi" w:cstheme="majorBidi"/>
      </w:rPr>
    </w:pPr>
    <w:r w:rsidRPr="00FB2CC4">
      <w:rPr>
        <w:rFonts w:asciiTheme="majorBidi" w:hAnsiTheme="majorBidi" w:cstheme="majorBidi"/>
        <w:b/>
        <w:bCs/>
      </w:rPr>
      <w:t>Application:</w:t>
    </w:r>
  </w:p>
  <w:p w14:paraId="3ACFE4CD" w14:textId="77777777" w:rsidR="00FB2CC4" w:rsidRPr="00FB2CC4" w:rsidRDefault="00FB2CC4" w:rsidP="00FB2CC4">
    <w:pPr>
      <w:pStyle w:val="Header"/>
      <w:numPr>
        <w:ilvl w:val="1"/>
        <w:numId w:val="13"/>
      </w:numPr>
      <w:spacing w:line="360" w:lineRule="auto"/>
      <w:rPr>
        <w:rFonts w:asciiTheme="majorBidi" w:hAnsiTheme="majorBidi" w:cstheme="majorBidi"/>
      </w:rPr>
    </w:pPr>
    <w:r w:rsidRPr="00FB2CC4">
      <w:rPr>
        <w:rFonts w:asciiTheme="majorBidi" w:hAnsiTheme="majorBidi" w:cstheme="majorBidi"/>
        <w:b/>
        <w:bCs/>
      </w:rPr>
      <w:t>For variables with two groups (e.g., Gender: Male/Female):</w:t>
    </w:r>
  </w:p>
  <w:p w14:paraId="54896723" w14:textId="77777777" w:rsidR="00FB2CC4" w:rsidRPr="00FB2CC4" w:rsidRDefault="00FB2CC4" w:rsidP="00FB2CC4">
    <w:pPr>
      <w:pStyle w:val="Header"/>
      <w:numPr>
        <w:ilvl w:val="2"/>
        <w:numId w:val="13"/>
      </w:numPr>
      <w:spacing w:line="360" w:lineRule="auto"/>
      <w:rPr>
        <w:rFonts w:asciiTheme="majorBidi" w:hAnsiTheme="majorBidi" w:cstheme="majorBidi"/>
      </w:rPr>
    </w:pPr>
    <w:r w:rsidRPr="00FB2CC4">
      <w:rPr>
        <w:rFonts w:asciiTheme="majorBidi" w:hAnsiTheme="majorBidi" w:cstheme="majorBidi"/>
        <w:b/>
        <w:bCs/>
      </w:rPr>
      <w:t>Method:</w:t>
    </w:r>
    <w:r w:rsidRPr="00FB2CC4">
      <w:rPr>
        <w:rFonts w:asciiTheme="majorBidi" w:hAnsiTheme="majorBidi" w:cstheme="majorBidi"/>
      </w:rPr>
      <w:t> Independent Samples t-test.</w:t>
    </w:r>
  </w:p>
  <w:p w14:paraId="36467B50" w14:textId="77777777" w:rsidR="00FB2CC4" w:rsidRPr="00FB2CC4" w:rsidRDefault="00FB2CC4" w:rsidP="00FB2CC4">
    <w:pPr>
      <w:pStyle w:val="Header"/>
      <w:numPr>
        <w:ilvl w:val="2"/>
        <w:numId w:val="13"/>
      </w:numPr>
      <w:spacing w:line="360" w:lineRule="auto"/>
      <w:rPr>
        <w:rFonts w:asciiTheme="majorBidi" w:hAnsiTheme="majorBidi" w:cstheme="majorBidi"/>
      </w:rPr>
    </w:pPr>
    <w:r w:rsidRPr="00FB2CC4">
      <w:rPr>
        <w:rFonts w:asciiTheme="majorBidi" w:hAnsiTheme="majorBidi" w:cstheme="majorBidi"/>
        <w:b/>
        <w:bCs/>
      </w:rPr>
      <w:t>Procedure:</w:t>
    </w:r>
    <w:r w:rsidRPr="00FB2CC4">
      <w:rPr>
        <w:rFonts w:asciiTheme="majorBidi" w:hAnsiTheme="majorBidi" w:cstheme="majorBidi"/>
      </w:rPr>
      <w:t> A separate t-test will be run for each dependent variable to compare the mean scores of males and females on Digital Fitness, Digital Responsibility, Cyberbullying Victimization, and Cyberbullying Perpetration.</w:t>
    </w:r>
  </w:p>
  <w:p w14:paraId="48F57E7C" w14:textId="77777777" w:rsidR="00FB2CC4" w:rsidRPr="00FB2CC4" w:rsidRDefault="00FB2CC4" w:rsidP="00FB2CC4">
    <w:pPr>
      <w:pStyle w:val="Header"/>
      <w:numPr>
        <w:ilvl w:val="1"/>
        <w:numId w:val="13"/>
      </w:numPr>
      <w:spacing w:line="360" w:lineRule="auto"/>
      <w:rPr>
        <w:rFonts w:asciiTheme="majorBidi" w:hAnsiTheme="majorBidi" w:cstheme="majorBidi"/>
      </w:rPr>
    </w:pPr>
    <w:r w:rsidRPr="00FB2CC4">
      <w:rPr>
        <w:rFonts w:asciiTheme="majorBidi" w:hAnsiTheme="majorBidi" w:cstheme="majorBidi"/>
        <w:b/>
        <w:bCs/>
      </w:rPr>
      <w:t>For variables with three or more groups (e.g., Year of Study: First/Second/Third/Fourth):</w:t>
    </w:r>
  </w:p>
  <w:p w14:paraId="0D022D66" w14:textId="77777777" w:rsidR="00FB2CC4" w:rsidRPr="00FB2CC4" w:rsidRDefault="00FB2CC4" w:rsidP="00FB2CC4">
    <w:pPr>
      <w:pStyle w:val="Header"/>
      <w:numPr>
        <w:ilvl w:val="2"/>
        <w:numId w:val="13"/>
      </w:numPr>
      <w:spacing w:line="360" w:lineRule="auto"/>
      <w:rPr>
        <w:rFonts w:asciiTheme="majorBidi" w:hAnsiTheme="majorBidi" w:cstheme="majorBidi"/>
      </w:rPr>
    </w:pPr>
    <w:r w:rsidRPr="00FB2CC4">
      <w:rPr>
        <w:rFonts w:asciiTheme="majorBidi" w:hAnsiTheme="majorBidi" w:cstheme="majorBidi"/>
        <w:b/>
        <w:bCs/>
      </w:rPr>
      <w:t>Method:</w:t>
    </w:r>
    <w:r w:rsidRPr="00FB2CC4">
      <w:rPr>
        <w:rFonts w:asciiTheme="majorBidi" w:hAnsiTheme="majorBidi" w:cstheme="majorBidi"/>
      </w:rPr>
      <w:t> One-Way Analysis of Variance (ANOVA).</w:t>
    </w:r>
  </w:p>
  <w:p w14:paraId="27944712" w14:textId="77777777" w:rsidR="00FB2CC4" w:rsidRPr="00FB2CC4" w:rsidRDefault="00FB2CC4" w:rsidP="00FB2CC4">
    <w:pPr>
      <w:pStyle w:val="Header"/>
      <w:numPr>
        <w:ilvl w:val="2"/>
        <w:numId w:val="13"/>
      </w:numPr>
      <w:spacing w:line="360" w:lineRule="auto"/>
      <w:rPr>
        <w:rFonts w:asciiTheme="majorBidi" w:hAnsiTheme="majorBidi" w:cstheme="majorBidi"/>
      </w:rPr>
    </w:pPr>
    <w:r w:rsidRPr="00FB2CC4">
      <w:rPr>
        <w:rFonts w:asciiTheme="majorBidi" w:hAnsiTheme="majorBidi" w:cstheme="majorBidi"/>
        <w:b/>
        <w:bCs/>
      </w:rPr>
      <w:t>Procedure:</w:t>
    </w:r>
    <w:r w:rsidRPr="00FB2CC4">
      <w:rPr>
        <w:rFonts w:asciiTheme="majorBidi" w:hAnsiTheme="majorBidi" w:cstheme="majorBidi"/>
      </w:rPr>
      <w:t> If the ANOVA result is significant (p &lt; .05), it indicates that a difference exists somewhere among the groups. </w:t>
    </w:r>
    <w:r w:rsidRPr="00FB2CC4">
      <w:rPr>
        <w:rFonts w:asciiTheme="majorBidi" w:hAnsiTheme="majorBidi" w:cstheme="majorBidi"/>
        <w:b/>
        <w:bCs/>
      </w:rPr>
      <w:t>Post-Hoc Tests</w:t>
    </w:r>
    <w:r w:rsidRPr="00FB2CC4">
      <w:rPr>
        <w:rFonts w:asciiTheme="majorBidi" w:hAnsiTheme="majorBidi" w:cstheme="majorBidi"/>
      </w:rPr>
      <w:t> (e.g., Tukey HSD) must then be conducted to identify which specific groups differ significantly from one another.</w:t>
    </w:r>
  </w:p>
  <w:p w14:paraId="7DE9C691" w14:textId="77777777" w:rsidR="00FB2CC4" w:rsidRPr="00FB2CC4" w:rsidRDefault="00FB2CC4" w:rsidP="00FB2CC4">
    <w:pPr>
      <w:pStyle w:val="Header"/>
      <w:spacing w:line="360" w:lineRule="auto"/>
      <w:rPr>
        <w:rFonts w:asciiTheme="majorBidi" w:hAnsiTheme="majorBidi" w:cstheme="majorBid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9DB5" w14:textId="77777777" w:rsidR="00FB2CC4" w:rsidRDefault="00FB2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05013"/>
    <w:multiLevelType w:val="multilevel"/>
    <w:tmpl w:val="760081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F4CA7"/>
    <w:multiLevelType w:val="multilevel"/>
    <w:tmpl w:val="EF426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12EA5"/>
    <w:multiLevelType w:val="multilevel"/>
    <w:tmpl w:val="708E6A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8638E"/>
    <w:multiLevelType w:val="hybridMultilevel"/>
    <w:tmpl w:val="F0B8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83AC3"/>
    <w:multiLevelType w:val="multilevel"/>
    <w:tmpl w:val="01B00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820769"/>
    <w:multiLevelType w:val="multilevel"/>
    <w:tmpl w:val="0D2E10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1A51C7"/>
    <w:multiLevelType w:val="multilevel"/>
    <w:tmpl w:val="2F121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630AEE"/>
    <w:multiLevelType w:val="multilevel"/>
    <w:tmpl w:val="E72E8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8F0A9F"/>
    <w:multiLevelType w:val="multilevel"/>
    <w:tmpl w:val="6A3CF8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314946">
    <w:abstractNumId w:val="3"/>
  </w:num>
  <w:num w:numId="2" w16cid:durableId="1962760351">
    <w:abstractNumId w:val="8"/>
  </w:num>
  <w:num w:numId="3" w16cid:durableId="133111248">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4" w16cid:durableId="1380786996">
    <w:abstractNumId w:val="0"/>
  </w:num>
  <w:num w:numId="5" w16cid:durableId="180338259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1082990744">
    <w:abstractNumId w:val="7"/>
  </w:num>
  <w:num w:numId="7" w16cid:durableId="376273764">
    <w:abstractNumId w:val="6"/>
  </w:num>
  <w:num w:numId="8" w16cid:durableId="1581405609">
    <w:abstractNumId w:val="2"/>
  </w:num>
  <w:num w:numId="9" w16cid:durableId="128962588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0" w16cid:durableId="1456295050">
    <w:abstractNumId w:val="5"/>
  </w:num>
  <w:num w:numId="11" w16cid:durableId="471093142">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2" w16cid:durableId="1257981809">
    <w:abstractNumId w:val="4"/>
  </w:num>
  <w:num w:numId="13" w16cid:durableId="1302149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1D25"/>
    <w:rsid w:val="00036308"/>
    <w:rsid w:val="000B4B98"/>
    <w:rsid w:val="004172A9"/>
    <w:rsid w:val="006E3BE9"/>
    <w:rsid w:val="00892C40"/>
    <w:rsid w:val="00CE0E33"/>
    <w:rsid w:val="00F01D25"/>
    <w:rsid w:val="00F21E9D"/>
    <w:rsid w:val="00FB2CC4"/>
    <w:rsid w:val="00FC51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2149"/>
  <w15:docId w15:val="{DAEECC9F-BA5F-489E-9869-FA2AAE0A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33"/>
    <w:pPr>
      <w:spacing w:after="160" w:line="278" w:lineRule="auto"/>
    </w:pPr>
    <w:rPr>
      <w:kern w:val="2"/>
      <w:sz w:val="24"/>
      <w:szCs w:val="24"/>
      <w14:ligatures w14:val="standardContextual"/>
    </w:rPr>
  </w:style>
  <w:style w:type="paragraph" w:styleId="Heading4">
    <w:name w:val="heading 4"/>
    <w:basedOn w:val="Normal"/>
    <w:next w:val="Normal"/>
    <w:link w:val="Heading4Char"/>
    <w:uiPriority w:val="9"/>
    <w:semiHidden/>
    <w:unhideWhenUsed/>
    <w:qFormat/>
    <w:rsid w:val="00CE0E33"/>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CE0E33"/>
    <w:rPr>
      <w:rFonts w:eastAsiaTheme="majorEastAsia" w:cstheme="majorBidi"/>
      <w:i/>
      <w:iCs/>
      <w:color w:val="365F91" w:themeColor="accent1" w:themeShade="BF"/>
      <w:kern w:val="2"/>
      <w:sz w:val="24"/>
      <w:szCs w:val="24"/>
      <w14:ligatures w14:val="standardContextual"/>
    </w:rPr>
  </w:style>
  <w:style w:type="paragraph" w:styleId="ListParagraph">
    <w:name w:val="List Paragraph"/>
    <w:basedOn w:val="Normal"/>
    <w:uiPriority w:val="34"/>
    <w:qFormat/>
    <w:rsid w:val="00CE0E33"/>
    <w:pPr>
      <w:ind w:left="720"/>
      <w:contextualSpacing/>
    </w:pPr>
  </w:style>
  <w:style w:type="paragraph" w:styleId="BalloonText">
    <w:name w:val="Balloon Text"/>
    <w:basedOn w:val="Normal"/>
    <w:link w:val="BalloonTextChar"/>
    <w:uiPriority w:val="99"/>
    <w:semiHidden/>
    <w:unhideWhenUsed/>
    <w:rsid w:val="00CE0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E33"/>
    <w:rPr>
      <w:rFonts w:ascii="Tahoma" w:hAnsi="Tahoma" w:cs="Tahoma"/>
      <w:kern w:val="2"/>
      <w:sz w:val="16"/>
      <w:szCs w:val="16"/>
      <w14:ligatures w14:val="standardContextual"/>
    </w:rPr>
  </w:style>
  <w:style w:type="paragraph" w:styleId="Header">
    <w:name w:val="header"/>
    <w:basedOn w:val="Normal"/>
    <w:link w:val="HeaderChar"/>
    <w:uiPriority w:val="99"/>
    <w:unhideWhenUsed/>
    <w:rsid w:val="00FB2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CC4"/>
    <w:rPr>
      <w:kern w:val="2"/>
      <w:sz w:val="24"/>
      <w:szCs w:val="24"/>
      <w14:ligatures w14:val="standardContextual"/>
    </w:rPr>
  </w:style>
  <w:style w:type="paragraph" w:styleId="Footer">
    <w:name w:val="footer"/>
    <w:basedOn w:val="Normal"/>
    <w:link w:val="FooterChar"/>
    <w:uiPriority w:val="99"/>
    <w:unhideWhenUsed/>
    <w:rsid w:val="00FB2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CC4"/>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893034">
      <w:bodyDiv w:val="1"/>
      <w:marLeft w:val="0"/>
      <w:marRight w:val="0"/>
      <w:marTop w:val="0"/>
      <w:marBottom w:val="0"/>
      <w:divBdr>
        <w:top w:val="none" w:sz="0" w:space="0" w:color="auto"/>
        <w:left w:val="none" w:sz="0" w:space="0" w:color="auto"/>
        <w:bottom w:val="none" w:sz="0" w:space="0" w:color="auto"/>
        <w:right w:val="none" w:sz="0" w:space="0" w:color="auto"/>
      </w:divBdr>
    </w:div>
    <w:div w:id="1107382266">
      <w:bodyDiv w:val="1"/>
      <w:marLeft w:val="0"/>
      <w:marRight w:val="0"/>
      <w:marTop w:val="0"/>
      <w:marBottom w:val="0"/>
      <w:divBdr>
        <w:top w:val="none" w:sz="0" w:space="0" w:color="auto"/>
        <w:left w:val="none" w:sz="0" w:space="0" w:color="auto"/>
        <w:bottom w:val="none" w:sz="0" w:space="0" w:color="auto"/>
        <w:right w:val="none" w:sz="0" w:space="0" w:color="auto"/>
      </w:divBdr>
    </w:div>
    <w:div w:id="1678776098">
      <w:bodyDiv w:val="1"/>
      <w:marLeft w:val="0"/>
      <w:marRight w:val="0"/>
      <w:marTop w:val="0"/>
      <w:marBottom w:val="0"/>
      <w:divBdr>
        <w:top w:val="none" w:sz="0" w:space="0" w:color="auto"/>
        <w:left w:val="none" w:sz="0" w:space="0" w:color="auto"/>
        <w:bottom w:val="none" w:sz="0" w:space="0" w:color="auto"/>
        <w:right w:val="none" w:sz="0" w:space="0" w:color="auto"/>
      </w:divBdr>
    </w:div>
    <w:div w:id="175682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mohamed39</cp:lastModifiedBy>
  <cp:revision>4</cp:revision>
  <dcterms:created xsi:type="dcterms:W3CDTF">2025-06-21T23:27:00Z</dcterms:created>
  <dcterms:modified xsi:type="dcterms:W3CDTF">2025-06-27T11:22:00Z</dcterms:modified>
</cp:coreProperties>
</file>