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BDF3CA" w14:textId="45FF3E63" w:rsidR="00CF42AC" w:rsidRPr="0059693E" w:rsidRDefault="00CF42AC" w:rsidP="00CF42AC">
      <w:pPr>
        <w:pStyle w:val="Title"/>
      </w:pPr>
      <w:bookmarkStart w:id="0" w:name="_Hlk140841112"/>
      <w:r w:rsidRPr="0059693E">
        <w:t>Supplementary information on</w:t>
      </w:r>
    </w:p>
    <w:p w14:paraId="2FEB03AC" w14:textId="77777777" w:rsidR="00CF42AC" w:rsidRPr="0059693E" w:rsidRDefault="00CF42AC" w:rsidP="00CF42AC">
      <w:pPr>
        <w:pStyle w:val="Title"/>
      </w:pPr>
    </w:p>
    <w:p w14:paraId="25142357" w14:textId="403E4507" w:rsidR="00CF42AC" w:rsidRPr="0059693E" w:rsidRDefault="00CF42AC" w:rsidP="00CF42AC">
      <w:pPr>
        <w:pStyle w:val="Title"/>
      </w:pPr>
      <w:r w:rsidRPr="0059693E">
        <w:t>High-temperature corrosion of high- and medium-entropy alloys CrMnFeCoNi and CrCoNi exposed to a multi-oxidant atmosphere H</w:t>
      </w:r>
      <w:r w:rsidRPr="0059693E">
        <w:rPr>
          <w:vertAlign w:val="subscript"/>
        </w:rPr>
        <w:t>2</w:t>
      </w:r>
      <w:r w:rsidRPr="0059693E">
        <w:t>O-O</w:t>
      </w:r>
      <w:r w:rsidRPr="0059693E">
        <w:rPr>
          <w:vertAlign w:val="subscript"/>
        </w:rPr>
        <w:t>2</w:t>
      </w:r>
      <w:r w:rsidRPr="0059693E">
        <w:t>-SO</w:t>
      </w:r>
      <w:r w:rsidRPr="0059693E">
        <w:rPr>
          <w:vertAlign w:val="subscript"/>
        </w:rPr>
        <w:t>2</w:t>
      </w:r>
    </w:p>
    <w:bookmarkEnd w:id="0"/>
    <w:p w14:paraId="109C8D8F" w14:textId="77777777" w:rsidR="00CF42AC" w:rsidRPr="0059693E" w:rsidRDefault="00CF42AC" w:rsidP="00CF42AC">
      <w:pPr>
        <w:pStyle w:val="Tableofcontents"/>
        <w:spacing w:line="240" w:lineRule="auto"/>
      </w:pPr>
    </w:p>
    <w:p w14:paraId="60EF6F54" w14:textId="77777777" w:rsidR="00CF42AC" w:rsidRPr="0059693E" w:rsidRDefault="00CF42AC" w:rsidP="00CF42AC">
      <w:pPr>
        <w:pStyle w:val="AuthorsFull"/>
        <w:spacing w:line="240" w:lineRule="auto"/>
      </w:pPr>
      <w:r w:rsidRPr="0059693E">
        <w:t xml:space="preserve">Wencke Mohring </w:t>
      </w:r>
      <w:r w:rsidRPr="0059693E">
        <w:rPr>
          <w:vertAlign w:val="superscript"/>
        </w:rPr>
        <w:t>1,2</w:t>
      </w:r>
      <w:r w:rsidRPr="0059693E">
        <w:t xml:space="preserve">, Stephanos Karafiludis </w:t>
      </w:r>
      <w:r w:rsidRPr="0059693E">
        <w:rPr>
          <w:vertAlign w:val="superscript"/>
        </w:rPr>
        <w:t>1,3</w:t>
      </w:r>
      <w:r w:rsidRPr="0059693E">
        <w:t>, Anna M. Manzoni</w:t>
      </w:r>
      <w:r w:rsidRPr="0059693E">
        <w:rPr>
          <w:vertAlign w:val="superscript"/>
        </w:rPr>
        <w:t>1</w:t>
      </w:r>
      <w:r w:rsidRPr="0059693E">
        <w:t>, Guillaume Laplanche</w:t>
      </w:r>
      <w:r w:rsidRPr="0059693E">
        <w:rPr>
          <w:vertAlign w:val="superscript"/>
        </w:rPr>
        <w:t>4</w:t>
      </w:r>
      <w:r w:rsidRPr="0059693E">
        <w:t>, Mike Schneider</w:t>
      </w:r>
      <w:r w:rsidRPr="0059693E">
        <w:rPr>
          <w:vertAlign w:val="superscript"/>
        </w:rPr>
        <w:t>4,5</w:t>
      </w:r>
      <w:r w:rsidRPr="0059693E">
        <w:t xml:space="preserve">, Christiane Stephan-Scherb </w:t>
      </w:r>
      <w:r w:rsidRPr="0059693E">
        <w:rPr>
          <w:vertAlign w:val="superscript"/>
        </w:rPr>
        <w:t>1,3,6</w:t>
      </w:r>
      <w:r w:rsidRPr="0059693E">
        <w:t xml:space="preserve"> </w:t>
      </w:r>
    </w:p>
    <w:p w14:paraId="1B303CE7" w14:textId="0D3F8345" w:rsidR="00102ACD" w:rsidRPr="0059693E" w:rsidRDefault="00102ACD"/>
    <w:p w14:paraId="589B9EC5" w14:textId="4F59E26E" w:rsidR="005E6D66" w:rsidRPr="0059693E" w:rsidRDefault="005E6D66">
      <w:r w:rsidRPr="0059693E">
        <w:t xml:space="preserve">Additional information on the quantification of the elemental mappings in this article. The quantification can be read directly from the color bar in every figure. </w:t>
      </w:r>
    </w:p>
    <w:p w14:paraId="2400DFB0" w14:textId="27081DD0" w:rsidR="00CF42AC" w:rsidRPr="0059693E" w:rsidRDefault="00CF42AC"/>
    <w:p w14:paraId="22BC94A2" w14:textId="77777777" w:rsidR="009C489D" w:rsidRPr="0059693E" w:rsidRDefault="009C489D">
      <w:r w:rsidRPr="0059693E">
        <w:rPr>
          <w:noProof/>
          <w:lang w:val="en-IN" w:eastAsia="en-IN"/>
        </w:rPr>
        <w:lastRenderedPageBreak/>
        <w:drawing>
          <wp:inline distT="0" distB="0" distL="0" distR="0" wp14:anchorId="201232D0" wp14:editId="51A18502">
            <wp:extent cx="8438515" cy="5418455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8515" cy="5418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ECD04" w14:textId="227EFCB9" w:rsidR="009C489D" w:rsidRPr="0059693E" w:rsidRDefault="009C489D" w:rsidP="009C489D">
      <w:r w:rsidRPr="0059693E">
        <w:t>Figure S1: Quantified elemental maps of the CrCoNi alloy exposed to the exhaust atmosphere for 24 h. Quantification can be read directly from the color bar.</w:t>
      </w:r>
    </w:p>
    <w:p w14:paraId="69B1EABB" w14:textId="7AC6411B" w:rsidR="009C489D" w:rsidRPr="0059693E" w:rsidRDefault="009C489D">
      <w:r w:rsidRPr="0059693E">
        <w:rPr>
          <w:noProof/>
          <w:lang w:val="en-IN" w:eastAsia="en-IN"/>
        </w:rPr>
        <w:lastRenderedPageBreak/>
        <w:drawing>
          <wp:inline distT="0" distB="0" distL="0" distR="0" wp14:anchorId="1D1F8A31" wp14:editId="6E26C86B">
            <wp:extent cx="8438515" cy="5307330"/>
            <wp:effectExtent l="0" t="0" r="635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8515" cy="530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86FDDF" w14:textId="40AEA71C" w:rsidR="009C489D" w:rsidRPr="0059693E" w:rsidRDefault="009C489D" w:rsidP="009C489D">
      <w:r w:rsidRPr="0059693E">
        <w:t>Figure S2: Quantified elemental maps of the CrCoNi alloy exposed to the exhaust atmosphere for 24 h. Quantification can be read directly from the color bar.</w:t>
      </w:r>
    </w:p>
    <w:p w14:paraId="7D6C6E54" w14:textId="033D8207" w:rsidR="009C489D" w:rsidRPr="0059693E" w:rsidRDefault="009C489D">
      <w:r w:rsidRPr="0059693E">
        <w:rPr>
          <w:noProof/>
          <w:lang w:val="en-IN" w:eastAsia="en-IN"/>
        </w:rPr>
        <w:drawing>
          <wp:inline distT="0" distB="0" distL="0" distR="0" wp14:anchorId="7F55E2CD" wp14:editId="19A57C4F">
            <wp:extent cx="8438515" cy="546925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38515" cy="546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C3D6D" w14:textId="3988B81D" w:rsidR="009C489D" w:rsidRPr="0059693E" w:rsidRDefault="009C489D" w:rsidP="009C489D">
      <w:r w:rsidRPr="0059693E">
        <w:t>Figure S3: Quantified elemental maps of the CrCoNi alloy exposed to the exhaust atmosphere for 24 h. Quantification can be read directly from the color bar.</w:t>
      </w:r>
    </w:p>
    <w:p w14:paraId="4CA1B868" w14:textId="77777777" w:rsidR="009C489D" w:rsidRPr="0059693E" w:rsidRDefault="009C489D"/>
    <w:p w14:paraId="0CDA7FBC" w14:textId="2E0D304E" w:rsidR="00CF42AC" w:rsidRPr="0059693E" w:rsidRDefault="00CF42AC">
      <w:r w:rsidRPr="0059693E">
        <w:rPr>
          <w:noProof/>
          <w:lang w:val="en-IN" w:eastAsia="en-IN"/>
        </w:rPr>
        <w:drawing>
          <wp:inline distT="0" distB="0" distL="0" distR="0" wp14:anchorId="3464C25F" wp14:editId="6B2AAB8F">
            <wp:extent cx="8438515" cy="2751364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07"/>
                    <a:stretch/>
                  </pic:blipFill>
                  <pic:spPr bwMode="auto">
                    <a:xfrm>
                      <a:off x="0" y="0"/>
                      <a:ext cx="8438515" cy="2751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02F647" w14:textId="4CBDD9C4" w:rsidR="005E6D66" w:rsidRPr="0059693E" w:rsidRDefault="005E6D66">
      <w:r w:rsidRPr="0059693E">
        <w:t>Figure S4: Quantified elemental maps of the CrMnFeCoNi alloy exposed to the exhaust atmosphere for 24 h. Quantification can be read directly from the color bar.</w:t>
      </w:r>
    </w:p>
    <w:p w14:paraId="37DAD796" w14:textId="20342E22" w:rsidR="00CF42AC" w:rsidRPr="0059693E" w:rsidRDefault="00CF42AC">
      <w:r w:rsidRPr="0059693E">
        <w:rPr>
          <w:noProof/>
          <w:lang w:val="en-IN" w:eastAsia="en-IN"/>
        </w:rPr>
        <w:drawing>
          <wp:inline distT="0" distB="0" distL="0" distR="0" wp14:anchorId="7ABEFF6B" wp14:editId="2C924A36">
            <wp:extent cx="8431530" cy="2737757"/>
            <wp:effectExtent l="0" t="0" r="762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88"/>
                    <a:stretch/>
                  </pic:blipFill>
                  <pic:spPr bwMode="auto">
                    <a:xfrm>
                      <a:off x="0" y="0"/>
                      <a:ext cx="8431530" cy="27377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B5A14" w14:textId="3D926931" w:rsidR="005E6D66" w:rsidRPr="0059693E" w:rsidRDefault="005E6D66" w:rsidP="005E6D66">
      <w:r w:rsidRPr="0059693E">
        <w:t>Figure S5: Quantified elemental maps of the CrMnFeCoNi alloy exposed to the exhaust atmosphere for 48 h. Quantification can be read directly from the color bar.</w:t>
      </w:r>
    </w:p>
    <w:p w14:paraId="15B6C870" w14:textId="77777777" w:rsidR="00CF42AC" w:rsidRPr="0059693E" w:rsidRDefault="00CF42AC"/>
    <w:p w14:paraId="0A2E5EF8" w14:textId="7DEFD6A5" w:rsidR="00CF42AC" w:rsidRPr="0059693E" w:rsidRDefault="00CF42AC">
      <w:pPr>
        <w:rPr>
          <w:noProof/>
        </w:rPr>
      </w:pPr>
      <w:r w:rsidRPr="0059693E">
        <w:rPr>
          <w:noProof/>
        </w:rPr>
        <w:t xml:space="preserve"> </w:t>
      </w:r>
      <w:r w:rsidRPr="0059693E">
        <w:rPr>
          <w:noProof/>
          <w:lang w:val="en-IN" w:eastAsia="en-IN"/>
        </w:rPr>
        <w:drawing>
          <wp:inline distT="0" distB="0" distL="0" distR="0" wp14:anchorId="500A6E24" wp14:editId="3F2CAD26">
            <wp:extent cx="8572653" cy="2721610"/>
            <wp:effectExtent l="0" t="0" r="0" b="254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49"/>
                    <a:stretch/>
                  </pic:blipFill>
                  <pic:spPr bwMode="auto">
                    <a:xfrm>
                      <a:off x="0" y="0"/>
                      <a:ext cx="8592064" cy="2727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85ED0" w14:textId="3F029B3D" w:rsidR="005E6D66" w:rsidRPr="0059693E" w:rsidRDefault="005E6D66" w:rsidP="005E6D66">
      <w:r w:rsidRPr="0059693E">
        <w:t>Figure S6: Quantified elemental maps of the CrMnFeCoNi alloy exposed to the exhaust atmosphere for 96 h. Quantification can be read directly from the color bar.</w:t>
      </w:r>
      <w:bookmarkStart w:id="1" w:name="_GoBack"/>
      <w:bookmarkEnd w:id="1"/>
    </w:p>
    <w:p w14:paraId="750A7285" w14:textId="77777777" w:rsidR="005E6D66" w:rsidRPr="0059693E" w:rsidRDefault="005E6D66"/>
    <w:sectPr w:rsidR="005E6D66" w:rsidRPr="0059693E" w:rsidSect="0059693E">
      <w:pgSz w:w="15840" w:h="12240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AC"/>
    <w:rsid w:val="00102ACD"/>
    <w:rsid w:val="00436EE5"/>
    <w:rsid w:val="0059693E"/>
    <w:rsid w:val="005D55BD"/>
    <w:rsid w:val="005E6D66"/>
    <w:rsid w:val="008E2CDD"/>
    <w:rsid w:val="009C489D"/>
    <w:rsid w:val="00CF42AC"/>
    <w:rsid w:val="00DC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60645"/>
  <w15:chartTrackingRefBased/>
  <w15:docId w15:val="{D8BEB9D6-0A83-4C35-9C5A-51576992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horsFull">
    <w:name w:val="Authors Full"/>
    <w:basedOn w:val="Normal"/>
    <w:rsid w:val="00CF42AC"/>
    <w:pPr>
      <w:spacing w:after="0" w:line="480" w:lineRule="auto"/>
      <w:jc w:val="both"/>
    </w:pPr>
    <w:rPr>
      <w:rFonts w:ascii="Times New Roman" w:eastAsia="Calibri" w:hAnsi="Times New Roman" w:cs="Times New Roman"/>
      <w:i/>
      <w:sz w:val="24"/>
      <w:shd w:val="clear" w:color="auto" w:fill="FFFFFF"/>
    </w:rPr>
  </w:style>
  <w:style w:type="paragraph" w:customStyle="1" w:styleId="Tableofcontents">
    <w:name w:val="Table of contents"/>
    <w:basedOn w:val="Normal"/>
    <w:autoRedefine/>
    <w:rsid w:val="00CF42AC"/>
    <w:pPr>
      <w:spacing w:after="0" w:line="480" w:lineRule="auto"/>
      <w:jc w:val="both"/>
    </w:pPr>
    <w:rPr>
      <w:rFonts w:ascii="Times New Roman" w:eastAsia="Calibri" w:hAnsi="Times New Roman" w:cs="Times New Roman"/>
      <w:sz w:val="24"/>
      <w:shd w:val="clear" w:color="auto" w:fill="FFFFFF"/>
    </w:rPr>
  </w:style>
  <w:style w:type="paragraph" w:styleId="Title">
    <w:name w:val="Title"/>
    <w:basedOn w:val="Normal"/>
    <w:next w:val="Normal"/>
    <w:link w:val="TitleChar"/>
    <w:uiPriority w:val="10"/>
    <w:qFormat/>
    <w:rsid w:val="00CF42AC"/>
    <w:pPr>
      <w:spacing w:after="0" w:line="240" w:lineRule="auto"/>
      <w:jc w:val="center"/>
    </w:pPr>
    <w:rPr>
      <w:rFonts w:ascii="Times New Roman" w:eastAsia="Calibri" w:hAnsi="Times New Roman" w:cs="Times New Roman"/>
      <w:b/>
      <w:sz w:val="32"/>
      <w:szCs w:val="32"/>
      <w:shd w:val="clear" w:color="auto" w:fill="FFFFFF"/>
    </w:rPr>
  </w:style>
  <w:style w:type="character" w:customStyle="1" w:styleId="TitleChar">
    <w:name w:val="Title Char"/>
    <w:basedOn w:val="DefaultParagraphFont"/>
    <w:link w:val="Title"/>
    <w:uiPriority w:val="10"/>
    <w:rsid w:val="00CF42AC"/>
    <w:rPr>
      <w:rFonts w:ascii="Times New Roman" w:eastAsia="Calibri" w:hAnsi="Times New Roman" w:cs="Times New Roman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84E81B28-DBEF-4CCF-9BE9-E56960AF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Manzoni, Anna Maria</dc:creator>
  <cp:keywords/>
  <dc:description/>
  <cp:lastModifiedBy>Hariharan Vasanthaprakasam</cp:lastModifiedBy>
  <cp:revision>3</cp:revision>
  <dcterms:created xsi:type="dcterms:W3CDTF">2023-11-09T14:55:00Z</dcterms:created>
  <dcterms:modified xsi:type="dcterms:W3CDTF">2024-01-06T04:07:00Z</dcterms:modified>
</cp:coreProperties>
</file>