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76731" w14:textId="326519AC" w:rsidR="00E323F5" w:rsidRPr="0070060E" w:rsidRDefault="002471EC" w:rsidP="004E6BF6">
      <w:pPr>
        <w:spacing w:after="0" w:line="240" w:lineRule="auto"/>
        <w:jc w:val="center"/>
        <w:rPr>
          <w:rFonts w:ascii="Times New Roman" w:hAnsi="Times New Roman" w:cs="Times New Roman"/>
          <w:sz w:val="36"/>
          <w:szCs w:val="36"/>
        </w:rPr>
      </w:pPr>
      <w:r w:rsidRPr="0070060E">
        <w:rPr>
          <w:rFonts w:ascii="Times New Roman" w:hAnsi="Times New Roman" w:cs="Times New Roman"/>
          <w:sz w:val="36"/>
          <w:szCs w:val="36"/>
        </w:rPr>
        <w:t xml:space="preserve">Exploring </w:t>
      </w:r>
      <w:r w:rsidR="002B565E" w:rsidRPr="0070060E">
        <w:rPr>
          <w:rFonts w:ascii="Times New Roman" w:hAnsi="Times New Roman" w:cs="Times New Roman"/>
          <w:sz w:val="36"/>
          <w:szCs w:val="36"/>
        </w:rPr>
        <w:t>3</w:t>
      </w:r>
      <w:r w:rsidR="00553D40" w:rsidRPr="0070060E">
        <w:rPr>
          <w:rFonts w:ascii="Times New Roman" w:hAnsi="Times New Roman" w:cs="Times New Roman"/>
          <w:sz w:val="36"/>
          <w:szCs w:val="36"/>
        </w:rPr>
        <w:t>D</w:t>
      </w:r>
      <w:r w:rsidR="002B565E" w:rsidRPr="0070060E">
        <w:rPr>
          <w:rFonts w:ascii="Times New Roman" w:hAnsi="Times New Roman" w:cs="Times New Roman"/>
          <w:sz w:val="36"/>
          <w:szCs w:val="36"/>
        </w:rPr>
        <w:t xml:space="preserve"> </w:t>
      </w:r>
      <w:r w:rsidR="008329EC" w:rsidRPr="0070060E">
        <w:rPr>
          <w:rFonts w:ascii="Times New Roman" w:hAnsi="Times New Roman" w:cs="Times New Roman"/>
          <w:sz w:val="36"/>
          <w:szCs w:val="36"/>
        </w:rPr>
        <w:t xml:space="preserve">Spatial Morphology Using Multilayered Space Syntax, Network Science and </w:t>
      </w:r>
      <w:r w:rsidR="002B565E" w:rsidRPr="0070060E">
        <w:rPr>
          <w:rFonts w:ascii="Times New Roman" w:hAnsi="Times New Roman" w:cs="Times New Roman"/>
          <w:sz w:val="36"/>
          <w:szCs w:val="36"/>
        </w:rPr>
        <w:t>Wi</w:t>
      </w:r>
      <w:r w:rsidR="008329EC" w:rsidRPr="0070060E">
        <w:rPr>
          <w:rFonts w:ascii="Times New Roman" w:hAnsi="Times New Roman" w:cs="Times New Roman"/>
          <w:sz w:val="36"/>
          <w:szCs w:val="36"/>
        </w:rPr>
        <w:t>-</w:t>
      </w:r>
      <w:r w:rsidR="002B565E" w:rsidRPr="0070060E">
        <w:rPr>
          <w:rFonts w:ascii="Times New Roman" w:hAnsi="Times New Roman" w:cs="Times New Roman"/>
          <w:sz w:val="36"/>
          <w:szCs w:val="36"/>
        </w:rPr>
        <w:t xml:space="preserve">Fi </w:t>
      </w:r>
      <w:r w:rsidR="008329EC" w:rsidRPr="0070060E">
        <w:rPr>
          <w:rFonts w:ascii="Times New Roman" w:hAnsi="Times New Roman" w:cs="Times New Roman"/>
          <w:sz w:val="36"/>
          <w:szCs w:val="36"/>
        </w:rPr>
        <w:t>Log Data</w:t>
      </w:r>
    </w:p>
    <w:p w14:paraId="1DC291C7" w14:textId="4FAF78E8" w:rsidR="00841533" w:rsidRPr="0070060E" w:rsidRDefault="00841533" w:rsidP="00C521DB">
      <w:pPr>
        <w:spacing w:after="0" w:line="240" w:lineRule="auto"/>
        <w:rPr>
          <w:rFonts w:ascii="Times New Roman" w:hAnsi="Times New Roman" w:cs="Times New Roman"/>
        </w:rPr>
      </w:pPr>
    </w:p>
    <w:p w14:paraId="597203E2" w14:textId="77777777" w:rsidR="00FC5DDB" w:rsidRPr="0070060E" w:rsidRDefault="00FC5DDB" w:rsidP="00724D8B">
      <w:pPr>
        <w:spacing w:after="0" w:line="240" w:lineRule="auto"/>
        <w:jc w:val="center"/>
        <w:rPr>
          <w:rFonts w:ascii="Times New Roman" w:hAnsi="Times New Roman" w:cs="Times New Roman"/>
        </w:rPr>
      </w:pPr>
    </w:p>
    <w:p w14:paraId="1D463F73" w14:textId="35C1AB29" w:rsidR="002522A2" w:rsidRPr="0070060E" w:rsidRDefault="002522A2" w:rsidP="004E6BF6">
      <w:pPr>
        <w:spacing w:after="0" w:line="240" w:lineRule="auto"/>
        <w:rPr>
          <w:rFonts w:ascii="Times New Roman" w:hAnsi="Times New Roman" w:cs="Times New Roman"/>
        </w:rPr>
      </w:pPr>
    </w:p>
    <w:p w14:paraId="61D00E85" w14:textId="705AD1A9" w:rsidR="00C651EF" w:rsidRPr="0070060E" w:rsidRDefault="00B7136A" w:rsidP="004E6BF6">
      <w:pPr>
        <w:spacing w:after="0" w:line="240" w:lineRule="auto"/>
        <w:rPr>
          <w:rFonts w:ascii="Times New Roman" w:hAnsi="Times New Roman" w:cs="Times New Roman"/>
          <w:b/>
          <w:sz w:val="24"/>
        </w:rPr>
      </w:pPr>
      <w:r w:rsidRPr="0070060E">
        <w:rPr>
          <w:rFonts w:ascii="Times New Roman" w:hAnsi="Times New Roman" w:cs="Times New Roman" w:hint="eastAsia"/>
          <w:b/>
          <w:sz w:val="24"/>
        </w:rPr>
        <w:t>S</w:t>
      </w:r>
      <w:r w:rsidRPr="0070060E">
        <w:rPr>
          <w:rFonts w:ascii="Times New Roman" w:hAnsi="Times New Roman" w:cs="Times New Roman"/>
          <w:b/>
          <w:sz w:val="24"/>
        </w:rPr>
        <w:t xml:space="preserve">upplementary </w:t>
      </w:r>
      <w:r w:rsidR="00694F4D" w:rsidRPr="0070060E">
        <w:rPr>
          <w:rFonts w:ascii="Times New Roman" w:hAnsi="Times New Roman" w:cs="Times New Roman"/>
          <w:b/>
          <w:sz w:val="24"/>
        </w:rPr>
        <w:t>Material (SM)</w:t>
      </w:r>
    </w:p>
    <w:p w14:paraId="32C1ACFD" w14:textId="4D8E3846" w:rsidR="001B1E4A" w:rsidRPr="0070060E" w:rsidRDefault="001B1E4A" w:rsidP="004E6BF6">
      <w:pPr>
        <w:spacing w:after="0" w:line="240" w:lineRule="auto"/>
        <w:rPr>
          <w:rFonts w:ascii="Times New Roman" w:hAnsi="Times New Roman" w:cs="Times New Roman"/>
          <w:sz w:val="24"/>
        </w:rPr>
      </w:pPr>
    </w:p>
    <w:p w14:paraId="6411BCAE" w14:textId="6281D30F" w:rsidR="00254EFA" w:rsidRPr="0070060E" w:rsidRDefault="005C7282" w:rsidP="004912FC">
      <w:pPr>
        <w:pStyle w:val="Heading1"/>
        <w:spacing w:before="0" w:line="240" w:lineRule="auto"/>
        <w:rPr>
          <w:rFonts w:ascii="Times New Roman" w:hAnsi="Times New Roman" w:cs="Times New Roman"/>
          <w:b/>
          <w:color w:val="auto"/>
          <w:sz w:val="24"/>
        </w:rPr>
      </w:pPr>
      <w:r w:rsidRPr="0070060E">
        <w:rPr>
          <w:rFonts w:ascii="Times New Roman" w:hAnsi="Times New Roman" w:cs="Times New Roman"/>
          <w:b/>
          <w:color w:val="auto"/>
          <w:sz w:val="24"/>
        </w:rPr>
        <w:t>S</w:t>
      </w:r>
      <w:r w:rsidR="00694F4D" w:rsidRPr="0070060E">
        <w:rPr>
          <w:rFonts w:ascii="Times New Roman" w:hAnsi="Times New Roman" w:cs="Times New Roman"/>
          <w:b/>
          <w:color w:val="auto"/>
          <w:sz w:val="24"/>
        </w:rPr>
        <w:t>M</w:t>
      </w:r>
      <w:r w:rsidRPr="0070060E">
        <w:rPr>
          <w:rFonts w:ascii="Times New Roman" w:hAnsi="Times New Roman" w:cs="Times New Roman"/>
          <w:b/>
          <w:color w:val="auto"/>
          <w:sz w:val="24"/>
        </w:rPr>
        <w:t xml:space="preserve"> section </w:t>
      </w:r>
      <w:r w:rsidR="0067013D" w:rsidRPr="0070060E">
        <w:rPr>
          <w:rFonts w:ascii="Times New Roman" w:hAnsi="Times New Roman" w:cs="Times New Roman"/>
          <w:b/>
          <w:color w:val="auto"/>
          <w:sz w:val="24"/>
        </w:rPr>
        <w:t>1</w:t>
      </w:r>
      <w:r w:rsidR="00013ED6" w:rsidRPr="0070060E">
        <w:rPr>
          <w:rFonts w:ascii="Times New Roman" w:hAnsi="Times New Roman" w:cs="Times New Roman"/>
          <w:b/>
          <w:color w:val="auto"/>
          <w:sz w:val="24"/>
        </w:rPr>
        <w:t>: Related work</w:t>
      </w:r>
    </w:p>
    <w:p w14:paraId="406CFEB3" w14:textId="3D56B839" w:rsidR="004912FC" w:rsidRPr="0070060E" w:rsidRDefault="00E637B9" w:rsidP="00D263C9">
      <w:pPr>
        <w:jc w:val="both"/>
        <w:rPr>
          <w:rFonts w:ascii="Times New Roman" w:hAnsi="Times New Roman" w:cs="Times New Roman"/>
          <w:sz w:val="24"/>
        </w:rPr>
      </w:pPr>
      <w:r w:rsidRPr="0070060E">
        <w:rPr>
          <w:rFonts w:ascii="Times New Roman" w:hAnsi="Times New Roman" w:cs="Times New Roman"/>
          <w:sz w:val="24"/>
        </w:rPr>
        <w:t>S</w:t>
      </w:r>
      <w:r w:rsidR="00254EFA" w:rsidRPr="0070060E">
        <w:rPr>
          <w:rFonts w:ascii="Times New Roman" w:hAnsi="Times New Roman" w:cs="Times New Roman"/>
          <w:sz w:val="24"/>
        </w:rPr>
        <w:t>pace syntax</w:t>
      </w:r>
      <w:r w:rsidRPr="0070060E">
        <w:rPr>
          <w:rFonts w:ascii="Times New Roman" w:hAnsi="Times New Roman" w:cs="Times New Roman"/>
          <w:sz w:val="24"/>
        </w:rPr>
        <w:t xml:space="preserve"> has been widely </w:t>
      </w:r>
      <w:r w:rsidR="00FA4A79" w:rsidRPr="0070060E">
        <w:rPr>
          <w:rFonts w:ascii="Times New Roman" w:hAnsi="Times New Roman" w:cs="Times New Roman"/>
          <w:sz w:val="24"/>
        </w:rPr>
        <w:t>app</w:t>
      </w:r>
      <w:r w:rsidR="004F2E47" w:rsidRPr="0070060E">
        <w:rPr>
          <w:rFonts w:ascii="Times New Roman" w:hAnsi="Times New Roman" w:cs="Times New Roman"/>
          <w:sz w:val="24"/>
        </w:rPr>
        <w:t>lied</w:t>
      </w:r>
      <w:r w:rsidR="00254EFA" w:rsidRPr="0070060E">
        <w:rPr>
          <w:rFonts w:ascii="Times New Roman" w:hAnsi="Times New Roman" w:cs="Times New Roman"/>
          <w:sz w:val="24"/>
        </w:rPr>
        <w:t xml:space="preserve"> in various fields, such as crime analysis </w:t>
      </w:r>
      <w:r w:rsidR="00DC2A13" w:rsidRPr="0070060E">
        <w:rPr>
          <w:rFonts w:ascii="Times New Roman" w:hAnsi="Times New Roman" w:cs="Times New Roman"/>
          <w:sz w:val="24"/>
        </w:rPr>
        <w:fldChar w:fldCharType="begin" w:fldLock="1"/>
      </w:r>
      <w:r w:rsidR="00DC2A13" w:rsidRPr="0070060E">
        <w:rPr>
          <w:rFonts w:ascii="Times New Roman" w:hAnsi="Times New Roman" w:cs="Times New Roman"/>
          <w:sz w:val="24"/>
        </w:rPr>
        <w:instrText>ADDIN CSL_CITATION {"citationItems":[{"id":"ITEM-1","itemData":{"abstract":"Criminologists, planners, and architects are still unable to predict criminals' preferences for committing an offense in one location over another. Criminologists associate crime with socio-demographic factors such as income, racial composition, youth concentration and level of education. Architects and planners on the other hand, relate crime to environmental design factors such as lighting, target hardening, or orientation of entrances, just to name a few. Recently, some work using space syntax has demonstrated statistical relationships between properties of spatial layouts and the occurrence of certain types of crimes. In this study, Space Syntax measures of accessibility are used to examine geographical patterns of four types of offense behavior: breaking and entering, larceny, vehicle theft and robbery. Crime data, at an address level with the exact date and time, is based on a 12 month period for the city of Ypsilanti Michigan (USA). After mapping crime locations using GIS, an axial map was prepared using Spatialist, a program developed by Peponis and Wineman. Syntax measures of street accessibility and visibility characteristics were examined in relationship to instances of criminal behavior, controlling for such factors as neighborhood socioeconomic status. This paper concludes by defining a set of measures that identify street segment characteristics that affect the incidence of crime.","author":[{"dropping-particle":"","family":"Nubani","given":"Linda","non-dropping-particle":"","parse-names":false,"suffix":""},{"dropping-particle":"","family":"Wineman","given":"Jean","non-dropping-particle":"","parse-names":false,"suffix":""}],"container-title":"5th Space Syntax Symposium on Space Syntax","id":"ITEM-1","issued":{"date-parts":[["2005"]]},"publisher":"TU Delft, Faculty of Architecture","publisher-place":"Delft","title":"The Role of Space Syntax in Identifying the Relationship Between Space and Crime","type":"paper-conference"},"uris":["http://www.mendeley.com/documents/?uuid=cc0f30b0-cda5-305b-99d3-832528e0f0b0"]}],"mendeley":{"formattedCitation":"(Nubani and Wineman, 2005)","plainTextFormattedCitation":"(Nubani and Wineman, 2005)","previouslyFormattedCitation":"(Nubani and Wineman, 2005)"},"properties":{"noteIndex":0},"schema":"https://github.com/citation-style-language/schema/raw/master/csl-citation.json"}</w:instrText>
      </w:r>
      <w:r w:rsidR="00DC2A13" w:rsidRPr="0070060E">
        <w:rPr>
          <w:rFonts w:ascii="Times New Roman" w:hAnsi="Times New Roman" w:cs="Times New Roman"/>
          <w:sz w:val="24"/>
        </w:rPr>
        <w:fldChar w:fldCharType="separate"/>
      </w:r>
      <w:r w:rsidR="00DC2A13" w:rsidRPr="0070060E">
        <w:rPr>
          <w:rFonts w:ascii="Times New Roman" w:hAnsi="Times New Roman" w:cs="Times New Roman"/>
          <w:noProof/>
          <w:sz w:val="24"/>
        </w:rPr>
        <w:t>(Nubani and Wineman, 2005)</w:t>
      </w:r>
      <w:r w:rsidR="00DC2A13" w:rsidRPr="0070060E">
        <w:rPr>
          <w:rFonts w:ascii="Times New Roman" w:hAnsi="Times New Roman" w:cs="Times New Roman"/>
          <w:sz w:val="24"/>
        </w:rPr>
        <w:fldChar w:fldCharType="end"/>
      </w:r>
      <w:r w:rsidR="00254EFA" w:rsidRPr="0070060E">
        <w:rPr>
          <w:rFonts w:ascii="Times New Roman" w:hAnsi="Times New Roman" w:cs="Times New Roman"/>
          <w:sz w:val="24"/>
        </w:rPr>
        <w:t xml:space="preserve">, navigation and traffic planning </w:t>
      </w:r>
      <w:r w:rsidR="00DC2A13" w:rsidRPr="0070060E">
        <w:rPr>
          <w:rFonts w:ascii="Times New Roman" w:hAnsi="Times New Roman" w:cs="Times New Roman"/>
          <w:sz w:val="24"/>
        </w:rPr>
        <w:fldChar w:fldCharType="begin" w:fldLock="1"/>
      </w:r>
      <w:r w:rsidR="004A4BE5" w:rsidRPr="0070060E">
        <w:rPr>
          <w:rFonts w:ascii="Times New Roman" w:hAnsi="Times New Roman" w:cs="Times New Roman"/>
          <w:sz w:val="24"/>
        </w:rPr>
        <w:instrText>ADDIN CSL_CITATION {"citationItems":[{"id":"ITEM-1","itemData":{"DOI":"10.1080/13658816.2010.510799","ISSN":"13658816","abstract":"In this article, we introduce a novel approach to computing the fewest-turn map directions or routes based on the concept of natural roads. Natural roads are joined road segments that perceptually constitute good continuity. This approach relies on the connectivity of natural roads rather than that of road segments for computing routes or map directions. Because of this, the derived routes possess the fewest turns.However,whatwe intend to achieve are the routes that not only possess the fewest turns but are also as short as possible. This kind of map direction is more effective and favored by people because they bear less cognitive burden. Furthermore, the computation of the routes is more efficient because it is based on the graph encoding the connectivity of roads, which is substantially smaller than the graph of road segments. We experimented on eight urban street networks from North America and Europe to illustrate the above-stated advantages. The experimental results indicate that the fewest-turn routes possess fewer turns and shorter distances than the simplest paths and the routes provided by GoogleMaps. For example, the fewest-turn-and-shortest routes are on average 15%shorter than the routes suggested by GoogleMaps, whereas the number of turns is just half as much. This approach is a key technology behind FromToMap.org - a web mapping service using openstreetmap data. © 2011 Taylor &amp; Francis.","author":[{"dropping-particle":"","family":"Jiang","given":"Bin","non-dropping-particle":"","parse-names":false,"suffix":""},{"dropping-particle":"","family":"Liu","given":"Xintao","non-dropping-particle":"","parse-names":false,"suffix":""}],"container-title":"International Journal of Geographical Information Science","id":"ITEM-1","issue":"7","issued":{"date-parts":[["2011","7"]]},"page":"1069-1082","publisher":" Taylor &amp; Francis ","title":"Computing the fewest-turn map directions based on the connectivity of natural roads","type":"article-journal","volume":"25"},"uris":["http://www.mendeley.com/documents/?uuid=a2db0fb5-1952-306a-84c7-bfa3586a2c78"]},{"id":"ITEM-2","itemData":{"DOI":"10.1068/b34050t","ISSN":"14723417","abstract":"In this paper we reanalyse an experiment on wayfinding in complex multilevel buildings, in the light of formal measures derived from space syntax. The empirical study compared the performance of experienced and inexperienced participants in a set of wayfinding tasks, and identified specific strategies for vertical navigation. Inexperienced participants predominantly rely on a central-point strategy, while experienced ones have more accurate knowledge and plan more effectively. This is reflected by space-syntax-based route measures: routes of inexperienced users showed higher values of connectivity and integration as well as step depth to goal. Usability deficits of the complex building could be tied to formal analysis, revealing additional problems of the setting. Special emphasis is put on proper modelling of the vertical connections between the floors in visibility graph analysis. On the basis of the space syntax results, two layout redesigns are proposed, which provide improvements both for general navigability and for orientation at specific locations. © 2009 Pion Ltd and its Licensors.","author":[{"dropping-particle":"","family":"Hölscher","given":"Christoph","non-dropping-particle":"","parse-names":false,"suffix":""},{"dropping-particle":"","family":"Brösamle","given":"Martin","non-dropping-particle":"","parse-names":false,"suffix":""},{"dropping-particle":"","family":"Vrachliotis","given":"Georg","non-dropping-particle":"","parse-names":false,"suffix":""}],"container-title":"Environment and Planning B: Planning and Design","id":"ITEM-2","issue":"1","issued":{"date-parts":[["2012","2","1"]]},"page":"63-82","publisher":"Pion Limited","title":"Challenges in multilevel wayfinding: A case study with the space syntax technique","type":"article-journal","volume":"39"},"uris":["http://www.mendeley.com/documents/?uuid=4694b271-4f22-3ec8-9500-4ca77011e38d"]},{"id":"ITEM-3","itemData":{"DOI":"10.1111/gean.12063","ISSN":"15384632","abstract":"Transportation planning is changing. What used to be a concern with motorized vehicles only is evolving into a discipline dealing with multimodal systems where priority is given to transit and nonmotorized means of transport, chief among them being walking. The city of Bat Yam in Israel has chosen to pioneer planning for pedestrians as an integral component of its transportation master plan. This article presents a novel use of pedestrian movement modeling within urban transportation planning, by means of pedestrian movement volume prediction maps for the city, both at its current state today and at its future state planned for the year 2030. The study shows that a pedestrian movement distribution can be explained mainly by the spatial variables that represent properties of a street network. Changes to this network structure are relatively rare, and, therefore, pedestrian movement will not change in a fundamental way in the future. Furthermore, by overlaying the models for pedestrian movement and motorized traffic, as well as the underlying public transit and bicycle networks, focus can be on those streets and places where conflicts among the various road users (i.e., pedestrians, bicycles, transit vehicles, and private cars) are expected.","author":[{"dropping-particle":"","family":"Lerman","given":"Yoav","non-dropping-particle":"","parse-names":false,"suffix":""},{"dropping-particle":"","family":"Rofè","given":"Yodan","non-dropping-particle":"","parse-names":false,"suffix":""},{"dropping-particle":"","family":"Omer","given":"Itzhak","non-dropping-particle":"","parse-names":false,"suffix":""}],"container-title":"Geographical Analysis","id":"ITEM-3","issue":"4","issued":{"date-parts":[["2014","10","1"]]},"page":"392-410","publisher":"Blackwell Publishing Inc.","title":"Using space syntax to model pedestrian movement in urban transportation planning","type":"article-journal","volume":"46"},"uris":["http://www.mendeley.com/documents/?uuid=fdfe9713-0925-335f-9076-8a7fa5ca652a"]}],"mendeley":{"formattedCitation":"(Hölscher et al., 2012; Jiang and Liu, 2011; Lerman et al., 2014)","plainTextFormattedCitation":"(Hölscher et al., 2012; Jiang and Liu, 2011; Lerman et al., 2014)","previouslyFormattedCitation":"(Hölscher et al., 2012; Jiang and Liu, 2011; Lerman et al., 2014)"},"properties":{"noteIndex":0},"schema":"https://github.com/citation-style-language/schema/raw/master/csl-citation.json"}</w:instrText>
      </w:r>
      <w:r w:rsidR="00DC2A13" w:rsidRPr="0070060E">
        <w:rPr>
          <w:rFonts w:ascii="Times New Roman" w:hAnsi="Times New Roman" w:cs="Times New Roman"/>
          <w:sz w:val="24"/>
        </w:rPr>
        <w:fldChar w:fldCharType="separate"/>
      </w:r>
      <w:r w:rsidR="00DC2A13" w:rsidRPr="0070060E">
        <w:rPr>
          <w:rFonts w:ascii="Times New Roman" w:hAnsi="Times New Roman" w:cs="Times New Roman"/>
          <w:noProof/>
          <w:sz w:val="24"/>
        </w:rPr>
        <w:t>(Hölscher et al., 2012; Jiang and Liu, 2011; Lerman et al., 2014)</w:t>
      </w:r>
      <w:r w:rsidR="00DC2A13" w:rsidRPr="0070060E">
        <w:rPr>
          <w:rFonts w:ascii="Times New Roman" w:hAnsi="Times New Roman" w:cs="Times New Roman"/>
          <w:sz w:val="24"/>
        </w:rPr>
        <w:fldChar w:fldCharType="end"/>
      </w:r>
      <w:r w:rsidR="00254EFA" w:rsidRPr="0070060E">
        <w:rPr>
          <w:rFonts w:ascii="Times New Roman" w:hAnsi="Times New Roman" w:cs="Times New Roman"/>
          <w:sz w:val="24"/>
        </w:rPr>
        <w:t xml:space="preserve">, tourist behavior </w:t>
      </w:r>
      <w:r w:rsidR="004A4BE5" w:rsidRPr="0070060E">
        <w:rPr>
          <w:rFonts w:ascii="Times New Roman" w:hAnsi="Times New Roman" w:cs="Times New Roman"/>
          <w:sz w:val="24"/>
        </w:rPr>
        <w:fldChar w:fldCharType="begin" w:fldLock="1"/>
      </w:r>
      <w:r w:rsidR="00082A69" w:rsidRPr="0070060E">
        <w:rPr>
          <w:rFonts w:ascii="Times New Roman" w:hAnsi="Times New Roman" w:cs="Times New Roman"/>
          <w:sz w:val="24"/>
        </w:rPr>
        <w:instrText>ADDIN CSL_CITATION {"citationItems":[{"id":"ITEM-1","itemData":{"DOI":"10.1016/j.tourman.2015.06.008","ISSN":"02615177","abstract":"Although tourist development appears to be an effective approach for the further development of historic towns, researchers have often contended that a balance is difficult to maintain between protection and development. This article applies space syntax analysis to provide an understanding of tourist space at historic sites on Gulangyu Island. The relationship between street network integration and the urban fabric as well as tourist preferences collated from data mining are explored and verified. Then, results of the space syntax analysis along with the proposed historic site plan are compared to provide suggestions in plan evaluation. This research provides a visualized and quantitative approach to the field of tourist management via the application of Geographic Information System (GIS) to urban morphological features, tourist preferences and results gathered by way of planning practice. The effectiveness and limitations of this proposed new approach are also debated and substantiated.","author":[{"dropping-particle":"","family":"Li","given":"Yuan","non-dropping-particle":"","parse-names":false,"suffix":""},{"dropping-particle":"","family":"Xiao","given":"Longzhu","non-dropping-particle":"","parse-names":false,"suffix":""},{"dropping-particle":"","family":"Ye","given":"Yu","non-dropping-particle":"","parse-names":false,"suffix":""},{"dropping-particle":"","family":"Xu","given":"Wangtu","non-dropping-particle":"","parse-names":false,"suffix":""},{"dropping-particle":"","family":"Law","given":"Andrew","non-dropping-particle":"","parse-names":false,"suffix":""}],"container-title":"Tourism Management","id":"ITEM-1","issued":{"date-parts":[["2016","2","1"]]},"page":"30-43","publisher":"Elsevier Ltd","title":"Understanding tourist space at a historic site through space syntax analysis: The case of Gulangyu, China","type":"article-journal","volume":"52"},"uris":["http://www.mendeley.com/documents/?uuid=daf11e53-25c3-3b3b-9a7c-e5548f9e5113"]}],"mendeley":{"formattedCitation":"(Li et al., 2016)","plainTextFormattedCitation":"(Li et al., 2016)","previouslyFormattedCitation":"(Li et al., 2016)"},"properties":{"noteIndex":0},"schema":"https://github.com/citation-style-language/schema/raw/master/csl-citation.json"}</w:instrText>
      </w:r>
      <w:r w:rsidR="004A4BE5" w:rsidRPr="0070060E">
        <w:rPr>
          <w:rFonts w:ascii="Times New Roman" w:hAnsi="Times New Roman" w:cs="Times New Roman"/>
          <w:sz w:val="24"/>
        </w:rPr>
        <w:fldChar w:fldCharType="separate"/>
      </w:r>
      <w:r w:rsidR="004A4BE5" w:rsidRPr="0070060E">
        <w:rPr>
          <w:rFonts w:ascii="Times New Roman" w:hAnsi="Times New Roman" w:cs="Times New Roman"/>
          <w:noProof/>
          <w:sz w:val="24"/>
        </w:rPr>
        <w:t>(Li et al., 2016)</w:t>
      </w:r>
      <w:r w:rsidR="004A4BE5" w:rsidRPr="0070060E">
        <w:rPr>
          <w:rFonts w:ascii="Times New Roman" w:hAnsi="Times New Roman" w:cs="Times New Roman"/>
          <w:sz w:val="24"/>
        </w:rPr>
        <w:fldChar w:fldCharType="end"/>
      </w:r>
      <w:r w:rsidR="00254EFA" w:rsidRPr="0070060E">
        <w:rPr>
          <w:rFonts w:ascii="Times New Roman" w:hAnsi="Times New Roman" w:cs="Times New Roman"/>
          <w:sz w:val="24"/>
        </w:rPr>
        <w:t xml:space="preserve">, </w:t>
      </w:r>
      <w:r w:rsidR="003B0BE5" w:rsidRPr="0070060E">
        <w:rPr>
          <w:rFonts w:ascii="Times New Roman" w:hAnsi="Times New Roman" w:cs="Times New Roman"/>
          <w:sz w:val="24"/>
        </w:rPr>
        <w:t xml:space="preserve">house price </w:t>
      </w:r>
      <w:r w:rsidR="00082A69" w:rsidRPr="0070060E">
        <w:rPr>
          <w:rFonts w:ascii="Times New Roman" w:hAnsi="Times New Roman" w:cs="Times New Roman"/>
          <w:sz w:val="24"/>
        </w:rPr>
        <w:fldChar w:fldCharType="begin" w:fldLock="1"/>
      </w:r>
      <w:r w:rsidR="00A44193" w:rsidRPr="0070060E">
        <w:rPr>
          <w:rFonts w:ascii="Times New Roman" w:hAnsi="Times New Roman" w:cs="Times New Roman"/>
          <w:sz w:val="24"/>
        </w:rPr>
        <w:instrText>ADDIN CSL_CITATION {"citationItems":[{"id":"ITEM-1","itemData":{"abstract":"In real estate economics, there is a lack of research in studying the relationship between the built form and economic value. Partly this is stemmed from the lack of a methodology in studying built form objectively but also in much of regional science and spatial economics discourse, a lack of consideration in the influence of urban morphological properties. In \"pricing accessibility\", Webster (2009) argues the need to value the built form morphology. One perspective in understanding the built environment morphology is through its spatial configuration. (Hillier and Hanson 1984) He argues this understanding can potentially lead to more efficient allocation of resources. This research thus makes use of the hedonic approach, an established methodology in environmental economics, in estimating the influence of spatial configuration on observed housing sold price. (Rosen 1974) The results from this study suggest that spatial configuration measure of accessibility such as space syntax integration and space syntax choice are significant variables influencing transaction house price both positively and negatively in London between 1995-2011. In comparison to both distance to CBD measures and gravitational potential measures, the result also suggests space syntax integration is an appropriate variable in hedonic models to capture accessibility effects","author":[{"dropping-particle":"","family":"Law","given":"Stephen","non-dropping-particle":"","parse-names":false,"suffix":""},{"dropping-particle":"","family":"Karimi","given":"Kayvan","non-dropping-particle":"","parse-names":false,"suffix":""},{"dropping-particle":"","family":"Penn","given":"Alan","non-dropping-particle":"","parse-names":false,"suffix":""},{"dropping-particle":"","family":"Chiaradia","given":"Alain","non-dropping-particle":"","parse-names":false,"suffix":""}],"container-title":"The Ninth International Space Syntax Symposium","editor":[{"dropping-particle":"","family":"Kim","given":"Y. O.","non-dropping-particle":"","parse-names":false,"suffix":""},{"dropping-particle":"","family":"Park","given":"H. T.","non-dropping-particle":"","parse-names":false,"suffix":""},{"dropping-particle":"","family":"Seo","given":"K. W.","non-dropping-particle":"","parse-names":false,"suffix":""}],"id":"ITEM-1","issued":{"date-parts":[["2013"]]},"publisher":"Sejong University","publisher-place":"Seoul","title":"Measuring the influence of spatial configuration on the housing market in metropolitan London","type":"paper-conference"},"uris":["http://www.mendeley.com/documents/?uuid=3275a42f-7df6-3ad8-9ae0-e90fb95762b6"]}],"mendeley":{"formattedCitation":"(Law et al., 2013)","plainTextFormattedCitation":"(Law et al., 2013)","previouslyFormattedCitation":"(Law et al., 2013)"},"properties":{"noteIndex":0},"schema":"https://github.com/citation-style-language/schema/raw/master/csl-citation.json"}</w:instrText>
      </w:r>
      <w:r w:rsidR="00082A69" w:rsidRPr="0070060E">
        <w:rPr>
          <w:rFonts w:ascii="Times New Roman" w:hAnsi="Times New Roman" w:cs="Times New Roman"/>
          <w:sz w:val="24"/>
        </w:rPr>
        <w:fldChar w:fldCharType="separate"/>
      </w:r>
      <w:r w:rsidR="00082A69" w:rsidRPr="0070060E">
        <w:rPr>
          <w:rFonts w:ascii="Times New Roman" w:hAnsi="Times New Roman" w:cs="Times New Roman"/>
          <w:noProof/>
          <w:sz w:val="24"/>
        </w:rPr>
        <w:t>(Law et al., 2013)</w:t>
      </w:r>
      <w:r w:rsidR="00082A69" w:rsidRPr="0070060E">
        <w:rPr>
          <w:rFonts w:ascii="Times New Roman" w:hAnsi="Times New Roman" w:cs="Times New Roman"/>
          <w:sz w:val="24"/>
        </w:rPr>
        <w:fldChar w:fldCharType="end"/>
      </w:r>
      <w:r w:rsidR="003B0BE5" w:rsidRPr="0070060E">
        <w:rPr>
          <w:rFonts w:ascii="Times New Roman" w:hAnsi="Times New Roman" w:cs="Times New Roman"/>
          <w:sz w:val="24"/>
        </w:rPr>
        <w:t xml:space="preserve">, </w:t>
      </w:r>
      <w:r w:rsidR="00254EFA" w:rsidRPr="0070060E">
        <w:rPr>
          <w:rFonts w:ascii="Times New Roman" w:hAnsi="Times New Roman" w:cs="Times New Roman"/>
          <w:sz w:val="24"/>
        </w:rPr>
        <w:t>and other human-</w:t>
      </w:r>
      <w:r w:rsidR="00851229" w:rsidRPr="0070060E">
        <w:rPr>
          <w:rFonts w:ascii="Times New Roman" w:hAnsi="Times New Roman" w:cs="Times New Roman"/>
          <w:sz w:val="24"/>
        </w:rPr>
        <w:t>environment</w:t>
      </w:r>
      <w:r w:rsidR="00254EFA" w:rsidRPr="0070060E">
        <w:rPr>
          <w:rFonts w:ascii="Times New Roman" w:hAnsi="Times New Roman" w:cs="Times New Roman"/>
          <w:sz w:val="24"/>
        </w:rPr>
        <w:t xml:space="preserve"> interaction relations</w:t>
      </w:r>
      <w:r w:rsidR="00851229" w:rsidRPr="0070060E">
        <w:rPr>
          <w:rFonts w:ascii="Times New Roman" w:hAnsi="Times New Roman" w:cs="Times New Roman"/>
          <w:sz w:val="24"/>
        </w:rPr>
        <w:t>hip</w:t>
      </w:r>
      <w:r w:rsidR="00254EFA" w:rsidRPr="0070060E">
        <w:rPr>
          <w:rFonts w:ascii="Times New Roman" w:hAnsi="Times New Roman" w:cs="Times New Roman"/>
          <w:sz w:val="24"/>
        </w:rPr>
        <w:t xml:space="preserve">. This type of </w:t>
      </w:r>
      <w:r w:rsidR="009439B9" w:rsidRPr="0070060E">
        <w:rPr>
          <w:rFonts w:ascii="Times New Roman" w:hAnsi="Times New Roman" w:cs="Times New Roman"/>
          <w:sz w:val="24"/>
        </w:rPr>
        <w:t>research</w:t>
      </w:r>
      <w:r w:rsidR="00254EFA" w:rsidRPr="0070060E">
        <w:rPr>
          <w:rFonts w:ascii="Times New Roman" w:hAnsi="Times New Roman" w:cs="Times New Roman"/>
          <w:sz w:val="24"/>
        </w:rPr>
        <w:t xml:space="preserve"> explore</w:t>
      </w:r>
      <w:r w:rsidR="009439B9" w:rsidRPr="0070060E">
        <w:rPr>
          <w:rFonts w:ascii="Times New Roman" w:hAnsi="Times New Roman" w:cs="Times New Roman"/>
          <w:sz w:val="24"/>
        </w:rPr>
        <w:t>s</w:t>
      </w:r>
      <w:r w:rsidR="00254EFA" w:rsidRPr="0070060E">
        <w:rPr>
          <w:rFonts w:ascii="Times New Roman" w:hAnsi="Times New Roman" w:cs="Times New Roman"/>
          <w:sz w:val="24"/>
        </w:rPr>
        <w:t xml:space="preserve"> the applicability of spatial syntax in different fields</w:t>
      </w:r>
      <w:r w:rsidR="008B1785" w:rsidRPr="0070060E">
        <w:rPr>
          <w:rFonts w:ascii="Times New Roman" w:hAnsi="Times New Roman" w:cs="Times New Roman"/>
          <w:sz w:val="24"/>
        </w:rPr>
        <w:t>. At the same time, some studies</w:t>
      </w:r>
      <w:r w:rsidR="00551874" w:rsidRPr="0070060E">
        <w:rPr>
          <w:rFonts w:ascii="Times New Roman" w:hAnsi="Times New Roman" w:cs="Times New Roman"/>
          <w:sz w:val="24"/>
        </w:rPr>
        <w:t xml:space="preserve"> </w:t>
      </w:r>
      <w:r w:rsidR="002B1E00" w:rsidRPr="0070060E">
        <w:rPr>
          <w:rFonts w:ascii="Times New Roman" w:hAnsi="Times New Roman" w:cs="Times New Roman"/>
          <w:sz w:val="24"/>
        </w:rPr>
        <w:t xml:space="preserve">aimed to </w:t>
      </w:r>
      <w:r w:rsidR="004267EB" w:rsidRPr="0070060E">
        <w:rPr>
          <w:rFonts w:ascii="Times New Roman" w:hAnsi="Times New Roman" w:cs="Times New Roman"/>
          <w:sz w:val="24"/>
        </w:rPr>
        <w:t>develop</w:t>
      </w:r>
      <w:r w:rsidR="00551874" w:rsidRPr="0070060E">
        <w:rPr>
          <w:rFonts w:ascii="Times New Roman" w:hAnsi="Times New Roman" w:cs="Times New Roman"/>
          <w:sz w:val="24"/>
        </w:rPr>
        <w:t xml:space="preserve"> modules to integrate space syntax into GIS and other models </w:t>
      </w:r>
      <w:r w:rsidR="00A44193" w:rsidRPr="0070060E">
        <w:rPr>
          <w:rFonts w:ascii="Times New Roman" w:hAnsi="Times New Roman" w:cs="Times New Roman"/>
          <w:sz w:val="24"/>
        </w:rPr>
        <w:fldChar w:fldCharType="begin" w:fldLock="1"/>
      </w:r>
      <w:r w:rsidR="001C2862" w:rsidRPr="0070060E">
        <w:rPr>
          <w:rFonts w:ascii="Times New Roman" w:hAnsi="Times New Roman" w:cs="Times New Roman"/>
          <w:sz w:val="24"/>
        </w:rPr>
        <w:instrText>ADDIN CSL_CITATION {"citationItems":[{"id":"ITEM-1","itemData":{"DOI":"10.1080/13658810902950351","ISSN":"13658816","abstract":"Based on the concepts of isovists and medial axes, we developed a set of algorithms that can automatically generate axial lines for representing individual linearly stretched parts of open space of an urban environment. Open space is the space between buildings where people can freely move around. The generation of the axial lines has been a key aspect of space syntax research, conventionally relying on hand-drawn axial lines of an urban environment, often called axial map, for urban morphological analysis. Although various attempts have been made towards an automatic solution, few of them can produce the axial map that consists of the least number of longest visibility lines, and none of them really works for different urban environments. Our algorithms provide a better solution than existing ones. Throughout this article, we have also argued and demonstrated that the axial lines constitute a true skeleton, superior to medial axes, in capturing what we perceive about the urban environment. © 2010 Taylor &amp; Francis.","author":[{"dropping-particle":"","family":"Jiang","given":"Bin","non-dropping-particle":"","parse-names":false,"suffix":""},{"dropping-particle":"","family":"Liu","given":"Xintao","non-dropping-particle":"","parse-names":false,"suffix":""}],"container-title":"International Journal of Geographical Information Science","id":"ITEM-1","issue":"4","issued":{"date-parts":[["2010","4"]]},"page":"545-558","publisher":" Taylor &amp; Francis ","title":"Automatic generation of the axial lines of urban environments to capture what we perceive","type":"article-journal","volume":"24"},"uris":["http://www.mendeley.com/documents/?uuid=63d05bb7-6c10-37ad-9ae5-5e421d69b247"]},{"id":"ITEM-2","itemData":{"DOI":"10.1111/1467-9671.00112","ISSN":"13611682","abstract":"Although space syntax has been successfully applied to many urban GIS studies, there is still a need to develop robust algorithms that support the automated derivation of graph representations. These graph structures are needed to apply the computational principles of space syntax and derive the morphological view of an urban structure. So far the application of space syntax principles to the study of urban structures has been a partially empirical and non-deterministic task, mainly due to the fact that an urban structure is modeled as a set of axial lines whose derivation is a non-computable process. This paper proposes an alternative model of space for the application of space syntax principles, based on the concepts of characteristic points defined as the nodes of an urban structure schematised as a graph. This method has several advantages over the axial line representation: it is computable and cognitively meaningful. Our proposal is illustrated by a case study applied to the city of Gävle in Sweden. We will also show that this method has several nice properties that surpass the axial line technique.","author":[{"dropping-particle":"","family":"Jiang","given":"Bin","non-dropping-particle":"","parse-names":false,"suffix":""},{"dropping-particle":"","family":"Claramunt","given":"Christophe","non-dropping-particle":"","parse-names":false,"suffix":""}],"container-title":"Transactions in GIS","id":"ITEM-2","issue":"3","issued":{"date-parts":[["2002","6","1"]]},"page":"295-309","publisher":"Blackwell Publishing Ltd","title":"Integration of space syntax into GIS: New perspectives for urban morphology","type":"article-journal","volume":"6"},"uris":["http://www.mendeley.com/documents/?uuid=b6908292-8eb3-319b-b358-9242dc5d53df"]},{"id":"ITEM-3","itemData":{"abstract":"Space syntax derives from a set of analytic measures of configuration that have been shown to correlate well with how people move through and use buildings and urban environments. Space syntax represents the open space of an environment in terms of the intervisibility of points in space. The measures are thus purely configurational, and take no account of attractors, nor do they make any assumptions about origins and destinations or path planning. Space syntax has found that, despite many proposed higher-level cognitive models, there appears to be a fundamental process that informs human and social usage of an environment. In this paper we describe an exosomatic visual architecture, based on space syntax visibility graphs, giving many agents simultaneous access to the same pre-processed information about the configuration of a space layout. Results of experiments in a simulated retail environment show that a surprisingly simple ‘random next step’ based rule outperforms a more complex ‘destination based’ rule in reproducing observed human movement behaviour. We conclude that the effects of spatial configuration on movement patterns that space syntax studies have found are consistent with a model of individual decision behaviour based on the spatial affordances offered by the morphology of the local visual field.","author":[{"dropping-particle":"","family":"Penn","given":"A.","non-dropping-particle":"","parse-names":false,"suffix":""},{"dropping-particle":"","family":"Turner","given":"A.","non-dropping-particle":"","parse-names":false,"suffix":""}],"container-title":"1st International Conference on Pedestrian and Evacuation Dynamics","id":"ITEM-3","issued":{"date-parts":[["2001"]]},"publisher-place":"University of Duisburg, Germany","title":"Space syntax based agent simulation","type":"paper-conference"},"uris":["http://www.mendeley.com/documents/?uuid=622b1d55-57a9-3d00-bfbe-d8c98a1f66f7"]},{"id":"ITEM-4","itemData":{"DOI":"10.1068/b33050","ISSN":"02658135","abstract":"Human spatial behavior and experience cannot be investigated independently from the shape and configuration of environments. Therefore, comparative studies in architectural psychology and spatial cognition would clearly benefit from operationalizations of space that provide a common denominator for capturing its behavioral and psychologically relevant properties. This paper presents theoretical and methodological issues arising from the practical application of isovist-based graphs for the analysis of architectural spaces. Based on recent studies exploring the influence of spatial form and structure on behavior and experience in virtual environments, the following topics are discussed: (1) the derivation and empirical verification of meaningful descriptor variables on the basis of classic qualitative theories of environmental psychology relating behavior and experience to spatial properties; (2) methods to select reference points for the analysis of architectural spaces at a local level; furthermore, based on two experiments exploring the phenomenal conception of the spatial structure of architectural environments, formalized strategies for (3) the selection of reference points at a global level, and for (4), their integration into a sparse yet plausible comprehensive graph structure, are proposed. Taken together, a well formalized and psychologically oriented methodology for the efficient description of spatial properties of environments at the architectural scale level is outlined. This method appears useful for a wide range of applications, ranging from abstract architectural analysis over behavioral experiments to studies on mental representations in cognitive science.","author":[{"dropping-particle":"","family":"Franz","given":"Gerald","non-dropping-particle":"","parse-names":false,"suffix":""},{"dropping-particle":"","family":"Wiener","given":"Jan M.","non-dropping-particle":"","parse-names":false,"suffix":""}],"container-title":"Environment and Planning B: Planning and Design","id":"ITEM-4","issue":"4","issued":{"date-parts":[["2008","1","1"]]},"page":"574-592","publisher":"Pion Limited","title":"From space syntax to space semantics: A behaviorally and perceptually oriented methodology for the efficient description of the geometry and topology of environments","type":"article-journal","volume":"35"},"uris":["http://www.mendeley.com/documents/?uuid=bd786b0a-02d3-30e7-b077-3680e9e62255"]}],"mendeley":{"formattedCitation":"(Franz and Wiener, 2008; Jiang and Claramunt, 2002; Jiang and Liu, 2010; Penn and Turner, 2001)","plainTextFormattedCitation":"(Franz and Wiener, 2008; Jiang and Claramunt, 2002; Jiang and Liu, 2010; Penn and Turner, 2001)","previouslyFormattedCitation":"(Franz and Wiener, 2008; Jiang and Claramunt, 2002; Jiang and Liu, 2010; Penn and Turner, 2001)"},"properties":{"noteIndex":0},"schema":"https://github.com/citation-style-language/schema/raw/master/csl-citation.json"}</w:instrText>
      </w:r>
      <w:r w:rsidR="00A44193" w:rsidRPr="0070060E">
        <w:rPr>
          <w:rFonts w:ascii="Times New Roman" w:hAnsi="Times New Roman" w:cs="Times New Roman"/>
          <w:sz w:val="24"/>
        </w:rPr>
        <w:fldChar w:fldCharType="separate"/>
      </w:r>
      <w:r w:rsidR="00A44193" w:rsidRPr="0070060E">
        <w:rPr>
          <w:rFonts w:ascii="Times New Roman" w:hAnsi="Times New Roman" w:cs="Times New Roman"/>
          <w:noProof/>
          <w:sz w:val="24"/>
        </w:rPr>
        <w:t>(Franz and Wiener, 2008; Jiang and Claramunt, 2002; Jiang and Liu, 2010; Penn and Turner, 2001)</w:t>
      </w:r>
      <w:r w:rsidR="00A44193" w:rsidRPr="0070060E">
        <w:rPr>
          <w:rFonts w:ascii="Times New Roman" w:hAnsi="Times New Roman" w:cs="Times New Roman"/>
          <w:sz w:val="24"/>
        </w:rPr>
        <w:fldChar w:fldCharType="end"/>
      </w:r>
      <w:r w:rsidR="00A205DD" w:rsidRPr="0070060E">
        <w:rPr>
          <w:rFonts w:ascii="Times New Roman" w:hAnsi="Times New Roman" w:cs="Times New Roman"/>
          <w:sz w:val="24"/>
        </w:rPr>
        <w:t xml:space="preserve">, which </w:t>
      </w:r>
      <w:r w:rsidR="00254EFA" w:rsidRPr="0070060E">
        <w:rPr>
          <w:rFonts w:ascii="Times New Roman" w:hAnsi="Times New Roman" w:cs="Times New Roman"/>
          <w:sz w:val="24"/>
        </w:rPr>
        <w:t xml:space="preserve">promote the </w:t>
      </w:r>
      <w:r w:rsidR="00851FAD" w:rsidRPr="0070060E">
        <w:rPr>
          <w:rFonts w:ascii="Times New Roman" w:hAnsi="Times New Roman" w:cs="Times New Roman"/>
          <w:sz w:val="24"/>
        </w:rPr>
        <w:t xml:space="preserve">application </w:t>
      </w:r>
      <w:r w:rsidR="00254EFA" w:rsidRPr="0070060E">
        <w:rPr>
          <w:rFonts w:ascii="Times New Roman" w:hAnsi="Times New Roman" w:cs="Times New Roman"/>
          <w:sz w:val="24"/>
        </w:rPr>
        <w:t>of space syntax.</w:t>
      </w:r>
      <w:r w:rsidR="00A043DD" w:rsidRPr="0070060E">
        <w:rPr>
          <w:rFonts w:ascii="Times New Roman" w:hAnsi="Times New Roman" w:cs="Times New Roman"/>
          <w:sz w:val="24"/>
        </w:rPr>
        <w:t xml:space="preserve"> For example, several </w:t>
      </w:r>
      <w:r w:rsidR="00A50B9B" w:rsidRPr="0070060E">
        <w:rPr>
          <w:rFonts w:ascii="Times New Roman" w:hAnsi="Times New Roman" w:cs="Times New Roman"/>
          <w:sz w:val="24"/>
        </w:rPr>
        <w:t>studies aimed to combine</w:t>
      </w:r>
      <w:r w:rsidR="007B6333" w:rsidRPr="0070060E">
        <w:rPr>
          <w:rFonts w:ascii="Times New Roman" w:hAnsi="Times New Roman" w:cs="Times New Roman"/>
          <w:sz w:val="24"/>
        </w:rPr>
        <w:t xml:space="preserve"> space syntax with</w:t>
      </w:r>
      <w:r w:rsidR="00A50B9B" w:rsidRPr="0070060E">
        <w:rPr>
          <w:rFonts w:ascii="Times New Roman" w:hAnsi="Times New Roman" w:cs="Times New Roman"/>
          <w:sz w:val="24"/>
        </w:rPr>
        <w:t xml:space="preserve"> </w:t>
      </w:r>
      <w:r w:rsidR="007B6333" w:rsidRPr="0070060E">
        <w:rPr>
          <w:rFonts w:ascii="Times New Roman" w:hAnsi="Times New Roman" w:cs="Times New Roman"/>
          <w:sz w:val="24"/>
        </w:rPr>
        <w:t xml:space="preserve">agent-based-modelling analysis </w:t>
      </w:r>
      <w:r w:rsidR="00A44193" w:rsidRPr="0070060E">
        <w:rPr>
          <w:rFonts w:ascii="Times New Roman" w:hAnsi="Times New Roman" w:cs="Times New Roman"/>
          <w:sz w:val="24"/>
        </w:rPr>
        <w:fldChar w:fldCharType="begin" w:fldLock="1"/>
      </w:r>
      <w:r w:rsidR="001C2862" w:rsidRPr="0070060E">
        <w:rPr>
          <w:rFonts w:ascii="Times New Roman" w:hAnsi="Times New Roman" w:cs="Times New Roman"/>
          <w:sz w:val="24"/>
        </w:rPr>
        <w:instrText>ADDIN CSL_CITATION {"citationItems":[{"id":"ITEM-1","itemData":{"abstract":"Space syntax derives from a set of analytic measures of configuration that have been shown to correlate well with how people move through and use buildings and urban environments. Space syntax represents the open space of an environment in terms of the intervisibility of points in space. The measures are thus purely configurational, and take no account of attractors, nor do they make any assumptions about origins and destinations or path planning. Space syntax has found that, despite many proposed higher-level cognitive models, there appears to be a fundamental process that informs human and social usage of an environment. In this paper we describe an exosomatic visual architecture, based on space syntax visibility graphs, giving many agents simultaneous access to the same pre-processed information about the configuration of a space layout. Results of experiments in a simulated retail environment show that a surprisingly simple ‘random next step’ based rule outperforms a more complex ‘destination based’ rule in reproducing observed human movement behaviour. We conclude that the effects of spatial configuration on movement patterns that space syntax studies have found are consistent with a model of individual decision behaviour based on the spatial affordances offered by the morphology of the local visual field.","author":[{"dropping-particle":"","family":"Penn","given":"A.","non-dropping-particle":"","parse-names":false,"suffix":""},{"dropping-particle":"","family":"Turner","given":"A.","non-dropping-particle":"","parse-names":false,"suffix":""}],"container-title":"1st International Conference on Pedestrian and Evacuation Dynamics","id":"ITEM-1","issued":{"date-parts":[["2001"]]},"publisher-place":"University of Duisburg, Germany","title":"Space syntax based agent simulation","type":"paper-conference"},"uris":["http://www.mendeley.com/documents/?uuid=622b1d55-57a9-3d00-bfbe-d8c98a1f66f7"]},{"id":"ITEM-2","itemData":{"author":[{"dropping-particle":"","family":"Hu","given":"Haojie","non-dropping-particle":"","parse-names":false,"suffix":""},{"dropping-particle":"","family":"Luo","given":"Zixuan","non-dropping-particle":"","parse-names":false,"suffix":""},{"dropping-particle":"","family":"Chen","given":"Yingnan","non-dropping-particle":"","parse-names":false,"suffix":""},{"dropping-particle":"","family":"Bian","given":"Qiuyi","non-dropping-particle":"","parse-names":false,"suffix":""},{"dropping-particle":"","family":"Tong","given":"Ziyu","non-dropping-particle":"","parse-names":false,"suffix":""}],"container-title":"22nd Conference on Computer-Aided Architectural Design Research in Asia (CAADRIA)","id":"ITEM-2","issued":{"date-parts":[["2017"]]},"page":"5-8","publisher-place":"Suzho</w:instrText>
      </w:r>
      <w:r w:rsidR="001C2862" w:rsidRPr="0070060E">
        <w:rPr>
          <w:rFonts w:ascii="Times New Roman" w:hAnsi="Times New Roman" w:cs="Times New Roman" w:hint="eastAsia"/>
          <w:sz w:val="24"/>
        </w:rPr>
        <w:instrText>u, China","title":"Integration of Space Syntax into Agent</w:instrText>
      </w:r>
      <w:r w:rsidR="001C2862" w:rsidRPr="0070060E">
        <w:rPr>
          <w:rFonts w:ascii="Times New Roman" w:hAnsi="Times New Roman" w:cs="Times New Roman" w:hint="eastAsia"/>
          <w:sz w:val="24"/>
        </w:rPr>
        <w:instrText>­‐</w:instrText>
      </w:r>
      <w:r w:rsidR="001C2862" w:rsidRPr="0070060E">
        <w:rPr>
          <w:rFonts w:ascii="Times New Roman" w:hAnsi="Times New Roman" w:cs="Times New Roman" w:hint="eastAsia"/>
          <w:sz w:val="24"/>
        </w:rPr>
        <w:instrText>Based Pedestrian Simulation in Urban Open Space","type":"paper-conference"},"uris":["http://www.mendeley.com/documents/?uuid=53d790e5-9f4c-30e9-869b-2d38b0bec1fa"]},{"id":"ITEM-3","itemData":{"DOI</w:instrText>
      </w:r>
      <w:r w:rsidR="001C2862" w:rsidRPr="0070060E">
        <w:rPr>
          <w:rFonts w:ascii="Times New Roman" w:hAnsi="Times New Roman" w:cs="Times New Roman"/>
          <w:sz w:val="24"/>
        </w:rPr>
        <w:instrText>":"10.1016/j.compenvurbsys.2020.101476","ISSN":"01989715","abstract":"Computational models have been described as exceptionally adept at examining the complex relationships of human and crowd behaviour, with a significant portion dedicated to investigating spatial behaviour in defined environments. Within this context, this paper presents an agent-based model (ABM) for simulating activity in public spaces at the level of the individual user. Although other ABMs of individuals' spatial activity exist, they are often found to simulate specific building-related activities, and fewer still are found to examine activity in public spaces, in a systematic manner. This research provides a generalized formalization of human spatial behaviour incorporating stationary activities and social interaction within a 3D environment, and is presented using a widely accepted framework for describing ABM, the Overview, Design Concepts, and Details (ODD) protocol. A sample study using a synthetic environment is used to demonstrate applicability, and the model is tested extensively to establish robustness. Furthermore, model output is compared to observed activity patterns in other studies of similar spaces, and simulated spatial patterns of activity are found to match those observed in real-world scenarios, providing insight into the dynamics of the processes, and highlighting the potential of this approach for studying the complexities of human spatial behaviour.","author":[{"dropping-particle":"","family":"Cheliotis","given":"Kostas","non-dropping-particle":"","parse-names":false,"suffix":""}],"container-title":"Computers, Environment and Urban Systems","id":"ITEM-3","issued":{"date-parts":[["2020","5","1"]]},"page":"101476","publisher":"Elsevier Ltd","title":"An agent-based model of public space use","type":"article-journal","volume":"81"},"uris":["http://www.mendeley.com/documents/?uuid=6d55e561-8f83-3703-becc-22378aac50ad"]}],"mendeley":{"formattedCitation":"(Cheliotis, 2020; Hu et al., 2017; Penn and Turner, 2001)","plainTextFormattedCitation":"(Cheliotis, 2020; Hu et al., 2017; Penn and Turner, 2001)","previouslyFormattedCitation":"(Cheliotis, 2020; Hu et al., 2017; Penn and Turner, 2001)"},"properties":{"noteIndex":0},"schema":"https://github.com/citation-style-language/schema/raw/master/csl-citation.json"}</w:instrText>
      </w:r>
      <w:r w:rsidR="00A44193" w:rsidRPr="0070060E">
        <w:rPr>
          <w:rFonts w:ascii="Times New Roman" w:hAnsi="Times New Roman" w:cs="Times New Roman"/>
          <w:sz w:val="24"/>
        </w:rPr>
        <w:fldChar w:fldCharType="separate"/>
      </w:r>
      <w:r w:rsidR="00A44193" w:rsidRPr="0070060E">
        <w:rPr>
          <w:rFonts w:ascii="Times New Roman" w:hAnsi="Times New Roman" w:cs="Times New Roman"/>
          <w:noProof/>
          <w:sz w:val="24"/>
        </w:rPr>
        <w:t>(Cheliotis, 2020; Hu et al., 2017; Penn and Turner, 2001)</w:t>
      </w:r>
      <w:r w:rsidR="00A44193" w:rsidRPr="0070060E">
        <w:rPr>
          <w:rFonts w:ascii="Times New Roman" w:hAnsi="Times New Roman" w:cs="Times New Roman"/>
          <w:sz w:val="24"/>
        </w:rPr>
        <w:fldChar w:fldCharType="end"/>
      </w:r>
      <w:r w:rsidR="007B6333" w:rsidRPr="0070060E">
        <w:rPr>
          <w:rFonts w:ascii="Times New Roman" w:hAnsi="Times New Roman" w:cs="Times New Roman"/>
          <w:sz w:val="24"/>
        </w:rPr>
        <w:t>.</w:t>
      </w:r>
      <w:r w:rsidR="00911AD4" w:rsidRPr="0070060E">
        <w:rPr>
          <w:rFonts w:ascii="Times New Roman" w:hAnsi="Times New Roman" w:cs="Times New Roman"/>
          <w:sz w:val="24"/>
        </w:rPr>
        <w:t xml:space="preserve"> As pointed out in </w:t>
      </w:r>
      <w:r w:rsidR="00911AD4" w:rsidRPr="0070060E">
        <w:rPr>
          <w:rFonts w:ascii="Times New Roman" w:hAnsi="Times New Roman" w:cs="Times New Roman"/>
          <w:sz w:val="24"/>
        </w:rPr>
        <w:fldChar w:fldCharType="begin" w:fldLock="1"/>
      </w:r>
      <w:r w:rsidR="00911AD4" w:rsidRPr="0070060E">
        <w:rPr>
          <w:rFonts w:ascii="Times New Roman" w:hAnsi="Times New Roman" w:cs="Times New Roman"/>
          <w:sz w:val="24"/>
        </w:rPr>
        <w:instrText>ADDIN CSL_CITATION {"citationItems":[{"id":"ITEM-1","itemData":{"DOI":"10.1016/j.compenvurbsys.2020.101476","ISSN":"01989715","abstract":"Computational models have been described as exceptionally adept at examining the complex relationships of human and crowd behaviour, with a significant portion dedicated to investigating spatial behaviour in defined environments. Within this context, this paper presents an agent-based model (ABM) for simulating activity in public spaces at the level of the individual user. Although other ABMs of individuals' spatial activity exist, they are often found to simulate specific building-related activities, and fewer still are found to examine activity in public spaces, in a systematic manner. This research provides a generalized formalization of human spatial behaviour incorporating stationary activities and social interaction within a 3D environment, and is presented using a widely accepted framework for describing ABM, the Overview, Design Concepts, and Details (ODD) protocol. A sample study using a synthetic environment is used to demonstrate applicability, and the model is tested extensively to establish robustness. Furthermore, model output is compared to observed activity patterns in other studies of similar spaces, and simulated spatial patterns of activity are found to match those observed in real-world scenarios, providing insight into the dynamics of the processes, and highlighting the potential of this approach for studying the complexities of human spatial behaviour.","author":[{"dropping-particle":"","family":"Cheliotis","given":"Kostas","non-dropping-particle":"","parse-names":false,"suffix":""}],"container-title":"Computers, Environment and Urban Systems","id":"ITEM-1","issued":{"date-parts":[["2020","5","1"]]},"page":"101476","publisher":"Elsevier Ltd","title":"An agent-based model of public space use","type":"article-journal","volume":"81"},"uris":["http://www.mendeley.com/documents/?uuid=6d55e561-8f83-3703-becc-22378aac50ad"]}],"mendeley":{"formattedCitation":"(Cheliotis, 2020)","plainTextFormattedCitation":"(Cheliotis, 2020)","previouslyFormattedCitation":"(Cheliotis, 2020)"},"properties":{"noteIndex":0},"schema":"https://github.com/citation-style-language/schema/raw/master/csl-citation.json"}</w:instrText>
      </w:r>
      <w:r w:rsidR="00911AD4" w:rsidRPr="0070060E">
        <w:rPr>
          <w:rFonts w:ascii="Times New Roman" w:hAnsi="Times New Roman" w:cs="Times New Roman"/>
          <w:sz w:val="24"/>
        </w:rPr>
        <w:fldChar w:fldCharType="separate"/>
      </w:r>
      <w:r w:rsidR="00911AD4" w:rsidRPr="0070060E">
        <w:rPr>
          <w:rFonts w:ascii="Times New Roman" w:hAnsi="Times New Roman" w:cs="Times New Roman"/>
          <w:noProof/>
          <w:sz w:val="24"/>
        </w:rPr>
        <w:t>(Cheliotis, 2020)</w:t>
      </w:r>
      <w:r w:rsidR="00911AD4" w:rsidRPr="0070060E">
        <w:rPr>
          <w:rFonts w:ascii="Times New Roman" w:hAnsi="Times New Roman" w:cs="Times New Roman"/>
          <w:sz w:val="24"/>
        </w:rPr>
        <w:fldChar w:fldCharType="end"/>
      </w:r>
      <w:r w:rsidR="00911AD4" w:rsidRPr="0070060E">
        <w:rPr>
          <w:rFonts w:ascii="Times New Roman" w:hAnsi="Times New Roman" w:cs="Times New Roman"/>
          <w:sz w:val="24"/>
        </w:rPr>
        <w:t xml:space="preserve">, its “principal tool is the graph representation in which aspects of space are represented as nodes and their relationships as edges connecting individual nodes, with derivative tools including the </w:t>
      </w:r>
      <w:r w:rsidR="00911AD4" w:rsidRPr="0070060E">
        <w:rPr>
          <w:rFonts w:ascii="Times New Roman" w:hAnsi="Times New Roman" w:cs="Times New Roman"/>
          <w:i/>
          <w:iCs/>
          <w:sz w:val="24"/>
        </w:rPr>
        <w:t>convex map</w:t>
      </w:r>
      <w:r w:rsidR="00911AD4" w:rsidRPr="0070060E">
        <w:rPr>
          <w:rFonts w:ascii="Times New Roman" w:hAnsi="Times New Roman" w:cs="Times New Roman"/>
          <w:sz w:val="24"/>
        </w:rPr>
        <w:t xml:space="preserve">, the </w:t>
      </w:r>
      <w:r w:rsidR="00911AD4" w:rsidRPr="0070060E">
        <w:rPr>
          <w:rFonts w:ascii="Times New Roman" w:hAnsi="Times New Roman" w:cs="Times New Roman"/>
          <w:i/>
          <w:iCs/>
          <w:sz w:val="24"/>
        </w:rPr>
        <w:t>axial map</w:t>
      </w:r>
      <w:r w:rsidR="00911AD4" w:rsidRPr="0070060E">
        <w:rPr>
          <w:rFonts w:ascii="Times New Roman" w:hAnsi="Times New Roman" w:cs="Times New Roman"/>
          <w:sz w:val="24"/>
        </w:rPr>
        <w:t xml:space="preserve">, and the </w:t>
      </w:r>
      <w:r w:rsidR="00911AD4" w:rsidRPr="0070060E">
        <w:rPr>
          <w:rFonts w:ascii="Times New Roman" w:hAnsi="Times New Roman" w:cs="Times New Roman"/>
          <w:i/>
          <w:iCs/>
          <w:sz w:val="24"/>
        </w:rPr>
        <w:t>visibility graph</w:t>
      </w:r>
      <w:r w:rsidR="00911AD4" w:rsidRPr="0070060E">
        <w:rPr>
          <w:rFonts w:ascii="Times New Roman" w:hAnsi="Times New Roman" w:cs="Times New Roman"/>
          <w:sz w:val="24"/>
        </w:rPr>
        <w:t xml:space="preserve">, all methodologies for capturing an aspect of space”. </w:t>
      </w:r>
      <w:r w:rsidR="00BC01BE" w:rsidRPr="0070060E">
        <w:rPr>
          <w:rFonts w:ascii="Times New Roman" w:hAnsi="Times New Roman" w:cs="Times New Roman"/>
          <w:sz w:val="24"/>
        </w:rPr>
        <w:t xml:space="preserve">For example, </w:t>
      </w:r>
      <w:r w:rsidR="00BC01BE" w:rsidRPr="0070060E">
        <w:rPr>
          <w:rFonts w:ascii="Times New Roman" w:hAnsi="Times New Roman" w:cs="Times New Roman"/>
          <w:sz w:val="24"/>
        </w:rPr>
        <w:fldChar w:fldCharType="begin" w:fldLock="1"/>
      </w:r>
      <w:r w:rsidR="005D7C78" w:rsidRPr="0070060E">
        <w:rPr>
          <w:rFonts w:ascii="Times New Roman" w:hAnsi="Times New Roman" w:cs="Times New Roman"/>
          <w:sz w:val="24"/>
        </w:rPr>
        <w:instrText>ADDIN CSL_CITATION {"citationItems":[{"id":"ITEM-1","itemData":{"ISSN":"2044-7507","abstract":"The convex decomposition of a defined urban area provides a practical spatial framework to support a range of methods, which provide useful insights into aspects of urban ambience-the experienced physical and psychological qualities of the urban environment. This paper describes the integrated implementation of three such methods, convex, isovist and fractal analysis, to a densely built university campus. The convex space is employed as the fundamental unit of urban form; the starting point is the derivation of the convex map of the site. The centroids of the constituent convex spaces are taken as origin points to generate conventional two-dimensional isovists, and to photograph hemi-spherical images of the surrounding surfaces, representing a type of three-dimensional isovist. This latter construct opens a variety of analytical opportunities, only two of which are explored here-determination of skyline and surface fractal dimensions as indices of visual diversity. In addition to the standard convex and isovist metrics, two new measures are introduced: isovist fractal dimension, as an indicator of complexity; and isovist area divided by convex area, as an indicator of intervisibility. The outputs of this composite evaluation are redefined as a set of comparative indicators of several key ambience properties: physical and visual permeability, configurational and informational legibility , and visual diversity and stimulance, or exposure to new visual information. Multivariate statistics are applied to explore the relationships among the variables, and the similarities and differences between convex spaces in terms of the variable set. It is concluded that at neighbourhood scale these methods appear to identify real distinctions among convex spaces from the perspective of the occupant inhabiting and moving between them. Further, it is argued that convex decomposition offers a viable basis for comparative evaluation of a variety of significant urban ambience properties, with potential to inform design intervention.","author":[{"dropping-particle":"","family":"Osmond","given":"Paul","non-dropping-particle":"","parse-names":false,"suffix":""}],"container-title":"The Journal of Space Syntax T","id":"ITEM-1","issue":"1","issued":{"date-parts":[["2011","8","26"]]},"page":"97-114","title":"The convex space as the 'atom' of urban analysis","type":"article-journal","volume":"2"},"uris":["http://www.mendeley.com/documents/?uuid=64c4980e-abfe-33da-bd31-c960b28bd967"]}],"mendeley":{"formattedCitation":"(Osmond, 2011)","manualFormatting":"Osmond, (2011)","plainTextFormattedCitation":"(Osmond, 2011)","previouslyFormattedCitation":"(Osmond, 2011)"},"properties":{"noteIndex":0},"schema":"https://github.com/citation-style-language/schema/raw/master/csl-citation.json"}</w:instrText>
      </w:r>
      <w:r w:rsidR="00BC01BE" w:rsidRPr="0070060E">
        <w:rPr>
          <w:rFonts w:ascii="Times New Roman" w:hAnsi="Times New Roman" w:cs="Times New Roman"/>
          <w:sz w:val="24"/>
        </w:rPr>
        <w:fldChar w:fldCharType="separate"/>
      </w:r>
      <w:r w:rsidR="00BC01BE" w:rsidRPr="0070060E">
        <w:rPr>
          <w:rFonts w:ascii="Times New Roman" w:hAnsi="Times New Roman" w:cs="Times New Roman"/>
          <w:noProof/>
          <w:sz w:val="24"/>
        </w:rPr>
        <w:t>Osmond, (2011)</w:t>
      </w:r>
      <w:r w:rsidR="00BC01BE" w:rsidRPr="0070060E">
        <w:rPr>
          <w:rFonts w:ascii="Times New Roman" w:hAnsi="Times New Roman" w:cs="Times New Roman"/>
          <w:sz w:val="24"/>
        </w:rPr>
        <w:fldChar w:fldCharType="end"/>
      </w:r>
      <w:r w:rsidR="00BC01BE" w:rsidRPr="0070060E">
        <w:rPr>
          <w:rFonts w:ascii="Times New Roman" w:hAnsi="Times New Roman" w:cs="Times New Roman"/>
          <w:sz w:val="24"/>
        </w:rPr>
        <w:t xml:space="preserve"> and </w:t>
      </w:r>
      <w:r w:rsidR="00BC01BE" w:rsidRPr="0070060E">
        <w:rPr>
          <w:rFonts w:ascii="Times New Roman" w:hAnsi="Times New Roman" w:cs="Times New Roman"/>
          <w:sz w:val="24"/>
        </w:rPr>
        <w:fldChar w:fldCharType="begin" w:fldLock="1"/>
      </w:r>
      <w:r w:rsidR="005D7C78" w:rsidRPr="0070060E">
        <w:rPr>
          <w:rFonts w:ascii="Times New Roman" w:hAnsi="Times New Roman" w:cs="Times New Roman"/>
          <w:sz w:val="24"/>
        </w:rPr>
        <w:instrText>ADDIN CSL_CITATION {"citationItems":[{"id":"ITEM-1","itemData":{"DOI":"10.1007/978-3-319-70658-0_6-1","abstract":"Space syntax is the title given to a set of mathematical and computational theories and techniques for analyzing the social and cognitive characteristics of an architectural or urban plan. Several of the most famous of these techniques convert the spatial properties of a plan into a graph. Thereafter, graph theory is used to derive various measures, which are interpreted in the context of the original plan or against benchmark data for particular building types.","author":[{"dropping-particle":"","family":"Dawes","given":"Michael J.","non-dropping-particle":"","parse-names":false,"suffix":""},{"dropping-particle":"","family":"Ostwald","given":"Michael J.","non-dropping-particle":"","parse-names":false,"suffix":""}],"container-title":"Handbook of the Mathematics of the Arts and Sciences","editor":[{"dropping-particle":"","family":"Bharath Sriraman","given":"","non-dropping-particle":"","parse-names":false,"suffix":""}],"id":"ITEM-1","issued":{"date-parts":[["2018"]]},"page":"1-12","publisher":"Springer International Publishing","publisher-place":"Cham, Switzerland","title":"Space Syntax: Mathematics and the Social Logic of Architecture","type":"chapter"},"uris":["http://www.mendeley.com/documents/?uuid=a9571548-64e5-3586-be93-89d3eb7885b2"]}],"mendeley":{"formattedCitation":"(Dawes and Ostwald, 2018)","manualFormatting":"Dawes and Ostwald, (2018)","plainTextFormattedCitation":"(Dawes and Ostwald, 2018)","previouslyFormattedCitation":"(Dawes and Ostwald, 2018)"},"properties":{"noteIndex":0},"schema":"https://github.com/citation-style-language/schema/raw/master/csl-citation.json"}</w:instrText>
      </w:r>
      <w:r w:rsidR="00BC01BE" w:rsidRPr="0070060E">
        <w:rPr>
          <w:rFonts w:ascii="Times New Roman" w:hAnsi="Times New Roman" w:cs="Times New Roman"/>
          <w:sz w:val="24"/>
        </w:rPr>
        <w:fldChar w:fldCharType="separate"/>
      </w:r>
      <w:r w:rsidR="00BC01BE" w:rsidRPr="0070060E">
        <w:rPr>
          <w:rFonts w:ascii="Times New Roman" w:hAnsi="Times New Roman" w:cs="Times New Roman"/>
          <w:noProof/>
          <w:sz w:val="24"/>
        </w:rPr>
        <w:t>Dawes and Ostwald, (2018)</w:t>
      </w:r>
      <w:r w:rsidR="00BC01BE" w:rsidRPr="0070060E">
        <w:rPr>
          <w:rFonts w:ascii="Times New Roman" w:hAnsi="Times New Roman" w:cs="Times New Roman"/>
          <w:sz w:val="24"/>
        </w:rPr>
        <w:fldChar w:fldCharType="end"/>
      </w:r>
      <w:r w:rsidR="00BC01BE" w:rsidRPr="0070060E">
        <w:rPr>
          <w:rFonts w:ascii="Times New Roman" w:hAnsi="Times New Roman" w:cs="Times New Roman"/>
          <w:sz w:val="24"/>
        </w:rPr>
        <w:t xml:space="preserve"> used convex space to represent urban structural unit (USU). </w:t>
      </w:r>
      <w:r w:rsidR="00911AD4" w:rsidRPr="0070060E">
        <w:rPr>
          <w:rFonts w:ascii="Times New Roman" w:hAnsi="Times New Roman" w:cs="Times New Roman"/>
          <w:sz w:val="24"/>
        </w:rPr>
        <w:t xml:space="preserve">The majority of space syntax studies are based on the concept of “visibility”, which means the representation of small spaces is based on the “visible” areas from a location. Jiang and his colleagues proposed that, at the scales of urban environment, the representation of space can be extended to “accessibility”, which can be modeled by decomposing the center lines of roads into axial lines </w:t>
      </w:r>
      <w:r w:rsidR="00911AD4" w:rsidRPr="0070060E">
        <w:rPr>
          <w:rFonts w:ascii="Times New Roman" w:hAnsi="Times New Roman" w:cs="Times New Roman"/>
          <w:sz w:val="24"/>
        </w:rPr>
        <w:fldChar w:fldCharType="begin" w:fldLock="1"/>
      </w:r>
      <w:r w:rsidR="00911AD4" w:rsidRPr="0070060E">
        <w:rPr>
          <w:rFonts w:ascii="Times New Roman" w:hAnsi="Times New Roman" w:cs="Times New Roman"/>
          <w:sz w:val="24"/>
        </w:rPr>
        <w:instrText>ADDIN CSL_CITATION {"citationItems":[{"id":"ITEM-1","itemData":{"DOI":"10.1080/13658810902950351","ISSN":"13658816","abstract":"Based on the concepts of isovists and medial axes, we developed a set of algorithms that can automatically generate axial lines for representing individual linearly stretched parts of open space of an urban environment. Open space is the space between buildings where people can freely move around. The generation of the axial lines has been a key aspect of space syntax research, conventionally relying on hand-drawn axial lines of an urban environment, often called axial map, for urban morphological analysis. Although various attempts have been made towards an automatic solution, few of them can produce the axial map that consists of the least number of longest visibility lines, and none of them really works for different urban environments. Our algorithms provide a better solution than existing ones. Throughout this article, we have also argued and demonstrated that the axial lines constitute a true skeleton, superior to medial axes, in capturing what we perceive about the urban environment. © 2010 Taylor &amp; Francis.","author":[{"dropping-particle":"","family":"Jiang","given":"Bin","non-dropping-particle":"","parse-names":false,"suffix":""},{"dropping-particle":"","family":"Liu","given":"Xintao","non-dropping-particle":"","parse-names":false,"suffix":""}],"container-title":"International Journal of Geographical Information Science","id":"ITEM-1","issue":"4","issued":{"date-parts":[["2010","4"]]},"page":"545-558","publisher":" Taylor &amp; Francis ","title":"Automatic generation of the axial lines of urban environments to capture what we perceive","type":"article-journal","volume":"24"},"uris":["http://www.mendeley.com/documents/?uuid=63d05bb7-6c10-37ad-9ae5-5e421d69b247"]},{"id":"ITEM-2","itemData":{"DOI":"10.1080/13658816.2011.643800","ISSN":"13658816","abstract":"Axial lines are defined as the longest visibility lines for representing individual linear spaces in urban environments. The least set of axial lines that cover the free space of an urban environment or the space between buildings constitute what is often called an axial map. This is a fundamental tool in space syntax, a theory developed by Bill Hillier and his colleagues for characterizing the underlying urban morphologies. For a long time, generating axial lines with the help of some graphic software has been a tedious manual process that is criticized for being time consuming, subjective, or even arbitrary. In this article, we redefine axial lines as the least set of individual straight line segments mutually intersected along natural streets that are generated from street center lines using the Gestalt principle of good continuity. Based on this new definition, we develop an automatic solution for generating the newly defined axial lines from street center lines. We apply this solution to six typical street networks (three from North America and three from Europe) and generate a new set of axial lines for analyzing the urban morphologies. Through a comparison study between the new axial lines and the conventional or old axial lines and between the new axial lines and natural streets, we demonstrate with empirical evidence that the newly defined axial lines are a better alternative for capturing the underlying urban structure. © 2012 Copyright Taylor and Francis Group, LLC.","author":[{"dropping-particle":"","family":"Liu","given":"Xintao","non-dropping-particle":"","parse-names":false,"suffix":""},{"dropping-particle":"","family":"Jiang","given":"Bin","non-dropping-particle":"","parse-names":false,"suffix":""}],"container-title":"International Journal of Geographical Information Science","id":"ITEM-2","issue":"8","issued":{"date-parts":[["2012","8"]]},"page":"1521-1532","publisher":" Taylor &amp; Francis ","title":"Defining and generating axial lines from street center lines for better understanding of urban morphologies","type":"article-journal","volume":"26"},"uris":["http://www.mendeley.com/documents/?uuid=a12235a5-4d43-3a71-b385-36e418defef7"]}],"mendeley":{"formattedCitation":"(Jiang and Liu, 2010; Liu and Jiang, 2012)","plainTextFormattedCitation":"(Jiang and Liu, 2010; Liu and Jiang, 2012)","previouslyFormattedCitation":"(Jiang and Liu, 2010; Liu and Jiang, 2012)"},"properties":{"noteIndex":0},"schema":"https://github.com/citation-style-language/schema/raw/master/csl-citation.json"}</w:instrText>
      </w:r>
      <w:r w:rsidR="00911AD4" w:rsidRPr="0070060E">
        <w:rPr>
          <w:rFonts w:ascii="Times New Roman" w:hAnsi="Times New Roman" w:cs="Times New Roman"/>
          <w:sz w:val="24"/>
        </w:rPr>
        <w:fldChar w:fldCharType="separate"/>
      </w:r>
      <w:r w:rsidR="00911AD4" w:rsidRPr="0070060E">
        <w:rPr>
          <w:rFonts w:ascii="Times New Roman" w:hAnsi="Times New Roman" w:cs="Times New Roman"/>
          <w:noProof/>
          <w:sz w:val="24"/>
        </w:rPr>
        <w:t>(Jiang and Liu, 2010; Liu and Jiang, 2012)</w:t>
      </w:r>
      <w:r w:rsidR="00911AD4" w:rsidRPr="0070060E">
        <w:rPr>
          <w:rFonts w:ascii="Times New Roman" w:hAnsi="Times New Roman" w:cs="Times New Roman"/>
          <w:sz w:val="24"/>
        </w:rPr>
        <w:fldChar w:fldCharType="end"/>
      </w:r>
      <w:r w:rsidR="00911AD4" w:rsidRPr="0070060E">
        <w:rPr>
          <w:rFonts w:ascii="Times New Roman" w:hAnsi="Times New Roman" w:cs="Times New Roman"/>
          <w:sz w:val="24"/>
        </w:rPr>
        <w:t>.</w:t>
      </w:r>
    </w:p>
    <w:p w14:paraId="4D764312" w14:textId="2B5CA386" w:rsidR="004912FC" w:rsidRPr="0070060E" w:rsidRDefault="004912FC" w:rsidP="004912FC">
      <w:pPr>
        <w:pStyle w:val="Heading1"/>
        <w:spacing w:before="0" w:line="240" w:lineRule="auto"/>
        <w:rPr>
          <w:rFonts w:ascii="Times New Roman" w:hAnsi="Times New Roman" w:cs="Times New Roman"/>
          <w:b/>
          <w:color w:val="auto"/>
          <w:sz w:val="24"/>
        </w:rPr>
      </w:pPr>
      <w:r w:rsidRPr="0070060E">
        <w:rPr>
          <w:rFonts w:ascii="Times New Roman" w:hAnsi="Times New Roman" w:cs="Times New Roman"/>
          <w:b/>
          <w:color w:val="auto"/>
          <w:sz w:val="24"/>
        </w:rPr>
        <w:t>S</w:t>
      </w:r>
      <w:r w:rsidR="00694F4D" w:rsidRPr="0070060E">
        <w:rPr>
          <w:rFonts w:ascii="Times New Roman" w:hAnsi="Times New Roman" w:cs="Times New Roman"/>
          <w:b/>
          <w:color w:val="auto"/>
          <w:sz w:val="24"/>
        </w:rPr>
        <w:t>M</w:t>
      </w:r>
      <w:r w:rsidRPr="0070060E">
        <w:rPr>
          <w:rFonts w:ascii="Times New Roman" w:hAnsi="Times New Roman" w:cs="Times New Roman"/>
          <w:b/>
          <w:color w:val="auto"/>
          <w:sz w:val="24"/>
        </w:rPr>
        <w:t xml:space="preserve"> section </w:t>
      </w:r>
      <w:r w:rsidR="00D263C9" w:rsidRPr="0070060E">
        <w:rPr>
          <w:rFonts w:ascii="Times New Roman" w:hAnsi="Times New Roman" w:cs="Times New Roman"/>
          <w:b/>
          <w:color w:val="auto"/>
          <w:sz w:val="24"/>
        </w:rPr>
        <w:t>2</w:t>
      </w:r>
      <w:r w:rsidR="00013ED6" w:rsidRPr="0070060E">
        <w:rPr>
          <w:rFonts w:ascii="Times New Roman" w:hAnsi="Times New Roman" w:cs="Times New Roman"/>
          <w:b/>
          <w:color w:val="auto"/>
          <w:sz w:val="24"/>
        </w:rPr>
        <w:t xml:space="preserve">: </w:t>
      </w:r>
      <w:r w:rsidR="00774FA3" w:rsidRPr="0070060E">
        <w:rPr>
          <w:rFonts w:ascii="Times New Roman" w:hAnsi="Times New Roman" w:cs="Times New Roman"/>
          <w:b/>
          <w:color w:val="auto"/>
          <w:sz w:val="24"/>
        </w:rPr>
        <w:t>Methodology illustration</w:t>
      </w:r>
    </w:p>
    <w:p w14:paraId="7CE6AC1E" w14:textId="1B74E24C" w:rsidR="0067013D" w:rsidRPr="0070060E" w:rsidRDefault="0067013D" w:rsidP="00AA5633">
      <w:pPr>
        <w:spacing w:after="0"/>
        <w:jc w:val="both"/>
        <w:rPr>
          <w:rFonts w:ascii="Times New Roman" w:hAnsi="Times New Roman" w:cs="Times New Roman"/>
          <w:sz w:val="24"/>
        </w:rPr>
      </w:pPr>
      <w:r w:rsidRPr="0070060E">
        <w:rPr>
          <w:rFonts w:ascii="Times New Roman" w:hAnsi="Times New Roman" w:cs="Times New Roman"/>
          <w:sz w:val="24"/>
        </w:rPr>
        <w:t xml:space="preserve">In the past development of space syntax, several studies aimed to reflect and discuss on the pros and cons of the theoretical framework of space syntax from different perspectives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{"citationItems":[{"id":"ITEM-1","itemData":{"author":[{"dropping-particle":"","family":"Hillier","given":"Bill","non-dropping-particle":"","parse-names":false,"suffix":""}],"id":"ITEM-1","issued":{"date-parts":[["1999"]]},"publisher":"Cambridge University Press","publisher-place":"Cambridge","title":"Space is the Machine: A Configurational Theory of Architecture","type":"book"},"uris":["http://www.mendeley.com/documents/?uuid=80b5190f-c8dd-33b5-8b42-b3c3aeb8a813"]},{"id":"ITEM-2","itemData":{"DOI":"10.1177/0013916502238864","abstract":"Space syntax research has found that spatial configuration alone explains a substantial proportion of the variance between aggregate human movement rates in different locations in both urban and bu...","author":[{"dropping-particle":"","family":"Penn","given":"Alan","non-dropping-particle":"","parse-names":false,"suffix":""}],"container-title":"Environment and Behavior","id":"ITEM-2","issued":{"date-parts":[["2003","7","26"]]},"publisher":"SAGE Publications","title":"Space Syntax And Spatial Cognition: Or Why the Axial Line?","type":"article-journal"},"uris":["http://www.mendeley.com/documents/?uuid=815ee4e5-8c11-3ee5-bf59-11ef723214a8"]},{"id":"ITEM-3","itemData":{"abstract":"Relations between different components of urban structure are often measured in aliteral manner, along streets for example, the usual representation being routesbetween junctions which form the nodes of an equivalent planar graph. A popularvariant on this theme ? space syntax ? treats these routes as streets containing one ormore junctions, with the equivalent graph representation being more abstract, basedon relations between the streets which themselves are treated as nodes. In this paper,we articulate space syntax as a specific case of relations between any two sets, in thiscase, streets and their junctions, from which we derive two related representations.The first or primal problem is traditional space syntax based on relations betweenstreets through their junctions; the second or dual problem is the more usualmorphological representation of relations between junctions through their streets.The unifying framework that we propose suggests we shift our focus from the primalproblem where accessibility or distance is associated with lines or streets, to the dualproblem where accessibility is associated with points or junctions. This traditionalrepresentation of accessibility between points rather than between lines is easier tounderstand and makes more sense visually. Our unifying framework enables us toeasily shift from the primal problem to the dual and back, thus providing a muchricher interpretation of the syntax. We develop an appropriate algebra which providesa clearer approach to connectivity and distance in the equivalent graphrepresentations, and we then demonstrate these variants for the primal and dualproblems in one of the first space syntax street network examples, the French villageof Gassin. An immediate consequence of our analysis is that we show how the directconnectivity of streets (or junctions) to one another is highly correlated with thedistance measures used. This suggests that a simplified form of syntax can beoperationalized through counts of streets and junctions in the original street network.","author":[{"dropping-particle":"","family":"Batty","given":"M","non-dropping-particle":"","parse-names":false,"suffix":""}],"container-title":"(CASA Working Papers ). Centre for Advanced Spatial Analysis (UCL): London, UK. (2004)","id":"ITEM-3","issued":{"date-parts":[["2004"]]},"publisher":"Centre for Advanced Spatial Analysis (UCL)","publisher-place":"London, UK","title":"A new theory of space syntax","type":"report"},"uris":["http://www.mendeley.com/documents/?uuid=85b4f4e6-674e-353a-9f4b-2791c1284df9"]},{"id":"ITEM-4","itemData":{"author":[{"dropping-particle":"","family":"Zhang","given":"Y","non-dropping-particle":"","parse-names":false,"suffix":""},{"dropping-particle":"","family":"Wang","given":"J","non-dropping-particle":"","parse-names":false,"suffix":""}],"container-title":"The Architect","id":"ITEM-4","issued":{"date-parts":[["2004"]]},"page":"33-44","title":"Re-exploration of Space Syntax","type":"article-journal","volume":"3"},"uris":["http://www.mendeley.com/documents/?uuid=0170109e-1370-4cf5-9577-aee689f269e6"]},{"id":"ITEM-5","itemData":{"DOI":"10.1002/9780470996836.ch17","ISBN":"9781405108393","abstract":"Space syntax is a theory of space and a set of analytical, quantitative, and descriptive tools for analyzing the layout of space in buildings and cities (Hillier and Hanson 1984; Hillier 1996). Originating in architecture, it aims to answer key architectural questions: does the layout of space make a difference? If so, what kind of difference? And how may these differences be realized through design? For museums and galleries , it asks: does spatial design influence how people move through the layout? Does it make a difference to how a gallery works as a social space? Can it be used to enhance curatorial intent? Does the way in which spaces are arranged into visitable sequences and objects are organized spatially play a role in shaping the experience of the museum visitor? Curatorial intent has received much attention in recent years, and now forms a focal theme for museological studies. A substantial literature exists on how curators may realize their intentions, and how changing intentions may reflect deeper changes in the contextual society. Architectural intent has received much less attention, in spite of an increasing realization, particularly through innovative architectural projects , that spatial design can make a significant difference to the museum experience. One reason for the lack of academic-as opposed to architectural-interest may be purely practical: the absence of a language of space in which to formulate clear distinctions between one kind of spatial layout and another. This chapter aims to fill this gap by introducing the space syntax theory and methodology for analyzing spatial layouts as configurations of related spaces, and showing how they can be used to investigate the social functioning and cultural meaning of spatial layouts. Syntactic studies of museums over the past two decades are reviewed to show both the wide range of layout issues that have been covered, and also how the accumulation of new ideas and techniques has brought the study of architectural and curatorial intent closer together. We end the chapter by suggesting that the museum/gallery constitutes a more or less well-defined spatial type, with varied potentials to act both as a pedagogical device for communicating knowledge and narrative, and for transmitting a non-narrative meaning in the form of an embodied spatial and social experience. CHAPTER SEVENTEEN A Companion to Museum Studies Edited by Sharon MacDonald","author":[{"dropping-particle":"","family":"Hillier","given":"Bill","non-dropping-particle":"","parse-names":false,"suffix":""},{"dropping-particle":"","family":"Tzortzi","given":"Kali","non-dropping-particle":"","parse-names":false,"suffix":""}],"container-title":"A Companion to Museum Studies","editor":[{"dropping-particle":"","family":"Macdonald","given":"Sharon","non-dropping-particle":"","parse-names":false,"suffix":""}],"id":"ITEM-5","issued":{"date-parts":[["2006","11","30"]]},"page":"282-301","publisher":"John Wiley and Sons","title":"Space Syntax: The Language of Museum Space","type":"chapter"},"uris":["http://www.mendeley.com/documents/?uuid=79c7b183-628b-3f40-be9f-48ba10df1d01"]},{"id":"ITEM-6","itemData":{"author":[{"dropping-particle":"","family":"Yang","given":"T","non-dropping-particle":"","parse-names":false,"suffix":""}],"container-title":"Urban Design","id":"ITEM-6","issue":"003","issued":{"date-parts":[["2016"]]},"page":"22-31","title":"Thinking Aloud on Space Syntax Research","type":"article-journal","volume":"1"},"uris":["http://www.mendeley.com/documents/?uuid=e88ee37b-ff5e-44e2-ac96-30c9467d56b4"]},{"id":"ITEM-7","itemData":{"DOI":"10.1177/2399808318786512","ISSN":"23998091","abstract":"Space syntax analysis of the city as a movement economy has made major contributions to our understanding of the spatial structure of cities, particularly the importance of a mapping of network integration in relation to density, functional mix and streetlife vitality. It has focused attention of urban researchers onto the importance of the relations between the sociality and spatiality of the city. The primary methods of syntactic analysis involve a reduction of urban morphology to a set of spatial axes; here, we explore some limits to such analysis for urban design. Topological analysis of axial models has long recognized problems in accounting for distance, scale and sinuous streetscapes. Existing adaptations to axial methods that address such problems are modelled and shown to produce a broad range of results for the same urban morphology. In each case, we also compare different capacities for to-movement and through-movement – the distinction between ‘closeness centrality’ and ‘betweenness centrality’ that shows that network integration is multiple. We argue that axial analyses privilege visibility over accessibility and can produce distorted mapping at walkable scales; only one of the methods tested measures permeability and walkable access. Space syntax analysis is a powerful tool that will be more useful the better such limits are understood.","author":[{"dropping-particle":"","family":"Pafka","given":"Elek","non-dropping-particle":"","parse-names":false,"suffix":""},{"dropping-particle":"","family":"Dovey","given":"Kim","non-dropping-particle":"","parse-names":false,"suffix":""},{"dropping-particle":"","family":"Aschwanden","given":"Gideon D.P.A.","non-dropping-particle":"","parse-names":false,"suffix":""}],"container-title":"Environment and Planning B: Urban Analytics and City Science","id":"ITEM-7","issue":"3","issued":{"date-parts":[["2020","3","1"]]},"page":"508-522","publisher":"SAGE Publications Ltd","title":"Limits of space syntax for urban design: Axiality, scale and sinuosity","type":"article-journal","volume":"47"},"uris":["http://www.mendeley.com/documents/?uuid=0c094f05-438d-3563-9508-f2359c2f0118"]}],"mendeley":{"formattedCitation":"(Batty, 2004; Hillier, 1999; Hillier and Tzortzi, 2006; Pafka et al., 2020; Penn, 2003; Yang, 2016; Zhang and Wang, 2004)","plainTextFormattedCitation":"(Batty, 2004; Hillier, 1999; Hillier and Tzortzi, 2006; Pafka et al., 2020; Penn, 2003; Yang, 2016; Zhang and Wang, 2004)","previouslyFormattedCitation":"(Batty, 2004; Hillier, 1999; Hillier and Tzortzi, 2006; Pafka et al., 2020; Penn, 2003; Yang, 2016; Zhang and Wang, 2004)"},"properties":{"noteIndex":0},"schema":"https://github.com/citation-style-language/schema/raw/master/csl-citation.json"}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(Batty, 2004; Hillier, 1999; Hillier and Tzortzi, 2006; Pafka et al., 2020; Penn, 2003; Yang, 2016; Zhang and Wang, 2004)</w:t>
      </w:r>
      <w:r w:rsidRPr="0070060E">
        <w:rPr>
          <w:rFonts w:ascii="Times New Roman" w:hAnsi="Times New Roman" w:cs="Times New Roman"/>
          <w:sz w:val="24"/>
        </w:rPr>
        <w:fldChar w:fldCharType="end"/>
      </w:r>
      <w:r w:rsidRPr="0070060E">
        <w:rPr>
          <w:rFonts w:ascii="Times New Roman" w:hAnsi="Times New Roman" w:cs="Times New Roman"/>
          <w:sz w:val="24"/>
        </w:rPr>
        <w:t xml:space="preserve">. As there has been a dilemma of definition and generation of axial lines in space syntax, some researchers propose alternative representations to replace the axial lines, such as segment lines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{"citationItems":[{"id":"ITEM-1","itemData":{"DOI":"10.1007/11556114_30","ISBN":"354028964X","ISSN":"03029743","abstract":"Correlations are regularly found in space syntax studies between graph-based configurational measures of street networks, represented as lines, and observed movement patterns. This suggests that topological and geometric complexity are critically involved in how people navigate urban grids. This has caused difficulties with orthodox urban modelling, since it has always been assumed that insofar as spatial factors play a role in navigation, it will be on the basis of metric distance. In spite of much experimental evidence from cognitive science that geometric and topological factors are involved in navigation, and that metric distance is unlikely to be the best criterion for navigational choices, the matter has not been convincingly resolved since no method has existed for extracting cognitive information from aggregate flows. Within the space syntax literature it has also remained unclear how far the correlations that are found with syntactic variables at the level of aggregate flows are due to cognitive factors operating at the level of individual movers, or they are simply mathematically probable network effects, that is emergent statistical effects from the structure of line networks, independent of the psychology of navigational choices. Here we suggest how both problems can be resolved, by showing three things: first, how cognitive inferences can be made from aggregate urban flow data and distinguished from network effects; second by showing that urban movement, both vehicular and pedestrian, are shaped far more by the geometrical and topological properties of the grid than by its metric properties; and third by demonstrating that the influence of these factors on movement is a cognitive, not network, effect. © Springer-Verlag Berlin Heidelberg 2005.","author":[{"dropping-particle":"","family":"Hillier","given":"Bill","non-dropping-particle":"","parse-names":false,"suffix":""},{"dropping-particle":"","family":"Iida","given":"Shinichi","non-dropping-particle":"","parse-names":false,"suffix":""}],"container-title":"Spatial Information Theory. COSIT 2005. Lecture Notes in Computer Science","editor":[{"dropping-particle":"","family":"Cohn","given":"Anthony G.","non-dropping-particle":"","parse-names":false,"suffix":""},{"dropping-particle":"","family":"Mark","given":"David M.","non-dropping-particle":"","parse-names":false,"suffix":""}],"id":"ITEM-1","issued":{"date-parts":[["2005"]]},"page":"475-490","publisher":"Springer, Berlin, Heidelberg","publisher-place":"Berlin, Heidelberg","title":"Network and psychological effects in urban movement","type":"chapter","volume":"3693"},"uris":["http://www.mendeley.com/documents/?uuid=880f0874-5de5-3a85-8455-3146028d15d3"]}],"mendeley":{"formattedCitation":"(Hillier and Iida, 2005)","plainTextFormattedCitation":"(Hillier and Iida, 2005)","previouslyFormattedCitation":"(Hillier and Iida, 2005)"},"properties":{"noteIndex":0},"schema":"https://github.com/citation-style-language/schema/raw/master/csl-citation.json"}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(Hillier and Iida, 2005)</w:t>
      </w:r>
      <w:r w:rsidRPr="0070060E">
        <w:rPr>
          <w:rFonts w:ascii="Times New Roman" w:hAnsi="Times New Roman" w:cs="Times New Roman"/>
          <w:sz w:val="24"/>
        </w:rPr>
        <w:fldChar w:fldCharType="end"/>
      </w:r>
      <w:r w:rsidRPr="0070060E">
        <w:rPr>
          <w:rFonts w:ascii="Times New Roman" w:hAnsi="Times New Roman" w:cs="Times New Roman"/>
          <w:sz w:val="24"/>
        </w:rPr>
        <w:t xml:space="preserve">, road center lines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{"citationItems":[{"id":"ITEM-1","itemData":{"DOI":"10.1068/b32067","ISSN":"02658135","abstract":"Axial analysis is one of the fundamental components of space syntax. The space syntax community has suggested that it picks up qualities of configurational relationships between spaces not illuminated by other representations. However, critics have questioned the absolute necessity of axial lines to space syntax, as well as the exact definition of axial lines. Why not another representation? In particular, why not road-centre lines, which are easily available in many countries for use within geographical information systems? Here I propose that a recently introduced method of analysis, angular segment analysis, can marry axial and road-centre line representations, and in doing so reflect a cognitive model of how route choice decisions may be made. I show that angular segment analysis can be applied generally to road-centre line segments or axial segments, through a simple length-weighted normalisation procedure that makes values between the two maps comparable. I make comparative quantitative assessments for a real urban system, not just investigating angular analysis between axial and road-centre line networks, but also including more intuitive measures based on metric (or block) distances between locations. I show that the new angular segment analysis algorithm produces better correlation with observed vehicular flow than both standard axial analysis and metric distance measures. The results imply that there is no reason why space syntax inspired measures cannot be combined with transportation network analysis representations in order to create a new, cognitively coherent, model of movement in the city. © 2007 a Pion publication printed in Great Britain.","author":[{"dropping-particle":"","family":"Turner","given":"Alasdair","non-dropping-particle":"","parse-names":false,"suffix":""}],"container-title":"Environment and Planning B: Planning and Design","id":"ITEM-1","issue":"3","issued":{"date-parts":[["2007","7","22"]]},"page":"539-555","publisher":"Pion Limited","title":"From axial to road-centre lines: A new representation for space syntax and a new model of route choice for transport network analysis","type":"article-journal","volume":"34"},"uris":["http://www.mendeley.com/documents/?uuid=acf2340c-19a7-344d-a1a2-8028fcceeafa"]}],"mendeley":{"formattedCitation":"(Turner, 2007)","plainTextFormattedCitation":"(Turner, 2007)","previouslyFormattedCitation":"(Turner, 2007)"},"properties":{"noteIndex":0},"schema":"https://github.com/citation-style-language/schema/raw/master/csl-citation.json"}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(Turner, 2007)</w:t>
      </w:r>
      <w:r w:rsidRPr="0070060E">
        <w:rPr>
          <w:rFonts w:ascii="Times New Roman" w:hAnsi="Times New Roman" w:cs="Times New Roman"/>
          <w:sz w:val="24"/>
        </w:rPr>
        <w:fldChar w:fldCharType="end"/>
      </w:r>
      <w:r w:rsidRPr="0070060E">
        <w:rPr>
          <w:rFonts w:ascii="Times New Roman" w:hAnsi="Times New Roman" w:cs="Times New Roman"/>
          <w:sz w:val="24"/>
        </w:rPr>
        <w:t xml:space="preserve">, self-organized natural roads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{"citationItems":[{"id":"ITEM-1","itemData":{"DOI":"10.1088/1742-5468/2008/07/P07008","ISSN":"17425468","abstract":"In this paper, we extended road-based topological analysis to both nationwide and urban road networks, and concentrated on a sensitivity study with respect to the formation of self-organized natural roads based on the Gestalt principle of good continuity. Both annual average daily traffic (AADT) and global positioning system (GPS) data were used to correlate with a series of ranking metrics including five centrality-based metrics and two PageRank metrics. It was found that there exists a tipping point from segment-based to road-based network topology in terms of correlation between ranking metrics and their traffic. To our great surprise, (1)this correlation is significantly improved if a selfish rather than utopian strategy is adopted in forming the self-organized natural roads, and (2)point-based metrics assigned by summation into individual roads tend to have a much better correlation with traffic flow than line-based metrics. These counter-intuitive surprising findings constitute emergent properties of self-organized natural roads, which are intelligent enough for predicting traffic flow, thus shedding substantial light on the understanding of road networks and their traffic from the perspective of complex networks. © 2008 IOP Publishing Ltd. and SISSA.","author":[{"dropping-particle":"","family":"Jiang","given":"Bin","non-dropping-particle":"","parse-names":false,"suffix":""},{"dropping-particle":"","family":"Zhao","given":"Sijian","non-dropping-particle":"","parse-names":false,"suffix":""},{"dropping-particle":"","family":"Yin","given":"Junjun","non-dropping-particle":"","parse-names":false,"suffix":""}],"container-title":"Journal of Statistical Mechanics: Theory and Experiment","id":"ITEM-1","issue":"7","issued":{"date-parts":[["2008","7","1"]]},"page":"P07008","publisher":"IOP Publishing","title":"Self-organized natural roads for predicting traffic flow: A sensitivity study","type":"article-journal","volume":"2008"},"uris":["http://www.mendeley.com/documents/?uuid=3e7ea952-fc38-3ec4-8544-886428d0c2ff"]}],"mendeley":{"formattedCitation":"(Jiang et al., 2008)","plainTextFormattedCitation":"(Jiang et al., 2008)","previouslyFormattedCitation":"(Jiang et al., 2008)"},"properties":{"noteIndex":0},"schema":"https://github.com/citation-style-language/schema/raw/master/csl-citation.json"}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(Jiang et al., 2008)</w:t>
      </w:r>
      <w:r w:rsidRPr="0070060E">
        <w:rPr>
          <w:rFonts w:ascii="Times New Roman" w:hAnsi="Times New Roman" w:cs="Times New Roman"/>
          <w:sz w:val="24"/>
        </w:rPr>
        <w:fldChar w:fldCharType="end"/>
      </w:r>
      <w:r w:rsidRPr="0070060E">
        <w:rPr>
          <w:rFonts w:ascii="Times New Roman" w:hAnsi="Times New Roman" w:cs="Times New Roman"/>
          <w:sz w:val="24"/>
        </w:rPr>
        <w:t xml:space="preserve">, continuity lines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author":[{"dropping-particle":"","family":"Figueiredo","given":"L","non-dropping-particle":"","parse-names":false,"suffix":""},{"dropping-particle":"","family":"Amorim","given":"L","non-dropping-particle":"","parse-names":false,"suffix":""}],"container-title":"5th International Space Syntax Symposium","id":"ITEM-1","issued":{"date-parts":[["2005"]]},"page":"161-174","publisher":"TU Delft, Faculty of Architecture","publisher-place":"Delft","title":"Continuity-lines Space Syntax","type":"paper-conference"},"uris":["http://www.mendeley.com/documents/?uuid=c5ea8e2e-cfa9-377e-81ce-3b87185c0fe1"]}],"mendeley":{"formattedCitation":"(Figueiredo and Amorim, 2005)","plainTextFormattedCitation":"(Figueiredo and Amorim, 2005)","previouslyFormattedCitation":"(Figueiredo and Amorim, 2005)"},"properties":{"noteIndex":0},"schema":"https://github.com/citation-style-language/schema/raw/master/csl-citation.json"}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(Figueiredo and Amorim, 2005)</w:t>
      </w:r>
      <w:r w:rsidRPr="0070060E">
        <w:rPr>
          <w:rFonts w:ascii="Times New Roman" w:hAnsi="Times New Roman" w:cs="Times New Roman"/>
          <w:sz w:val="24"/>
        </w:rPr>
        <w:fldChar w:fldCharType="end"/>
      </w:r>
      <w:r w:rsidRPr="0070060E">
        <w:rPr>
          <w:rFonts w:ascii="Times New Roman" w:hAnsi="Times New Roman" w:cs="Times New Roman"/>
          <w:sz w:val="24"/>
        </w:rPr>
        <w:t xml:space="preserve"> and path-centric lines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author":[{"dropping-particle":"","family":"Chiaradia","given":"Alain","non-dropping-particle":"","parse-names":false,"suffix":""},{"dropping-particle":"","family":"Zhang","given":"Lingzhu","non-dropping-particle":"","parse-names":false,"suffix":""}],"container-title":"Architectural Worlds Magazine","id":"ITEM-1","issued":{"date-parts":[["2018"]]},"title":"New Urban Design? Insights from Hong Kong Extreme Configurations","type":"article-magazine"},"uris":["http://www.mendeley.com/documents/?uuid=7eb61d43-d8ad-3185-9c94-d62a7c971f57"]}],"mendeley":{"formattedCitation":"(Chiaradia and Zhang, 2018)","plainTextFormattedCitation":"(Chiaradia and Zhang, 2018)","previouslyFormattedCitation":"(Chiaradia and Zhang, 2018)"},"properties":{"noteIndex":0},"schema":"https://github.com/citation-style-language/schema/raw/master/csl-citation.json"}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(Chiaradia and Zhang, 2018)</w:t>
      </w:r>
      <w:r w:rsidRPr="0070060E">
        <w:rPr>
          <w:rFonts w:ascii="Times New Roman" w:hAnsi="Times New Roman" w:cs="Times New Roman"/>
          <w:sz w:val="24"/>
        </w:rPr>
        <w:fldChar w:fldCharType="end"/>
      </w:r>
      <w:r w:rsidRPr="0070060E">
        <w:rPr>
          <w:rFonts w:ascii="Times New Roman" w:hAnsi="Times New Roman" w:cs="Times New Roman"/>
          <w:sz w:val="24"/>
        </w:rPr>
        <w:t xml:space="preserve">. Space syntax analysis of the city as a movement economies has led researchers to care about uncovering the relationship between the societal and spatial nature of the city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{"citationItems":[{"id":"ITEM-1","itemData":{"DOI":"10.1057/udi.1996.5","ISSN":"14684519","abstract":"This paper is taken from the forthcoming book, Space is the Machine (Cambridge University Press, 1996) which brings together some of the recent developments in applying configurational analysis to issues of architectural and urban theory. The paper reports a fundamental research finding: that movement in the urban grid is, all other things being equal, generated by the configuration of the grid itself. This finding allows completely new insights into the structure of urban grids, and the way these structures relate to urban function. The relation between grid and movement in fact underlies many other aspects of urban form: the distribution of land uses such as retail and residence, spatial patterning of crime, the evolution of different densities and even the part-whole structure of cities. The influence of the fundamental grid-movement relation is so pervasive that cities are conceptualized here as ‘movement economies’, in which the structuring of movement by the grid leads, through multiplier effects, to dense patterns of mixed use encounter that characterize the spatially successful city. © 1996 E. &amp; EN Spon.","author":[{"dropping-particle":"","family":"Hillier","given":"Bill","non-dropping-particle":"","parse-names":false,"suffix":""}],"container-title":"Urban Design International","id":"ITEM-1","issue":"1","issued":{"date-parts":[["1996","3","1"]]},"page":"41-60","publisher":"Palgrave","title":"Cities as movement economies","type":"article-journal","volume":"1"},"uris":["http://www.mendeley.com/documents/?uuid=b4d11b9e-22ae-3aae-8c10-4163bfbda20d"]},{"id":"ITEM-2","itemData":{"DOI":"10.1177/2399808318786512","ISSN":"23998091","abstract":"Space syntax analysis of the city as a movement economy has made major contributions to our understanding of the spatial structure of cities, particularly the importance of a mapping of network integration in relation to density, functional mix and streetlife vitality. It has focused attention of urban researchers onto the importance of the relations between the sociality and spatiality of the city. The primary methods of syntactic analysis involve a reduction of urban morphology to a set of spatial axes; here, we explore some limits to such analysis for urban design. Topological analysis of axial models has long recognized problems in accounting for distance, scale and sinuous streetscapes. Existing adaptations to axial methods that address such problems are modelled and shown to produce a broad range of results for the same urban morphology. In each case, we also compare different capacities for to-movement and through-movement – the distinction between ‘closeness centrality’ and ‘betweenness centrality’ that shows that network integration is multiple. We argue that axial analyses privilege visibility over accessibility and can produce distorted mapping at walkable scales; only one of the methods tested measures permeability and walkable access. Space syntax analysis is a powerful tool that will be more useful the better such limits are understood.","author":[{"dropping-particle":"","family":"Pafka","given":"Elek","non-dropping-particle":"","parse-names":false,"suffix":""},{"dropping-particle":"","family":"Dovey","given":"Kim","non-dropping-particle":"","parse-names":false,"suffix":""},{"dropping-particle":"","family":"Aschwanden","given":"Gideon D.P.A.","non-dropping-particle":"","parse-names":false,"suffix":""}],"container-title":"Environment and Planning B: Urban Analytics and City Science","id":"ITEM-2","issue":"3","issued":{"date-parts":[["2020","3","1"]]},"page":"508-522","publisher":"SAGE Publications Ltd","title":"Limits of space syntax for urban design: Axiality, scale and sinuosity","type":"article-journal","volume":"47"},"uris":["http://www.mendeley.com/documents/?uuid=0c094f05-438d-3563-9508-f2359c2f0118"]}],"mendeley":{"formattedCitation":"(Hillier, 1996; Pafka et al., 2020)","plainTextFormattedCitation":"(Hillier, 1996; Pafka et al., 2020)","previouslyFormattedCitation":"(Hillier, 1996; Pafka et al., 2020)"},"properties":{"noteIndex":0},"schema":"https://github.com/citation-style-language/schema/raw/master/csl-citation.json"}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(Hillier, 1996; Pafka et al., 2020)</w:t>
      </w:r>
      <w:r w:rsidRPr="0070060E">
        <w:rPr>
          <w:rFonts w:ascii="Times New Roman" w:hAnsi="Times New Roman" w:cs="Times New Roman"/>
          <w:sz w:val="24"/>
        </w:rPr>
        <w:fldChar w:fldCharType="end"/>
      </w:r>
      <w:r w:rsidRPr="0070060E">
        <w:rPr>
          <w:rFonts w:ascii="Times New Roman" w:hAnsi="Times New Roman" w:cs="Times New Roman"/>
          <w:sz w:val="24"/>
        </w:rPr>
        <w:t xml:space="preserve">. For example, the correlation between the space syntax and complex network parameters with density, and urban vitality. This was an incentive to generate axial maps of space syntax from the point of view of accessibility rather than visibility, since human movement is restricted by walkable space, especially at the city level. Since in large urban environments such as cities or university campuses, the distances between buildings are not necessarily walkable space, it is not advantageous to rely on a perspective of the visibility to </w:t>
      </w:r>
      <w:r w:rsidRPr="0070060E">
        <w:rPr>
          <w:rFonts w:ascii="Times New Roman" w:hAnsi="Times New Roman" w:cs="Times New Roman"/>
          <w:sz w:val="24"/>
        </w:rPr>
        <w:lastRenderedPageBreak/>
        <w:t xml:space="preserve">generate axial lines. Liu and his colleague proposed a method for redefining and generating axial lines by considering the walkability and drivability streets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{"citationItems":[{"id":"ITEM-1","itemData":{"DOI":"10.1080/13658816.2011.643800","ISSN":"13658816","abstract":"Axial lines are defined as the longest visibility lines for representing individual linear spaces in urban environments. The least set of axial lines that cover the free space of an urban environment or the space between buildings constitute what is often called an axial map. This is a fundamental tool in space syntax, a theory developed by Bill Hillier and his colleagues for characterizing the underlying urban morphologies. For a long time, generating axial lines with the help of some graphic software has been a tedious manual process that is criticized for being time consuming, subjective, or even arbitrary. In this article, we redefine axial lines as the least set of individual straight line segments mutually intersected along natural streets that are generated from street center lines using the Gestalt principle of good continuity. Based on this new definition, we develop an automatic solution for generating the newly defined axial lines from street center lines. We apply this solution to six typical street networks (three from North America and three from Europe) and generate a new set of axial lines for analyzing the urban morphologies. Through a comparison study between the new axial lines and the conventional or old axial lines and between the new axial lines and natural streets, we demonstrate with empirical evidence that the newly defined axial lines are a better alternative for capturing the underlying urban structure. © 2012 Copyright Taylor and Francis Group, LLC.","author":[{"dropping-particle":"","family":"Liu","given":"Xintao","non-dropping-particle":"","parse-names":false,"suffix":""},{"dropping-particle":"","family":"Jiang","given":"Bin","non-dropping-particle":"","parse-names":false,"suffix":""}],"container-title":"International Journal of Geographical Information Science","id":"ITEM-1","issue":"8","issued":{"date-parts":[["2012","8"]]},"page":"1521-1532","publisher":" Taylor &amp; Francis ","title":"Defining and generating axial lines from street center lines for better understanding of urban morphologies","type":"article-journal","volume":"26"},"uris":["http://www.mendeley.com/documents/?uuid=a12235a5-4d43-3a71-b385-36e418defef7"]}],"mendeley":{"formattedCitation":"(Liu and Jiang, 2012)","plainTextFormattedCitation":"(Liu and Jiang, 2012)","previouslyFormattedCitation":"(Liu and Jiang, 2012)"},"properties":{"noteIndex":0},"schema":"https://github.com/citation-style-language/schema/raw/master/csl-citation.json"}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(Liu and Jiang, 2012)</w:t>
      </w:r>
      <w:r w:rsidRPr="0070060E">
        <w:rPr>
          <w:rFonts w:ascii="Times New Roman" w:hAnsi="Times New Roman" w:cs="Times New Roman"/>
          <w:sz w:val="24"/>
        </w:rPr>
        <w:fldChar w:fldCharType="end"/>
      </w:r>
      <w:r w:rsidRPr="0070060E">
        <w:rPr>
          <w:rFonts w:ascii="Times New Roman" w:hAnsi="Times New Roman" w:cs="Times New Roman"/>
          <w:sz w:val="24"/>
        </w:rPr>
        <w:t xml:space="preserve">. Meanwhile, Ratti pointed out several problems in space syntax </w:t>
      </w:r>
      <w:r w:rsidRPr="0070060E">
        <w:rPr>
          <w:rFonts w:ascii="Times New Roman" w:hAnsi="Times New Roman" w:cs="Times New Roman"/>
          <w:sz w:val="24"/>
        </w:rPr>
        <w:fldChar w:fldCharType="begin" w:fldLock="1"/>
      </w:r>
      <w:r w:rsidRPr="0070060E">
        <w:rPr>
          <w:rFonts w:ascii="Times New Roman" w:hAnsi="Times New Roman" w:cs="Times New Roman"/>
          <w:sz w:val="24"/>
        </w:rPr>
        <w:instrText>ADDIN CSL_CITATION {"citationItems":[{"id":"ITEM-1","itemData":{"DOI":"10.1068/b3019","ISSN":"02658135","abstract":"This paper reports on a number of inconsistencies that appear in space syntax-a well-known technique of urban analysis-when dealing with certain geometrical configurations. At a simple level, the analysis of regularly gridded urban textures (such as Manhattan's) reveals the difficulty of accepting the claim that space syntax allows the modelling of pedestrian choice making. In more complex cases, the distortion of two ideal textures produces a topological discontinuity, leading to the unacceptable situation where one single urban configuration produces two conflicting outcomes when analysed with space syntax tools. Several other points are also discussed, such as the difficulty of space syntax to take into account building height and land use, and its sensitivity to boundary conditions. Conclusions seem to suggest that the topological representation of cities, on which space syntax is based, discards precious metric information and is rather limiting. It is envisaged that with current increases in computational power new algorithms might allow a deeper understanding of urban texture, based on the full exploration of its metric and topological properties. This would contribute to answer the fascinating question which space syntax has helped to frame: what is the influence of urban configuration on social life?","author":[{"dropping-particle":"","family":"Ratti","given":"Carlo","non-dropping-particle":"","parse-names":false,"suffix":""}],"container-title":"Environment and Planning B: Planning and Design","id":"ITEM-1","issue":"4","issued":{"date-parts":[["2004","11","30"]]},"page":"487-499","publisher":"Pion Limited","title":"Space syntax: Some inconsistencies","type":"article-journal","volume":"31"},"uris":["http://www.mendeley.com/documents/?uuid=4bb7895c-dac4-3f3e-ad44-39b6833c4405"]}],"mendeley":{"formattedCitation":"(Ratti, 2004)","plainTextFormattedCitation":"(Ratti, 2004)","previouslyFormattedCitation":"(Ratti, 2004)"},"properties":{"noteIndex":0},"schema":"https://github.com/citation-style-language/schema/raw/master/csl-citation.json"}</w:instrText>
      </w:r>
      <w:r w:rsidRPr="0070060E">
        <w:rPr>
          <w:rFonts w:ascii="Times New Roman" w:hAnsi="Times New Roman" w:cs="Times New Roman"/>
          <w:sz w:val="24"/>
        </w:rPr>
        <w:fldChar w:fldCharType="separate"/>
      </w:r>
      <w:r w:rsidRPr="0070060E">
        <w:rPr>
          <w:rFonts w:ascii="Times New Roman" w:hAnsi="Times New Roman" w:cs="Times New Roman"/>
          <w:noProof/>
          <w:sz w:val="24"/>
        </w:rPr>
        <w:t>(Ratti, 2004)</w:t>
      </w:r>
      <w:r w:rsidRPr="0070060E">
        <w:rPr>
          <w:rFonts w:ascii="Times New Roman" w:hAnsi="Times New Roman" w:cs="Times New Roman"/>
          <w:sz w:val="24"/>
        </w:rPr>
        <w:fldChar w:fldCharType="end"/>
      </w:r>
      <w:r w:rsidRPr="0070060E">
        <w:rPr>
          <w:rFonts w:ascii="Times New Roman" w:hAnsi="Times New Roman" w:cs="Times New Roman"/>
          <w:sz w:val="24"/>
        </w:rPr>
        <w:t xml:space="preserve">, e.g., it puts too much emphasis on spatial and geometric structures, but other information such as building height and land use are oversimplified or even neglected. In addition, although its theoretical basis is not limited to 2D space, the algorithm and application scenario of spatial syntax do not contain 3D space. </w:t>
      </w:r>
    </w:p>
    <w:p w14:paraId="4D241811" w14:textId="081598E6" w:rsidR="00D72998" w:rsidRPr="0070060E" w:rsidRDefault="004912FC" w:rsidP="0067013D">
      <w:pPr>
        <w:ind w:firstLine="540"/>
        <w:jc w:val="both"/>
        <w:rPr>
          <w:rFonts w:ascii="Times New Roman" w:hAnsi="Times New Roman" w:cs="Times New Roman"/>
          <w:sz w:val="24"/>
          <w:szCs w:val="24"/>
        </w:rPr>
      </w:pPr>
      <w:r w:rsidRPr="0070060E">
        <w:rPr>
          <w:rFonts w:ascii="Times New Roman" w:hAnsi="Times New Roman" w:cs="Times New Roman"/>
          <w:sz w:val="24"/>
        </w:rPr>
        <w:t>Urban</w:t>
      </w:r>
      <w:r w:rsidRPr="0070060E">
        <w:rPr>
          <w:rFonts w:ascii="Times New Roman" w:hAnsi="Times New Roman" w:cs="Times New Roman"/>
          <w:sz w:val="24"/>
          <w:szCs w:val="24"/>
        </w:rPr>
        <w:t xml:space="preserve"> space is defined as the open area where people can freely access, which can be regarded as the counterpart of obstacles such as buildings in a city. In essence, the urban space is large and continuous, which consists of numerous small spaces. A small space is an area which is visible from a location at one time, no matter where the location is in the area. On one hand, one cannot see or perceive the whole space at one time. On the other hand, there are numerous ways to break down the large and continuous space into small spaces. To quantify the differences of the large urban space, it is necessary to decompose it into reasonable and unique spatial units to perform quantitative analysis. Space syntax </w:t>
      </w:r>
      <w:r w:rsidR="00A44193" w:rsidRPr="0070060E">
        <w:rPr>
          <w:rFonts w:ascii="Times New Roman" w:hAnsi="Times New Roman" w:cs="Times New Roman"/>
          <w:sz w:val="24"/>
        </w:rPr>
        <w:fldChar w:fldCharType="begin" w:fldLock="1"/>
      </w:r>
      <w:r w:rsidR="001C2862" w:rsidRPr="0070060E">
        <w:rPr>
          <w:rFonts w:ascii="Times New Roman" w:hAnsi="Times New Roman" w:cs="Times New Roman"/>
          <w:sz w:val="24"/>
        </w:rPr>
        <w:instrText>ADDIN CSL_CITATION {"citationItems":[{"id":"ITEM-1","itemData":{"DOI":"10.1017/cbo9780511597237","abstract":"Architecture is usually discussed in terms of what buildings look like from the outside. But how buildings and towns work has much more to do with how they create and arrange space. The ways in which buildings order space, especially urban space, lie at the heart of what is wrong with the built environment today. The book presents a new theory of space: how and why it is a vital component of how societies work. The theory is developed on the basis of a new way of describing and analysing the kinds of spatial patterns produced by buildings and towns. The book also presents a new theory of societies and spatial systems, and what it is about different types of society that leads them to adopt fundamentally different spatial forms. From this general theory, the outline of a 'pathology of modern urbanism' in today's social context is developed. -Publisher","author":[{"dropping-particle":"","family":"Hillier","given":"B.","non-dropping-particle":"","parse-names":false,"suffix":""},{"dropping-particle":"","family":"Hanson","given":"J.","non-dropping-particle":"","parse-names":false,"suffix":""}],"id":"ITEM-1","issued":{"date-parts":[["1984"]]},"publisher":"Cambridge University Press","publisher-place":"Cambridge","title":"The social logic of space.","type":"book"},"uris":["http://www.mendeley.com/documents/?uuid=aadb851f-a865-39be-b873-accef0a09944"]},{"id":"ITEM-2","itemData":{"DOI":"10.1068/b030147","abstract":"This paper addresses itself to the question of how and why different societies produce different spatial orders through building forms and settlement patterns. It consists of three parts. Firstly, at a metatheoretical level, it is suggested that spatial organization should be seen as a member of a family of ‘morphic languages’ which are unlike both natural and mathematical languages but which borrow properties from each. In general, morphic languages are used to constitute rather than represent the social through their syntax (that is the systematic production of pattern). Secondly, a general syntactic theory of space organization is proposed. It is argued that spatial patterns in both complex buildings and settlements fall into eight major types, which are interrelated in structural ways. Finally, the syntactic theory is used to integrate a number of recent general propositions made in anthropology regarding human space organization.","author":[{"dropping-particle":"","family":"Hillier","given":"Bill","non-dropping-particle":"","parse-names":false,"suffix":""},{"dropping-particle":"","family":"Leaman","given":"A.","non-dropping-particle":"","parse-names":false,"suffix":""},{"dropping-particle":"","family":"Stansall","given":"P.","non-dropping-particle":"","parse-names":false,"suffix":""},{"dropping-particle":"","family":"Bedford","given":"M.","non-dropping-particle":"","parse-names":false,"suffix":""}],"container-title":"Environment and Planning B: Urban Analytics and City Science","id":"ITEM-2","issue":"2","issued":{"date-parts":[["1976"]]},"page":"147-185","publisher":"SAGE PublicationsSage UK: London, England","title":"Space Syntax","type":"article-journal","volume":"3"},"uris":["http://www.mendeley.com/documents/?uuid=b9f836c6-7084-3203-a29c-96dcf80b0639"]}],"mendeley":{"formattedCitation":"(Hillier et al., 1976; Hillier and Hanson, 1984)","plainTextFormattedCitation":"(Hillier et al., 1976; Hillier and Hanson, 1984)","previouslyFormattedCitation":"(Hillier et al., 1976; Hillier and Hanson, 1984)"},"properties":{"noteIndex":0},"schema":"https://github.com/citation-style-language/schema/raw/master/csl-citation.json"}</w:instrText>
      </w:r>
      <w:r w:rsidR="00A44193" w:rsidRPr="0070060E">
        <w:rPr>
          <w:rFonts w:ascii="Times New Roman" w:hAnsi="Times New Roman" w:cs="Times New Roman"/>
          <w:sz w:val="24"/>
        </w:rPr>
        <w:fldChar w:fldCharType="separate"/>
      </w:r>
      <w:r w:rsidR="00A44193" w:rsidRPr="0070060E">
        <w:rPr>
          <w:rFonts w:ascii="Times New Roman" w:hAnsi="Times New Roman" w:cs="Times New Roman"/>
          <w:noProof/>
          <w:sz w:val="24"/>
        </w:rPr>
        <w:t>(Hillier et al., 1976; Hillier and Hanson, 1984)</w:t>
      </w:r>
      <w:r w:rsidR="00A44193" w:rsidRPr="0070060E">
        <w:rPr>
          <w:rFonts w:ascii="Times New Roman" w:hAnsi="Times New Roman" w:cs="Times New Roman"/>
          <w:sz w:val="24"/>
        </w:rPr>
        <w:fldChar w:fldCharType="end"/>
      </w:r>
      <w:r w:rsidRPr="0070060E">
        <w:rPr>
          <w:rFonts w:ascii="Times New Roman" w:hAnsi="Times New Roman" w:cs="Times New Roman"/>
          <w:sz w:val="24"/>
        </w:rPr>
        <w:t xml:space="preserve"> </w:t>
      </w:r>
      <w:r w:rsidRPr="0070060E">
        <w:rPr>
          <w:rFonts w:ascii="Times New Roman" w:hAnsi="Times New Roman" w:cs="Times New Roman"/>
          <w:sz w:val="24"/>
          <w:szCs w:val="24"/>
        </w:rPr>
        <w:t>provides a set of theories and techniques to decompose the large and continuous geographic space (</w:t>
      </w:r>
      <w:r w:rsidR="00694F4D" w:rsidRPr="0070060E">
        <w:rPr>
          <w:rFonts w:ascii="Times New Roman" w:hAnsi="Times New Roman" w:cs="Times New Roman"/>
          <w:sz w:val="24"/>
          <w:szCs w:val="24"/>
        </w:rPr>
        <w:t>Figure S1</w:t>
      </w:r>
      <w:r w:rsidRPr="0070060E">
        <w:rPr>
          <w:rFonts w:ascii="Times New Roman" w:hAnsi="Times New Roman" w:cs="Times New Roman"/>
          <w:sz w:val="24"/>
          <w:szCs w:val="24"/>
        </w:rPr>
        <w:t xml:space="preserve">) into a set of unique lines (axial lines, </w:t>
      </w:r>
      <w:r w:rsidR="00694F4D" w:rsidRPr="0070060E">
        <w:rPr>
          <w:rFonts w:ascii="Times New Roman" w:hAnsi="Times New Roman" w:cs="Times New Roman"/>
          <w:sz w:val="24"/>
          <w:szCs w:val="24"/>
        </w:rPr>
        <w:t>Figure S1-(b)</w:t>
      </w:r>
      <w:r w:rsidRPr="0070060E">
        <w:rPr>
          <w:rFonts w:ascii="Times New Roman" w:hAnsi="Times New Roman" w:cs="Times New Roman"/>
          <w:sz w:val="24"/>
          <w:szCs w:val="24"/>
        </w:rPr>
        <w:t xml:space="preserve">). Each of the axial line represents a small space, based on which the spatial network can be used to quantify the difference of the large space using network analysis. There are two principles when generating the axial map: 1) the axial line is defined as the longest straight line representing the maximum extension of a point in space; and 2) the number of lines must be the least. Simply to say, the axial lines are the least number of longest lines in the space. There are different methods to generate axial lines, due to the limited length, please refer to related studies for more details (e.g., </w:t>
      </w:r>
      <w:r w:rsidR="003E42ED" w:rsidRPr="0070060E">
        <w:rPr>
          <w:rFonts w:ascii="Times New Roman" w:hAnsi="Times New Roman" w:cs="Times New Roman"/>
          <w:sz w:val="24"/>
          <w:szCs w:val="24"/>
        </w:rPr>
        <w:fldChar w:fldCharType="begin" w:fldLock="1"/>
      </w:r>
      <w:r w:rsidR="00C84BC3" w:rsidRPr="0070060E">
        <w:rPr>
          <w:rFonts w:ascii="Times New Roman" w:hAnsi="Times New Roman" w:cs="Times New Roman"/>
          <w:sz w:val="24"/>
          <w:szCs w:val="24"/>
        </w:rPr>
        <w:instrText>ADDIN CSL_CITATION {"citationItems":[{"id":"ITEM-1","itemData":{"DOI":"10.1017/cbo9780511597237","abstract":"Architecture is usually discussed in terms of what buildings look like from the outside. But how buildings and towns work has much more to do with how they create and arrange space. The ways in which buildings order space, especially urban space, lie at the heart of what is wrong with the built environment today. The book presents a new theory of space: how and why it is a vital component of how societies work. The theory is developed on the basis of a new way of describing and analysing the kinds of spatial patterns produced by buildings and towns. The book also presents a new theory of societies and spatial systems, and what it is about different types of society that leads them to adopt fundamentally different spatial forms. From this general theory, the outline of a 'pathology of modern urbanism' in today's social context is developed. -Publisher","author":[{"dropping-particle":"","family":"Hillier","given":"B.","non-dropping-particle":"","parse-names":false,"suffix":""},{"dropping-particle":"","family":"Hanson","given":"J.","non-dropping-particle":"","parse-names":false,"suffix":""}],"id":"ITEM-1","issued":{"date-parts":[["1984"]]},"publisher":"Cambridge University Press","publisher-place":"Cambridge","title":"The social logic of space.","type":"book"},"uris":["http://www.mendeley.com/documents/?uuid=aadb851f-a865-39be-b873-accef0a09944"]},{"id":"ITEM-2","itemData":{"DOI":"10.1080/13658810902950351","ISSN":"13658816","abstract":"Based on the concepts of isovists and medial axes, we developed a set of algorithms that can automatically generate axial lines for representing individual linearly stretched parts of open space of an urban environment. Open space is the space between buildings where people can freely move around. The generation of the axial lines has been a key aspect of space syntax research, conventionally relying on hand-drawn axial lines of an urban environment, often called axial map, for urban morphological analysis. Although various attempts have been made towards an automatic solution, few of them can produce the axial map that consists of the least number of longest visibility lines, and none of them really works for different urban environments. Our algorithms provide a better solution than existing ones. Throughout this article, we have also argued and demonstrated that the axial lines constitute a true skeleton, superior to medial axes, in capturing what we perceive about the urban environment. © 2010 Taylor &amp; Francis.","author":[{"dropping-particle":"","family":"Jiang","given":"Bin","non-dropping-particle":"","parse-names":false,"suffix":""},{"dropping-particle":"","family":"Liu","given":"Xintao","non-dropping-particle":"","parse-names":false,"suffix":""}],"container-title":"International Journal of Geographical Information Science","id":"ITEM-2","issue":"4","issued":{"date-parts":[["2010","4"]]},"page":"545-558","publisher":" Taylor &amp; Francis ","title":"Automatic generation of the axial lines of urban environments to capture what we perceive","type":"article-journal","volume":"24"},"uris":["http://www.mendeley.com/documents/?uuid=63d05bb7-6c10-37ad-9ae5-5e421d69b247"]},{"id":"ITEM-3","itemData":{"DOI":"10.1080/13658816.2011.643800","ISSN":"13658816","abstract":"Axial lines are defined as the longest visibility lines for representing individual linear spaces in urban environments. The least set of axial lines that cover the free space of an urban environment or the space between buildings constitute what is often called an axial map. This is a fundamental tool in space syntax, a theory developed by Bill Hillier and his colleagues for characterizing the underlying urban morphologies. For a long time, generating axial lines with the help of some graphic software has been a tedious manual process that is criticized for being time consuming, subjective, or even arbitrary. In this article, we redefine axial lines as the least set of individual straight line segments mutually intersected along natural streets that are generated from street center lines using the Gestalt principle of good continuity. Based on this new definition, we develop an automatic solution for generating the newly defined axial lines from street center lines. We apply this solution to six typical street networks (three from North America and three from Europe) and generate a new set of axial lines for analyzing the urban morphologies. Through a comparison study between the new axial lines and the conventional or old axial lines and between the new axial lines and natural streets, we demonstrate with empirical evidence that the newly defined axial lines are a better alternative for capturing the underlying urban structure. © 2012 Copyright Taylor and Francis Group, LLC.","author":[{"dropping-particle":"","family":"Liu","given":"Xintao","non-dropping-particle":"","parse-names":false,"suffix":""},{"dropping-particle":"","family":"Jiang","given":"Bin","non-dropping-particle":"","parse-names":false,"suffix":""}],"container-title":"International Journal of Geographical Information Science","id":"ITEM-3","issue":"8","issued":{"date-parts":[["2012","8"]]},"page":"1521-1532","publisher":" Taylor &amp; Francis ","title":"Defining and generating axial lines from street center lines for better understanding of urban morphologies","type":"article-journal","volume":"26"},"uris":["http://www.mendeley.com/documents/?uuid=a12235a5-4d43-3a71-b385-36e418defef7"]},{"id":"ITEM-4","itemData":{"DOI":"10.1068/b31097","ISSN":"02658135","abstract":"The fewest-line axial map, often simply referred to as the 'axial map, is one of the primary tools of space syntax. Its natural language definition has allowed researchers to draw consistent maps that present a concise description of architectural space; it has been established that graph measures obtained from the map are useful for the analysis of pedestrian movement patterns and activities related to such movement: for example, the location of services or of crime. However, the definition has proved difficult to translate into formal language by mathematicians and algorithmic implementers alike. This has meant that space syntax has been criticised for a lack of rigour in the definition of one of its fundamental representations. Here we clarify the original definition of the fewest-line axial map and show that it can be implemented algorithmically. We show that the original definition leads to maps similar to those currently drawn by hand, and we demonstrate that the differences between the two may be accounted for in terms of the detail of the algorithm used. We propose that the analytical power of the axial map in empirical studies derives from the efficient representation of key properties of the spatial configuration that it captures.","author":[{"dropping-particle":"","family":"Turner","given":"Alasdair","non-dropping-particle":"","parse-names":false,"suffix":""},{"dropping-particle":"","family":"Penn","given":"Alan","non-dropping-particle":"","parse-names":false,"suffix":""},{"dropping-particle":"","family":"Hillier","given":"Bill","non-dropping-particle":"","parse-names":false,"suffix":""}],"container-title":"Environment and Planning B: Planning and Design","id":"ITEM-4","issue":"3","issued":{"date-parts":[["2005","11","30"]]},"page":"425-444","publisher":"Pion Limited","title":"An algorithmic definition of the axial map","type":"article-journal","volume":"32"},"uris":["http://www.mendeley.com/documents/?uuid=48598ca2-83a9-3ea5-8cad-5b2a690a44d8"]}],"mendeley":{"formattedCitation":"(Hillier and Hanson, 1984; Jiang and Liu, 2010; Liu and Jiang, 2012; Turner et al., 2005)","plainTextFormattedCitation":"(Hillier and Hanson, 1984; Jiang and Liu, 2010; Liu and Jiang, 2012; Turner et al., 2005)","previouslyFormattedCitation":"(Hillier and Hanson, 1984; Jiang and Liu, 2010; Liu and Jiang, 2012; Turner et al., 2005)"},"properties":{"noteIndex":0},"schema":"https://github.com/citation-style-language/schema/raw/master/csl-citation.json"}</w:instrText>
      </w:r>
      <w:r w:rsidR="003E42ED" w:rsidRPr="0070060E">
        <w:rPr>
          <w:rFonts w:ascii="Times New Roman" w:hAnsi="Times New Roman" w:cs="Times New Roman"/>
          <w:sz w:val="24"/>
          <w:szCs w:val="24"/>
        </w:rPr>
        <w:fldChar w:fldCharType="separate"/>
      </w:r>
      <w:r w:rsidR="003E42ED" w:rsidRPr="0070060E">
        <w:rPr>
          <w:rFonts w:ascii="Times New Roman" w:hAnsi="Times New Roman" w:cs="Times New Roman"/>
          <w:noProof/>
          <w:sz w:val="24"/>
          <w:szCs w:val="24"/>
        </w:rPr>
        <w:t>(Hillier and Hanson, 1984; Jiang and Liu, 2010; Liu and Jiang, 2012; Turner et al., 2005)</w:t>
      </w:r>
      <w:r w:rsidR="003E42ED" w:rsidRPr="0070060E">
        <w:rPr>
          <w:rFonts w:ascii="Times New Roman" w:hAnsi="Times New Roman" w:cs="Times New Roman"/>
          <w:sz w:val="24"/>
          <w:szCs w:val="24"/>
        </w:rPr>
        <w:fldChar w:fldCharType="end"/>
      </w:r>
      <w:r w:rsidR="00093BC2" w:rsidRPr="0070060E">
        <w:rPr>
          <w:rFonts w:ascii="Times New Roman" w:hAnsi="Times New Roman" w:cs="Times New Roman"/>
          <w:sz w:val="24"/>
          <w:szCs w:val="24"/>
        </w:rPr>
        <w:t>)</w:t>
      </w:r>
      <w:r w:rsidRPr="0070060E">
        <w:rPr>
          <w:rFonts w:ascii="Times New Roman" w:hAnsi="Times New Roman" w:cs="Times New Roman"/>
          <w:sz w:val="24"/>
          <w:szCs w:val="24"/>
        </w:rPr>
        <w:t>.</w:t>
      </w:r>
      <w:r w:rsidR="00E945C4" w:rsidRPr="0070060E">
        <w:rPr>
          <w:rFonts w:ascii="Times New Roman" w:hAnsi="Times New Roman" w:cs="Times New Roman"/>
          <w:sz w:val="24"/>
          <w:szCs w:val="24"/>
        </w:rPr>
        <w:t xml:space="preserve"> </w:t>
      </w:r>
      <w:r w:rsidR="00B42D55" w:rsidRPr="0070060E">
        <w:rPr>
          <w:rFonts w:ascii="Times New Roman" w:hAnsi="Times New Roman" w:cs="Times New Roman"/>
          <w:sz w:val="24"/>
          <w:szCs w:val="24"/>
        </w:rPr>
        <w:t xml:space="preserve">Turner et al. stated that graph measures obtained from axial maps are useful for analyzing pedestrian movement patterns and the effect of spatial configuration on pedestrian movement </w:t>
      </w:r>
      <w:r w:rsidR="0068116B" w:rsidRPr="0070060E">
        <w:rPr>
          <w:rFonts w:ascii="Times New Roman" w:hAnsi="Times New Roman" w:cs="Times New Roman"/>
          <w:sz w:val="24"/>
          <w:szCs w:val="24"/>
        </w:rPr>
        <w:fldChar w:fldCharType="begin" w:fldLock="1"/>
      </w:r>
      <w:r w:rsidR="000527F7" w:rsidRPr="0070060E">
        <w:rPr>
          <w:rFonts w:ascii="Times New Roman" w:hAnsi="Times New Roman" w:cs="Times New Roman"/>
          <w:sz w:val="24"/>
          <w:szCs w:val="24"/>
        </w:rPr>
        <w:instrText>ADDIN CSL_CITATION {"citationItems":[{"id":"ITEM-1","itemData":{"DOI":"10.1068/b31097","ISSN":"02658135","abstract":"The fewest-line axial map, often simply referred to as the 'axial map, is one of the primary tools of space syntax. Its natural language definition has allowed researchers to draw consistent maps that present a concise description of architectural space; it has been established that graph measures obtained from the map are useful for the analysis of pedestrian movement patterns and activities related to such movement: for example, the location of services or of crime. However, the definition has proved difficult to translate into formal language by mathematicians and algorithmic implementers alike. This has meant that space syntax has been criticised for a lack of rigour in the definition of one of its fundamental representations. Here we clarify the original definition of the fewest-line axial map and show that it can be implemented algorithmically. We show that the original definition leads to maps similar to those currently drawn by hand, and we demonstrate that the differences between the two may be accounted for in terms of the detail of the algorithm used. We propose that the analytical power of the axial map in empirical studies derives from the efficient representation of key properties of the spatial configuration that it captures.","author":[{"dropping-particle":"","family":"Turner","given":"Alasdair","non-dropping-particle":"","parse-names":false,"suffix":""},{"dropping-particle":"","family":"Penn","given":"Alan","non-dropping-particle":"","parse-names":false,"suffix":""},{"dropping-particle":"","family":"Hillier","given":"Bill","non-dropping-particle":"","parse-names":false,"suffix":""}],"container-title":"Environment and Planning B: Planning and Design","id":"ITEM-1","issue":"3","issued":{"date-parts":[["2005","11","30"]]},"page":"425-444","publisher":"Pion Limited","title":"An algorithmic definition of the axial map","type":"article-journal","volume":"32"},"uris":["http://www.mendeley.com/documents/?uuid=48598ca2-83a9-3ea5-8cad-5b2a690a44d8"]}],"mendeley":{"formattedCitation":"(Turner et al., 2005)","plainTextFormattedCitation":"(Turner et al., 2005)","previouslyFormattedCitation":"(Turner et al., 2005)"},"properties":{"noteIndex":0},"schema":"https://github.com/citation-style-language/schema/raw/master/csl-citation.json"}</w:instrText>
      </w:r>
      <w:r w:rsidR="0068116B" w:rsidRPr="0070060E">
        <w:rPr>
          <w:rFonts w:ascii="Times New Roman" w:hAnsi="Times New Roman" w:cs="Times New Roman"/>
          <w:sz w:val="24"/>
          <w:szCs w:val="24"/>
        </w:rPr>
        <w:fldChar w:fldCharType="separate"/>
      </w:r>
      <w:r w:rsidR="0068116B" w:rsidRPr="0070060E">
        <w:rPr>
          <w:rFonts w:ascii="Times New Roman" w:hAnsi="Times New Roman" w:cs="Times New Roman"/>
          <w:noProof/>
          <w:sz w:val="24"/>
          <w:szCs w:val="24"/>
        </w:rPr>
        <w:t>(Turner et al., 2005)</w:t>
      </w:r>
      <w:r w:rsidR="0068116B" w:rsidRPr="0070060E">
        <w:rPr>
          <w:rFonts w:ascii="Times New Roman" w:hAnsi="Times New Roman" w:cs="Times New Roman"/>
          <w:sz w:val="24"/>
          <w:szCs w:val="24"/>
        </w:rPr>
        <w:fldChar w:fldCharType="end"/>
      </w:r>
      <w:r w:rsidR="00BB5DFC" w:rsidRPr="0070060E">
        <w:rPr>
          <w:rFonts w:ascii="Times New Roman" w:hAnsi="Times New Roman" w:cs="Times New Roman"/>
          <w:sz w:val="24"/>
          <w:szCs w:val="24"/>
        </w:rPr>
        <w:t xml:space="preserve">, </w:t>
      </w:r>
      <w:r w:rsidR="006E5736" w:rsidRPr="0070060E">
        <w:rPr>
          <w:rFonts w:ascii="Times New Roman" w:hAnsi="Times New Roman" w:cs="Times New Roman"/>
          <w:sz w:val="24"/>
          <w:szCs w:val="24"/>
        </w:rPr>
        <w:t xml:space="preserve">whereas several empirical studies demonstrating that the morphological properties for the graph based on axial lines correlate significantly with human movement </w:t>
      </w:r>
      <w:r w:rsidR="000527F7" w:rsidRPr="0070060E">
        <w:rPr>
          <w:rFonts w:ascii="Times New Roman" w:hAnsi="Times New Roman" w:cs="Times New Roman"/>
          <w:sz w:val="24"/>
          <w:szCs w:val="24"/>
        </w:rPr>
        <w:fldChar w:fldCharType="begin" w:fldLock="1"/>
      </w:r>
      <w:r w:rsidR="00675BAB" w:rsidRPr="0070060E">
        <w:rPr>
          <w:rFonts w:ascii="Times New Roman" w:hAnsi="Times New Roman" w:cs="Times New Roman"/>
          <w:sz w:val="24"/>
          <w:szCs w:val="24"/>
        </w:rPr>
        <w:instrText>ADDIN CSL_CITATION {"citationItems":[{"id":"ITEM-1","itemData":{"DOI":"10.1068/b200029","ISSN":"0265-8135","abstract":"Existing theories relating patterns of pedestrian and vehicular movement to urban form characterise the problem in terms of flows to and from \"attractor' land uses. This paper contains evidence in support of a new \"configurational' paradigm in which a primary property of the form of the urban grid is to privilege certain spaces over others for through movement. It is suggested that the configuration of the urban grid itself is the main generator of patterns of movement. Retail land uses are then located to take advantage of the opportunities offered by the passing trade and may well act as multipliers on the basic pattern of \"natural movement' generated by the grid configuration. The configurational correlates of movement patterns are found to be measures of global properties of the grid with the \"space syntax' measure of \"integration' consistently found to be the most important. If we wish to design for well used urban space, then it is not the local properties of a space that are important in the main but its configurational relations to the larger urban system. -from Authors","author":[{"dropping-particle":"","family":"Hillier","given":"B.","non-dropping-particle":"","parse-names":false,"suffix":""},{"dropping-particle":"","family":"Penn","given":"A.","non-dropping-particle":"","parse-names":false,"suffix":""},{"dropping-particle":"","family":"Hanson","given":"J.","non-dropping-particle":"","parse-names":false,"suffix":""},{"dropping-particle":"","family":"Grajewski","given":"T.","non-dropping-particle":"","parse-names":false,"suffix":""},{"dropping-particle":"","family":"Xu","given":"J.","non-dropping-particle":"","parse-names":false,"suffix":""}],"container-title":"Environment &amp; Planning B: Planning &amp; Design","id":"ITEM-1","issue":"1","issued":{"date-parts":[["1993","7","22"]]},"page":"29-66","publisher":"SAGE PublicationsSage UK: London, England","title":"Natural movement: or, configuration and attraction in urban pedestrian movement","type":"article-journal","volume":"20"},"uris":["http://www.mendeley.com/documents/?uuid=fe40eaa7-d503-3821-9eac-aa29bd501238"]},{"id":"ITEM-2","itemData":{"DOI":"10.1080/13658810802022822","ISSN":"13658816","abstract":"A city can be topologically represented as a connectivity graph, consisting of nodes representing individual spaces and links if the corresponding spaces are intersected. It turns out in the space syntax literature that some defined topological metrics can capture human movement rates in individual spaces. In other words, the topological metrics are significantly correlated to human movement rates, and individual spaces can be ranked by the metrics for predicting human movement. However, this correlation has never been well justified. In this paper, we study the same issue by applying the weighted PageRank algorithm to the connectivity graph or space-space topology for ranking the individual spaces, and find surprisingly that: (1) the PageRank scores are better correlated to human movement rates than the space syntax metrics, and (2) the underlying space-space topology demonstrates small world and scale free properties. The findings provide a novel justification as to why space syntax, or topological analysis in general, can be used to predict human movement. We further conjecture that this kind of analysis is no more than predicting a drunkard's walking on a small world and scale free network. © 2009 Taylor &amp; Francis.","author":[{"dropping-particle":"","family":"Jiang","given":"Bin","non-dropping-particle":"","parse-names":false,"suffix":""}],"container-title":"International Journal of Geographical Information Science","id":"ITEM-2","issue":"7","issued":{"date-parts":[["2009","7"]]},"page":"823-837","publisher":" Taylor &amp; Francis ","title":"Ranking spaces for predicting human movement in an urban environment","type":"article-journal","volume":"23"},"uris":["http://www.mendeley.com/documents/?uuid=f041659e-540e-3776-803b-fd9df3eefb9f"]},{"id":"ITEM-3","itemData":{"DOI":"10.1068/B250059","abstract":"Transportation research has usually seen road networks as inert systems to be navigated and eventually filled up by traffic. A new type of ‘configurational’ road network modelling, coupled to detai...","author":[{"dropping-particle":"","family":"Penn","given":"A","non-dropping-particle":"","parse-names":false,"suffix":""},{"dropping-particle":"","family":"Hillier","given":"B","non-dropping-particle":"","parse-names":false,"suffix":""},{"dropping-particle":"","family":"Banister","given":"D","non-dropping-particle":"","parse-names":false,"suffix":""},{"dropping-particle":"","family":"Xu","given":"J","non-dropping-particle":"","parse-names":false,"suffix":""}],"container-title":"Environment and Planning B: Urban Analytics and City Science","id":"ITEM-3","issued":{"date-parts":[["1998","7","22"]]},"publisher":"SAGE PublicationsSage UK: London, England","title":"Configurational Modelling of Urban Movement Networks:","type":"article-journal"},"uris":["http://www.mendeley.com/documents/?uuid=246f1a8e-7e7a-338c-8945-002b57062ce9"]}],"mendeley":{"formattedCitation":"(Hillier et al., 1993; Jiang, 2009; Penn et al., 1998)","plainTextFormattedCitation":"(Hillier et al., 1993; Jiang, 2009; Penn et al., 1998)","previouslyFormattedCitation":"(Hillier et al., 1993; Jiang, 2009; Penn et al., 1998)"},"properties":{"noteIndex":0},"schema":"https://github.com/citation-style-language/schema/raw/master/csl-citation.json"}</w:instrText>
      </w:r>
      <w:r w:rsidR="000527F7" w:rsidRPr="0070060E">
        <w:rPr>
          <w:rFonts w:ascii="Times New Roman" w:hAnsi="Times New Roman" w:cs="Times New Roman"/>
          <w:sz w:val="24"/>
          <w:szCs w:val="24"/>
        </w:rPr>
        <w:fldChar w:fldCharType="separate"/>
      </w:r>
      <w:r w:rsidR="000527F7" w:rsidRPr="0070060E">
        <w:rPr>
          <w:rFonts w:ascii="Times New Roman" w:hAnsi="Times New Roman" w:cs="Times New Roman"/>
          <w:noProof/>
          <w:sz w:val="24"/>
          <w:szCs w:val="24"/>
        </w:rPr>
        <w:t>(Hillier et al., 1993; Jiang, 2009; Penn et al., 1998)</w:t>
      </w:r>
      <w:r w:rsidR="000527F7" w:rsidRPr="0070060E">
        <w:rPr>
          <w:rFonts w:ascii="Times New Roman" w:hAnsi="Times New Roman" w:cs="Times New Roman"/>
          <w:sz w:val="24"/>
          <w:szCs w:val="24"/>
        </w:rPr>
        <w:fldChar w:fldCharType="end"/>
      </w:r>
      <w:r w:rsidR="006E5736" w:rsidRPr="0070060E">
        <w:rPr>
          <w:rFonts w:ascii="Times New Roman" w:hAnsi="Times New Roman" w:cs="Times New Roman"/>
          <w:sz w:val="24"/>
          <w:szCs w:val="24"/>
        </w:rPr>
        <w:t>.</w:t>
      </w:r>
      <w:r w:rsidR="0062638C" w:rsidRPr="0070060E">
        <w:rPr>
          <w:rFonts w:ascii="Times New Roman" w:hAnsi="Times New Roman" w:cs="Times New Roman"/>
          <w:sz w:val="24"/>
          <w:szCs w:val="24"/>
        </w:rPr>
        <w:t xml:space="preserve"> </w:t>
      </w:r>
      <w:r w:rsidR="00D72998" w:rsidRPr="0070060E">
        <w:rPr>
          <w:rFonts w:ascii="Times New Roman" w:hAnsi="Times New Roman" w:cs="Times New Roman"/>
          <w:sz w:val="24"/>
          <w:szCs w:val="24"/>
        </w:rPr>
        <w:t xml:space="preserve"> </w:t>
      </w:r>
      <w:r w:rsidR="00832E8B" w:rsidRPr="0070060E">
        <w:rPr>
          <w:rFonts w:ascii="Times New Roman" w:hAnsi="Times New Roman" w:cs="Times New Roman"/>
          <w:sz w:val="24"/>
          <w:szCs w:val="24"/>
        </w:rPr>
        <w:t xml:space="preserve">Hillier and Iida </w:t>
      </w:r>
      <w:r w:rsidR="00993195" w:rsidRPr="0070060E">
        <w:rPr>
          <w:rFonts w:ascii="Times New Roman" w:hAnsi="Times New Roman" w:cs="Times New Roman"/>
          <w:sz w:val="24"/>
          <w:szCs w:val="24"/>
        </w:rPr>
        <w:t xml:space="preserve">proved that </w:t>
      </w:r>
      <w:r w:rsidR="00B84030" w:rsidRPr="0070060E">
        <w:rPr>
          <w:rFonts w:ascii="Times New Roman" w:hAnsi="Times New Roman" w:cs="Times New Roman"/>
          <w:sz w:val="24"/>
          <w:szCs w:val="24"/>
        </w:rPr>
        <w:t xml:space="preserve">the topological and </w:t>
      </w:r>
      <w:r w:rsidR="00604843" w:rsidRPr="0070060E">
        <w:rPr>
          <w:rFonts w:ascii="Times New Roman" w:hAnsi="Times New Roman" w:cs="Times New Roman"/>
          <w:sz w:val="24"/>
          <w:szCs w:val="24"/>
        </w:rPr>
        <w:t xml:space="preserve">angular analysis are </w:t>
      </w:r>
      <w:r w:rsidR="00F357BB" w:rsidRPr="0070060E">
        <w:rPr>
          <w:rFonts w:ascii="Times New Roman" w:hAnsi="Times New Roman" w:cs="Times New Roman"/>
          <w:sz w:val="24"/>
          <w:szCs w:val="24"/>
        </w:rPr>
        <w:t xml:space="preserve">superior to </w:t>
      </w:r>
      <w:r w:rsidR="00335A09" w:rsidRPr="0070060E">
        <w:rPr>
          <w:rFonts w:ascii="Times New Roman" w:hAnsi="Times New Roman" w:cs="Times New Roman"/>
          <w:sz w:val="24"/>
          <w:szCs w:val="24"/>
        </w:rPr>
        <w:t>the metric analysis</w:t>
      </w:r>
      <w:r w:rsidR="00675BAB" w:rsidRPr="0070060E">
        <w:rPr>
          <w:rFonts w:ascii="Times New Roman" w:hAnsi="Times New Roman" w:cs="Times New Roman"/>
          <w:sz w:val="24"/>
          <w:szCs w:val="24"/>
        </w:rPr>
        <w:t xml:space="preserve"> </w:t>
      </w:r>
      <w:r w:rsidR="00675BAB" w:rsidRPr="0070060E">
        <w:rPr>
          <w:rFonts w:ascii="Times New Roman" w:hAnsi="Times New Roman" w:cs="Times New Roman"/>
          <w:sz w:val="24"/>
          <w:szCs w:val="24"/>
        </w:rPr>
        <w:fldChar w:fldCharType="begin" w:fldLock="1"/>
      </w:r>
      <w:r w:rsidR="005D7C78" w:rsidRPr="0070060E">
        <w:rPr>
          <w:rFonts w:ascii="Times New Roman" w:hAnsi="Times New Roman" w:cs="Times New Roman"/>
          <w:sz w:val="24"/>
          <w:szCs w:val="24"/>
        </w:rPr>
        <w:instrText>ADDIN CSL_CITATION {"citationItems":[{"id":"ITEM-1","itemData":{"DOI":"10.1007/11556114_30","ISBN":"354028964X","ISSN":"03029743","abstract":"Correlations are regularly found in space syntax studies between graph-based configurational measures of street networks, represented as lines, and observed movement patterns. This suggests that topological and geometric complexity are critically involved in how people navigate urban grids. This has caused difficulties with orthodox urban modelling, since it has always been assumed that insofar as spatial factors play a role in navigation, it will be on the basis of metric distance. In spite of much experimental evidence from cognitive science that geometric and topological factors are involved in navigation, and that metric distance is unlikely to be the best criterion for navigational choices, the matter has not been convincingly resolved since no method has existed for extracting cognitive information from aggregate flows. Within the space syntax literature it has also remained unclear how far the correlations that are found with syntactic variables at the level of aggregate flows are due to cognitive factors operating at the level of individual movers, or they are simply mathematically probable network effects, that is emergent statistical effects from the structure of line networks, independent of the psychology of navigational choices. Here we suggest how both problems can be resolved, by showing three things: first, how cognitive inferences can be made from aggregate urban flow data and distinguished from network effects; second by showing that urban movement, both vehicular and pedestrian, are shaped far more by the geometrical and topological properties of the grid than by its metric properties; and third by demonstrating that the influence of these factors on movement is a cognitive, not network, effect. © Springer-Verlag Berlin Heidelberg 2005.","author":[{"dropping-particle":"","family":"Hillier","given":"Bill","non-dropping-particle":"","parse-names":false,"suffix":""},{"dropping-particle":"","family":"Iida","given":"Shinichi","non-dropping-particle":"","parse-names":false,"suffix":""}],"container-title":"Spatial Information Theory. COSIT 2005. Lecture Notes in Computer Science","editor":[{"dropping-particle":"","family":"Cohn","given":"Anthony G.","non-dropping-particle":"","parse-names":false,"suffix":""},{"dropping-particle":"","family":"Mark","given":"David M.","non-dropping-particle":"","parse-names":false,"suffix":""}],"id":"ITEM-1","issued":{"date-parts":[["2005"]]},"page":"475-490","publisher":"Springer, Berlin, Heidelberg","publisher-place":"Berlin, Heidelberg","title":"Network and psychological effects in urban movement","type":"chapter","volume":"3693"},"uris":["http://www.mendeley.com/documents/?uuid=880f0874-5de5-3a85-8455-3146028d15d3"]}],"mendeley":{"formattedCitation":"(Hillier and Iida, 2005)","plainTextFormattedCitation":"(Hillier and Iida, 2005)","previouslyFormattedCitation":"(Hillier and Iida, 2005)"},"properties":{"noteIndex":0},"schema":"https://github.com/citation-style-language/schema/raw/master/csl-citation.json"}</w:instrText>
      </w:r>
      <w:r w:rsidR="00675BAB" w:rsidRPr="0070060E">
        <w:rPr>
          <w:rFonts w:ascii="Times New Roman" w:hAnsi="Times New Roman" w:cs="Times New Roman"/>
          <w:sz w:val="24"/>
          <w:szCs w:val="24"/>
        </w:rPr>
        <w:fldChar w:fldCharType="separate"/>
      </w:r>
      <w:r w:rsidR="00675BAB" w:rsidRPr="0070060E">
        <w:rPr>
          <w:rFonts w:ascii="Times New Roman" w:hAnsi="Times New Roman" w:cs="Times New Roman"/>
          <w:noProof/>
          <w:sz w:val="24"/>
          <w:szCs w:val="24"/>
        </w:rPr>
        <w:t>(Hillier and Iida, 2005)</w:t>
      </w:r>
      <w:r w:rsidR="00675BAB" w:rsidRPr="0070060E">
        <w:rPr>
          <w:rFonts w:ascii="Times New Roman" w:hAnsi="Times New Roman" w:cs="Times New Roman"/>
          <w:sz w:val="24"/>
          <w:szCs w:val="24"/>
        </w:rPr>
        <w:fldChar w:fldCharType="end"/>
      </w:r>
      <w:r w:rsidR="00F357BB" w:rsidRPr="0070060E">
        <w:rPr>
          <w:rFonts w:ascii="Times New Roman" w:hAnsi="Times New Roman" w:cs="Times New Roman"/>
          <w:sz w:val="24"/>
          <w:szCs w:val="24"/>
        </w:rPr>
        <w:t>.</w:t>
      </w:r>
      <w:r w:rsidR="00130C2F" w:rsidRPr="0070060E">
        <w:rPr>
          <w:rFonts w:ascii="Times New Roman" w:hAnsi="Times New Roman" w:cs="Times New Roman"/>
          <w:sz w:val="24"/>
          <w:szCs w:val="24"/>
        </w:rPr>
        <w:t xml:space="preserve"> </w:t>
      </w:r>
      <w:r w:rsidR="001A6AC8" w:rsidRPr="0070060E">
        <w:rPr>
          <w:rFonts w:ascii="Times New Roman" w:hAnsi="Times New Roman" w:cs="Times New Roman"/>
          <w:sz w:val="24"/>
          <w:szCs w:val="24"/>
        </w:rPr>
        <w:t>In addition, the space syntax analysis was performed for a single floor to investigate the correlation between the space syntax parameters based on the topological and angular views.</w:t>
      </w:r>
      <w:r w:rsidR="00260822" w:rsidRPr="0070060E">
        <w:rPr>
          <w:rFonts w:ascii="Times New Roman" w:hAnsi="Times New Roman" w:cs="Times New Roman"/>
          <w:sz w:val="24"/>
          <w:szCs w:val="24"/>
        </w:rPr>
        <w:t xml:space="preserve"> </w:t>
      </w:r>
      <w:r w:rsidR="009C2CFF" w:rsidRPr="0070060E">
        <w:rPr>
          <w:rFonts w:ascii="Times New Roman" w:hAnsi="Times New Roman" w:cs="Times New Roman"/>
          <w:sz w:val="24"/>
        </w:rPr>
        <w:t>The podium level of the Hong Kong Polytechnic University (PolyU) campus is the only floor that connects all buildings on the PolyU campus. Therefore, the axial map generated from the podium level consists of axial lines of all buildings of PolyU</w:t>
      </w:r>
      <w:r w:rsidR="00C41D70" w:rsidRPr="0070060E">
        <w:rPr>
          <w:rFonts w:ascii="Times New Roman" w:hAnsi="Times New Roman" w:cs="Times New Roman"/>
          <w:sz w:val="24"/>
          <w:szCs w:val="24"/>
        </w:rPr>
        <w:t>.</w:t>
      </w:r>
      <w:r w:rsidR="00431368" w:rsidRPr="0070060E">
        <w:rPr>
          <w:rFonts w:ascii="Times New Roman" w:hAnsi="Times New Roman" w:cs="Times New Roman"/>
          <w:sz w:val="24"/>
          <w:szCs w:val="24"/>
        </w:rPr>
        <w:t xml:space="preserve"> A depthmap</w:t>
      </w:r>
      <w:r w:rsidR="001339E3" w:rsidRPr="0070060E">
        <w:rPr>
          <w:rFonts w:ascii="Times New Roman" w:hAnsi="Times New Roman" w:cs="Times New Roman"/>
          <w:sz w:val="24"/>
          <w:szCs w:val="24"/>
        </w:rPr>
        <w:t>X</w:t>
      </w:r>
      <w:r w:rsidR="00431368" w:rsidRPr="0070060E">
        <w:rPr>
          <w:rFonts w:ascii="Times New Roman" w:hAnsi="Times New Roman" w:cs="Times New Roman"/>
          <w:sz w:val="24"/>
          <w:szCs w:val="24"/>
        </w:rPr>
        <w:t xml:space="preserve"> software </w:t>
      </w:r>
      <w:r w:rsidR="00DD2C4A" w:rsidRPr="0070060E">
        <w:rPr>
          <w:rFonts w:ascii="Times New Roman" w:hAnsi="Times New Roman" w:cs="Times New Roman"/>
          <w:sz w:val="24"/>
          <w:szCs w:val="24"/>
        </w:rPr>
        <w:t>was used for conducted analysis</w:t>
      </w:r>
      <w:r w:rsidR="00A25AED" w:rsidRPr="0070060E">
        <w:rPr>
          <w:rFonts w:ascii="Times New Roman" w:hAnsi="Times New Roman" w:cs="Times New Roman"/>
          <w:sz w:val="24"/>
          <w:szCs w:val="24"/>
        </w:rPr>
        <w:t xml:space="preserve"> for podium level. </w:t>
      </w:r>
      <w:r w:rsidR="00FA3B38" w:rsidRPr="0070060E">
        <w:rPr>
          <w:rFonts w:ascii="Times New Roman" w:hAnsi="Times New Roman" w:cs="Times New Roman"/>
          <w:sz w:val="24"/>
          <w:szCs w:val="24"/>
        </w:rPr>
        <w:t>The correlation of betwe</w:t>
      </w:r>
      <w:r w:rsidR="00B03B89" w:rsidRPr="0070060E">
        <w:rPr>
          <w:rFonts w:ascii="Times New Roman" w:hAnsi="Times New Roman" w:cs="Times New Roman"/>
          <w:sz w:val="24"/>
          <w:szCs w:val="24"/>
        </w:rPr>
        <w:t xml:space="preserve">enness based on topological and angular floor </w:t>
      </w:r>
      <w:r w:rsidR="00A53AD6" w:rsidRPr="0070060E">
        <w:rPr>
          <w:rFonts w:ascii="Times New Roman" w:hAnsi="Times New Roman" w:cs="Times New Roman"/>
          <w:sz w:val="24"/>
          <w:szCs w:val="24"/>
        </w:rPr>
        <w:t xml:space="preserve">is high </w:t>
      </w:r>
      <w:r w:rsidR="00BB10BD" w:rsidRPr="0070060E">
        <w:rPr>
          <w:rFonts w:ascii="Times New Roman" w:hAnsi="Times New Roman" w:cs="Times New Roman"/>
          <w:sz w:val="24"/>
          <w:szCs w:val="24"/>
        </w:rPr>
        <w:t>(</w:t>
      </w:r>
      <w:r w:rsidR="00694F4D" w:rsidRPr="0070060E">
        <w:rPr>
          <w:rFonts w:ascii="Times New Roman" w:hAnsi="Times New Roman" w:cs="Times New Roman"/>
          <w:sz w:val="24"/>
          <w:szCs w:val="24"/>
        </w:rPr>
        <w:t>Figure S</w:t>
      </w:r>
      <w:r w:rsidR="00E15223" w:rsidRPr="0070060E">
        <w:rPr>
          <w:rFonts w:ascii="Times New Roman" w:hAnsi="Times New Roman" w:cs="Times New Roman"/>
          <w:sz w:val="24"/>
          <w:szCs w:val="24"/>
        </w:rPr>
        <w:t>7</w:t>
      </w:r>
      <w:r w:rsidR="00F15820" w:rsidRPr="0070060E">
        <w:rPr>
          <w:rFonts w:ascii="Times New Roman" w:hAnsi="Times New Roman" w:cs="Times New Roman"/>
          <w:sz w:val="24"/>
          <w:szCs w:val="24"/>
        </w:rPr>
        <w:t xml:space="preserve">), in which </w:t>
      </w:r>
      <w:r w:rsidR="00BB10BD" w:rsidRPr="0070060E">
        <w:rPr>
          <w:rFonts w:ascii="Times New Roman" w:hAnsi="Times New Roman" w:cs="Times New Roman"/>
          <w:sz w:val="24"/>
          <w:szCs w:val="24"/>
        </w:rPr>
        <w:t xml:space="preserve">the value reaches </w:t>
      </w:r>
      <w:r w:rsidR="00E019A4" w:rsidRPr="0070060E">
        <w:rPr>
          <w:rFonts w:ascii="Times New Roman" w:hAnsi="Times New Roman" w:cs="Times New Roman"/>
          <w:sz w:val="24"/>
          <w:szCs w:val="24"/>
        </w:rPr>
        <w:t>0.879</w:t>
      </w:r>
      <w:r w:rsidR="00014104" w:rsidRPr="0070060E">
        <w:rPr>
          <w:rFonts w:ascii="Times New Roman" w:hAnsi="Times New Roman" w:cs="Times New Roman"/>
          <w:sz w:val="24"/>
          <w:szCs w:val="24"/>
        </w:rPr>
        <w:t xml:space="preserve">. </w:t>
      </w:r>
      <w:r w:rsidR="00D72E9D" w:rsidRPr="0070060E">
        <w:rPr>
          <w:rFonts w:ascii="Times New Roman" w:hAnsi="Times New Roman" w:cs="Times New Roman"/>
          <w:sz w:val="24"/>
          <w:szCs w:val="24"/>
        </w:rPr>
        <w:t>These results are consistent with the previous studies, and it is expected that if we use the space syntax parameters based on the angular view instead of the topological view</w:t>
      </w:r>
      <w:r w:rsidR="005F6571" w:rsidRPr="0070060E">
        <w:rPr>
          <w:rFonts w:ascii="Times New Roman" w:hAnsi="Times New Roman" w:cs="Times New Roman"/>
          <w:sz w:val="24"/>
          <w:szCs w:val="24"/>
        </w:rPr>
        <w:t>.</w:t>
      </w:r>
    </w:p>
    <w:p w14:paraId="3804CFB1" w14:textId="0809FED5" w:rsidR="00DE7A6C" w:rsidRPr="0070060E" w:rsidRDefault="00DE7A6C" w:rsidP="00DE7A6C">
      <w:pPr>
        <w:pStyle w:val="Heading1"/>
        <w:spacing w:line="240" w:lineRule="auto"/>
        <w:rPr>
          <w:rFonts w:ascii="Times New Roman" w:hAnsi="Times New Roman" w:cs="Times New Roman"/>
          <w:b/>
          <w:color w:val="auto"/>
          <w:sz w:val="24"/>
        </w:rPr>
      </w:pPr>
      <w:r w:rsidRPr="0070060E">
        <w:rPr>
          <w:rFonts w:ascii="Times New Roman" w:hAnsi="Times New Roman" w:cs="Times New Roman"/>
          <w:b/>
          <w:color w:val="auto"/>
          <w:sz w:val="24"/>
        </w:rPr>
        <w:t>S</w:t>
      </w:r>
      <w:r w:rsidR="00694F4D" w:rsidRPr="0070060E">
        <w:rPr>
          <w:rFonts w:ascii="Times New Roman" w:hAnsi="Times New Roman" w:cs="Times New Roman"/>
          <w:b/>
          <w:color w:val="auto"/>
          <w:sz w:val="24"/>
        </w:rPr>
        <w:t>M</w:t>
      </w:r>
      <w:r w:rsidRPr="0070060E">
        <w:rPr>
          <w:rFonts w:ascii="Times New Roman" w:hAnsi="Times New Roman" w:cs="Times New Roman"/>
          <w:b/>
          <w:color w:val="auto"/>
          <w:sz w:val="24"/>
        </w:rPr>
        <w:t xml:space="preserve"> section</w:t>
      </w:r>
      <w:r w:rsidR="00D263C9" w:rsidRPr="0070060E">
        <w:rPr>
          <w:rFonts w:ascii="Times New Roman" w:hAnsi="Times New Roman" w:cs="Times New Roman"/>
          <w:b/>
          <w:color w:val="auto"/>
          <w:sz w:val="24"/>
        </w:rPr>
        <w:t xml:space="preserve"> 3</w:t>
      </w:r>
      <w:r w:rsidRPr="0070060E">
        <w:rPr>
          <w:rFonts w:ascii="Times New Roman" w:hAnsi="Times New Roman" w:cs="Times New Roman"/>
          <w:b/>
          <w:color w:val="auto"/>
          <w:sz w:val="24"/>
        </w:rPr>
        <w:t xml:space="preserve">: </w:t>
      </w:r>
      <w:r w:rsidR="009441B4" w:rsidRPr="0070060E">
        <w:rPr>
          <w:rFonts w:ascii="Times New Roman" w:hAnsi="Times New Roman" w:cs="Times New Roman"/>
          <w:b/>
          <w:color w:val="auto"/>
          <w:sz w:val="24"/>
        </w:rPr>
        <w:t xml:space="preserve">Application of </w:t>
      </w:r>
      <w:r w:rsidR="00155B86" w:rsidRPr="0070060E">
        <w:rPr>
          <w:rFonts w:ascii="Times New Roman" w:hAnsi="Times New Roman" w:cs="Times New Roman"/>
          <w:b/>
          <w:color w:val="auto"/>
          <w:sz w:val="24"/>
        </w:rPr>
        <w:t xml:space="preserve">urban network </w:t>
      </w:r>
      <w:r w:rsidR="00681E6E" w:rsidRPr="0070060E">
        <w:rPr>
          <w:rFonts w:ascii="Times New Roman" w:hAnsi="Times New Roman" w:cs="Times New Roman"/>
          <w:b/>
          <w:color w:val="auto"/>
          <w:sz w:val="24"/>
        </w:rPr>
        <w:t>analysis</w:t>
      </w:r>
    </w:p>
    <w:p w14:paraId="6BB01894" w14:textId="2931C47A" w:rsidR="004912FC" w:rsidRPr="0070060E" w:rsidRDefault="00EC2F8E" w:rsidP="003904FD">
      <w:pPr>
        <w:jc w:val="both"/>
        <w:rPr>
          <w:rFonts w:ascii="Times New Roman" w:hAnsi="Times New Roman" w:cs="Times New Roman"/>
          <w:sz w:val="24"/>
        </w:rPr>
      </w:pPr>
      <w:r w:rsidRPr="0070060E">
        <w:rPr>
          <w:rFonts w:ascii="Times New Roman" w:hAnsi="Times New Roman" w:cs="Times New Roman"/>
          <w:sz w:val="24"/>
          <w:szCs w:val="24"/>
        </w:rPr>
        <w:t xml:space="preserve">Since we are surrounded by many networks, both in the real world (e.g., public transit networks, road networks, etc.) </w:t>
      </w:r>
      <w:r w:rsidR="00C047FD" w:rsidRPr="0070060E">
        <w:rPr>
          <w:rFonts w:ascii="Times New Roman" w:hAnsi="Times New Roman" w:cs="Times New Roman"/>
          <w:sz w:val="24"/>
          <w:szCs w:val="24"/>
        </w:rPr>
        <w:fldChar w:fldCharType="begin" w:fldLock="1"/>
      </w:r>
      <w:r w:rsidR="00C47893" w:rsidRPr="0070060E">
        <w:rPr>
          <w:rFonts w:ascii="Times New Roman" w:hAnsi="Times New Roman" w:cs="Times New Roman"/>
          <w:sz w:val="24"/>
          <w:szCs w:val="24"/>
        </w:rPr>
        <w:instrText>ADDIN CSL_CITATION {"citationItems":[{"id":"ITEM-1","itemData":{"DOI":"10.1080/10106049.2020.1768594","ISSN":"1010-6049","abstract":"Most existing studies on public transit network (PTN) rely on either small-scale passenger flow data or small PTN, and only traditional network parameters are used to calculate the correlation coefficient. In this work, the real smart card data (SCD) (when passenger tap in and tap out a station) of over eight million users is used as a proxy of passenger flow to dynamically explore and evaluate the structure of large-scale PTNs with tens of thousands of stations in Beijing, China. Three types of large-scale PTNs are generated, and the overall network structure of PTNs are examined and found to follow heavy-tailed distributions (mostly power law). Further, three traditional centrality measures (i.e. degree, betweenness and closeness) are adopted and modified to dynamically explore the relationship between PTNs and passenger flow. Our findings show that, the modified centrality measures outperform the traditional centrality measures in estimating passenger flow.","author":[{"dropping-particle":"","family":"Senousi","given":"Ahmad Muhamad","non-dropping-particle":"","parse-names":false,"suffix":""},{"dropping-particle":"","family":"Liu","given":"Xintao","non-dropping-particle":"","parse-names":false,"suffix":""},{"dropping-particle":"","family":"Zhang","given":"Junwei","non-dropping-particle":"","parse-names":false,"suffix":""},{"dropping-particle":"","family":"Huang","given":"Jianwei","non-dropping-particle":"","parse-names":false,"suffix":""},{"dropping-particle":"","family":"Shi","given":"Wenzhong","non-dropping-particle":"","parse-names":false,"suffix":""}],"container-title":"Geocarto International","id":"ITEM-1","issued":{"date-parts":[["2020","5","20"]]},"page":"1-21","publisher":"Taylor and Francis Ltd.","title":"An Empirical Analysis of Public Transit Networks Using Smart Card Data in Beijing, China","type":"article-journal"},"uris":["http://www.mendeley.com/documents/?uuid=344b8fbb-da42-3023-bf0b-6a424a1911e8"]},{"id":"ITEM-2","itemData":{"DOI":"10.1016/j.physa.2017.02.069","ISSN":"03784371","abstract":"In this paper, we propose an improved network centrality measure framework that takes into account both the topological characteristics and the geometric properties of a road network in order to analyze urban traffic flow in relation to different modes: intersection, road, and community, which correspond to point mode, line mode, and area mode respectively. Degree, betweenness, and PageRank centralities are selected as the analysis measures, and GPS-enabled taxi trajectory data is used to evaluate urban traffic flow. The results show that the mean value of the correlation coefficients between the modified degree, the betweenness, and the PageRank centralities and the traffic flow in all periods are higher than the mean value of the correlation coefficients between the conventional degree, the betweenness, the PageRank centralities and the traffic flow at different modes; this indicates that the modified measurements, for analyzing traffic flow, are superior to conventional centrality measurements. This study helps to shed light into the understanding of urban traffic flow in relation to different modes from the perspective of complex networks.","author":[{"dropping-particle":"","family":"Zhao","given":"Shuangming","non-dropping-particle":"","parse-names":false,"suffix":""},{"dropping-particle":"","family":"Zhao","given":"Pengxiang","non-dropping-particle":"","parse-names":false,"suffix":""},{"dropping-particle":"","family":"Cui","given":"Yunfan","non-dropping-particle":"","parse-names":false,"suffix":""}],"container-title":"Physica A: Statistical Mechanics and its Applications","id":"ITEM-2","issued":{"date-parts":[["2017","7","15"]]},"page":"143-157","publisher":"Elsevier B.V.","title":"A network centrality measure framework for analyzing urban traffic flow: A case study of Wuhan, China","type":"article-journal","volume":"478"},"uris":["http://www.mendeley.com/documents/?uuid=75381e7c-8edd-36ab-b80d-42bdf29038c7"]}],"mendeley":{"formattedCitation":"(Senousi et al., 2020; Zhao et al., 2017)","plainTextFormattedCitation":"(Senousi et al., 2020; Zhao et al., 2017)","previouslyFormattedCitation":"(Senousi et al., 2020; Zhao et al., 2017)"},"properties":{"noteIndex":0},"schema":"https://github.com/citation-style-language/schema/raw/master/csl-citation.json"}</w:instrText>
      </w:r>
      <w:r w:rsidR="00C047FD" w:rsidRPr="0070060E">
        <w:rPr>
          <w:rFonts w:ascii="Times New Roman" w:hAnsi="Times New Roman" w:cs="Times New Roman"/>
          <w:sz w:val="24"/>
          <w:szCs w:val="24"/>
        </w:rPr>
        <w:fldChar w:fldCharType="separate"/>
      </w:r>
      <w:r w:rsidR="00C047FD" w:rsidRPr="0070060E">
        <w:rPr>
          <w:rFonts w:ascii="Times New Roman" w:hAnsi="Times New Roman" w:cs="Times New Roman"/>
          <w:noProof/>
          <w:sz w:val="24"/>
          <w:szCs w:val="24"/>
        </w:rPr>
        <w:t>(Senousi et al., 2020; Zhao et al., 2017)</w:t>
      </w:r>
      <w:r w:rsidR="00C047FD" w:rsidRPr="0070060E">
        <w:rPr>
          <w:rFonts w:ascii="Times New Roman" w:hAnsi="Times New Roman" w:cs="Times New Roman"/>
          <w:sz w:val="24"/>
          <w:szCs w:val="24"/>
        </w:rPr>
        <w:fldChar w:fldCharType="end"/>
      </w:r>
      <w:r w:rsidR="00C047FD" w:rsidRPr="0070060E">
        <w:rPr>
          <w:rFonts w:ascii="Times New Roman" w:hAnsi="Times New Roman" w:cs="Times New Roman"/>
          <w:sz w:val="24"/>
          <w:szCs w:val="24"/>
        </w:rPr>
        <w:t xml:space="preserve"> </w:t>
      </w:r>
      <w:r w:rsidRPr="0070060E">
        <w:rPr>
          <w:rFonts w:ascii="Times New Roman" w:hAnsi="Times New Roman" w:cs="Times New Roman"/>
          <w:sz w:val="24"/>
          <w:szCs w:val="24"/>
        </w:rPr>
        <w:t>and in cyberspace (e.g., online social networks)</w:t>
      </w:r>
      <w:r w:rsidR="00C047FD" w:rsidRPr="0070060E">
        <w:rPr>
          <w:rFonts w:ascii="Times New Roman" w:hAnsi="Times New Roman" w:cs="Times New Roman"/>
          <w:sz w:val="24"/>
          <w:szCs w:val="24"/>
        </w:rPr>
        <w:t xml:space="preserve"> </w:t>
      </w:r>
      <w:r w:rsidR="00C47893" w:rsidRPr="0070060E">
        <w:rPr>
          <w:rFonts w:ascii="Times New Roman" w:hAnsi="Times New Roman" w:cs="Times New Roman"/>
          <w:sz w:val="24"/>
          <w:szCs w:val="24"/>
        </w:rPr>
        <w:fldChar w:fldCharType="begin" w:fldLock="1"/>
      </w:r>
      <w:r w:rsidR="00AC0AE8" w:rsidRPr="0070060E">
        <w:rPr>
          <w:rFonts w:ascii="Times New Roman" w:hAnsi="Times New Roman" w:cs="Times New Roman"/>
          <w:sz w:val="24"/>
          <w:szCs w:val="24"/>
        </w:rPr>
        <w:instrText>ADDIN CSL_CITATION {"citationItems":[{"id":"ITEM-1","itemData":{"DOI":"10.1016/j.jbusres.2020.03.001","ISSN":"01482963","abstract":"Teenagers are fond of online social networks (OSNs) but may be unable to decipher the marketing messages aimed at them or protect themselves from harmful advertisements, raising ethical concerns. The findings of this study may help alleviate such ethical concerns. Teenagers’ use of OSNs contributes to the development of a social skill—theory of mind (ToM)—which helps them interpret advertisements and detect deceptive contents. With regard to ethics-oriented outcomes, the findings confirm that ToM discourages youth materialism, which may be encouraged by inappropriate advertising, thereby demonstrating the utility of ToM in mitigating the adverse consequences of unethical marketing. Moreover, OSNs have reshaped how teenagers acquire ToM, such that they replace offline interactions (i.e., offline friendship quantity/quality) to play a central role in ToM development. Although OSNs expose teenagers to the harms of online marketing, they also empower teens to enhance their social skills, which potentially protect them from deceptive advertising.","author":[{"dropping-particle":"","family":"Gentina","given":"Elodie","non-dropping-particle":"","parse-names":false,"suffix":""},{"dropping-particle":"","family":"Chen","given":"Rui","non-dropping-particle":"","parse-names":false,"suffix":""},{"dropping-particle":"","family":"Yang","given":"Zhiyong","non-dropping-particle":"","parse-names":false,"suffix":""}],"container-title":"Journal of Business Research","id":"ITEM-1","issued":{"date-parts":[["2020","3","17"]]},"publisher":"Elsevier Inc.","title":"Development of theory of mind on online social networks: Evidence from Facebook, Twitter, Instagram, and Snapchat","type":"article-journal"},"uris":["http://www.mendeley.com/documents/?uuid=b3eec498-392e-3362-b621-ce91174de6e2"]}],"mendeley":{"formattedCitation":"(Gentina et al., 2020)","plainTextFormattedCitation":"(Gentina et al., 2020)","previouslyFormattedCitation":"(Gentina et al., 2020)"},"properties":{"noteIndex":0},"schema":"https://github.com/citation-style-language/schema/raw/master/csl-citation.json"}</w:instrText>
      </w:r>
      <w:r w:rsidR="00C47893" w:rsidRPr="0070060E">
        <w:rPr>
          <w:rFonts w:ascii="Times New Roman" w:hAnsi="Times New Roman" w:cs="Times New Roman"/>
          <w:sz w:val="24"/>
          <w:szCs w:val="24"/>
        </w:rPr>
        <w:fldChar w:fldCharType="separate"/>
      </w:r>
      <w:r w:rsidR="00C47893" w:rsidRPr="0070060E">
        <w:rPr>
          <w:rFonts w:ascii="Times New Roman" w:hAnsi="Times New Roman" w:cs="Times New Roman"/>
          <w:noProof/>
          <w:sz w:val="24"/>
          <w:szCs w:val="24"/>
        </w:rPr>
        <w:t>(Gentina et al., 2020)</w:t>
      </w:r>
      <w:r w:rsidR="00C47893" w:rsidRPr="0070060E">
        <w:rPr>
          <w:rFonts w:ascii="Times New Roman" w:hAnsi="Times New Roman" w:cs="Times New Roman"/>
          <w:sz w:val="24"/>
          <w:szCs w:val="24"/>
        </w:rPr>
        <w:fldChar w:fldCharType="end"/>
      </w:r>
      <w:r w:rsidRPr="0070060E">
        <w:rPr>
          <w:rFonts w:ascii="Times New Roman" w:hAnsi="Times New Roman" w:cs="Times New Roman"/>
          <w:sz w:val="24"/>
          <w:szCs w:val="24"/>
        </w:rPr>
        <w:t>, this has contributed significantly to the progress made in applying network analysis in various disciplines for a better understanding of different systems.</w:t>
      </w:r>
      <w:r w:rsidR="002D1763" w:rsidRPr="0070060E">
        <w:rPr>
          <w:rFonts w:ascii="Times New Roman" w:hAnsi="Times New Roman" w:cs="Times New Roman"/>
          <w:sz w:val="24"/>
          <w:szCs w:val="24"/>
        </w:rPr>
        <w:t xml:space="preserve"> It should </w:t>
      </w:r>
      <w:r w:rsidR="002D1763" w:rsidRPr="0070060E">
        <w:rPr>
          <w:rFonts w:ascii="Times New Roman" w:hAnsi="Times New Roman" w:cs="Times New Roman"/>
          <w:sz w:val="24"/>
          <w:szCs w:val="24"/>
        </w:rPr>
        <w:lastRenderedPageBreak/>
        <w:t xml:space="preserve">be noted that network analysis has been used in many urban studies for various purposes, such as identifying urban structure </w:t>
      </w:r>
      <w:r w:rsidR="002C028D" w:rsidRPr="0070060E">
        <w:rPr>
          <w:rFonts w:ascii="Times New Roman" w:hAnsi="Times New Roman" w:cs="Times New Roman"/>
          <w:sz w:val="24"/>
          <w:szCs w:val="24"/>
        </w:rPr>
        <w:fldChar w:fldCharType="begin" w:fldLock="1"/>
      </w:r>
      <w:r w:rsidR="00B9637A" w:rsidRPr="0070060E">
        <w:rPr>
          <w:rFonts w:ascii="Times New Roman" w:hAnsi="Times New Roman" w:cs="Times New Roman"/>
          <w:sz w:val="24"/>
          <w:szCs w:val="24"/>
        </w:rPr>
        <w:instrText>ADDIN CSL_CITATION {"citationItems":[{"id":"ITEM-1","itemData":{"DOI":"10.1080/13658816.2018.1434889","ISSN":"13623087","abstract":"This paper presents a new methodology and evaluation experiments on the detection of spatial community structure in movements, which can reveal unknown spatial constructs and boundaries. While there are numerous existing approaches for community structure detection in spatial networks using either general-purpose methods or spatially modified extensions, they are usually designed and applied without controlled evaluation and understanding of their robustness in finding the underlying spatial communities. Towards addressing this challenge, we develop a new approach, Spatial Tabu Optimization for Community Structure (STOCS), which transforms trajectory data to a spatial network, integrates different community structure measures (e.g. modularity or edge ratio), and partitions the network into geographic regions to discover spatial communities in movements. We systematically evaluate and compare the new approach with existing methods using synthetic datasets that have known spatial community structures. Evaluation results show that general-purpose (non-spatial) methods are not robust for detecting spatial structures–their outcomes vary dramatically for the same data with different levels of spatial aggregation (resolution), data sampling, or data noise. STOCS is substantially more robust in discovering underlying spatial structures. Last, we present two case studies with animal movements and urban population movements to demonstrate the application of the approach.","author":[{"dropping-particle":"","family":"Guo","given":"Diansheng","non-dropping-particle":"","parse-names":false,"suffix":""},{"dropping-particle":"","family":"Jin","given":"Hai","non-dropping-particle":"","parse-names":false,"suffix":""},{"dropping-particle":"","family":"Gao","given":"Peng","non-dropping-particle":"","parse-names":false,"suffix":""},{"dropping-particle":"","family":"Zhu","given":"Xi","non-dropping-particle":"","parse-names":false,"suffix":""}],"container-title":"International Journal of Geographical Information Science","id":"ITEM-1","issue":"7","issued":{"date-parts":[["2018"]]},"page":"1326-1347","publisher":"Taylor &amp; Francis","title":"Detecting spatial community structure in movements","type":"article-journal","volume":"32"},"uris":["http://www.mendeley.com/documents/?uuid=d6981058-15e5-405a-9be2-a042f543cbe9"]},{"id":"ITEM-2","itemData":{"DOI":"10.1080/13658816.2014.914521","ISSN":"13623087","abstract":"Urban spatial structure in large cities is becoming ever more complex as populations grow in size, engage in more travel, and have increasing amounts of disposable income that enable them to live more diverse lifestyles. These trends have prominent and visible effects on urban activity, and cities are becoming more polycentric in their structure as new clusters and hotspots emerge and coalesce in a wider sea of urban development. Here, we apply recent methods in network science and their generalization to spatial analysis to identify the spatial structure of city hubs, centers, and borders, which are essential elements in understanding urban interactions. We use a ‘big’ data set for Singapore from the automatic smart card fare collection system, which is available for sample periods in 2010, 2011, and 2012 to show how the changing roles and influences of local areas in the overall spatial structure of urban movement can be efficiently monitored from daily transportation. In essence, we first construct a weighted directed graph from these travel records. Each node in the graph denotes an urban area, edges denote the possibility of travel between any two areas, and the weight of edges denotes the volume of travel, which is the number of trips made. We then make use of (a) the graph properties to obtain an overall view of travel demand, (b) graph centralities for detecting urban centers and hubs, and (c) graph community structures for uncovering socioeconomic clusters defined as neighborhoods and their borders. Finally, results of this network analysis are projected back onto geographical space to reveal the spatial structure of urban movements. The revealed community structure shows a clear subdivision into different areas that separate the population’s activity space into smaller neighborhoods. The generated borders are different from existing administrative ones. By comparing the results from 3 years of data, we find that Singapore, even from such a short time series, is developing rapidly towards a polycentric urban form, where new subcenters and communities are emerging largely in line with the city’s master plan. To summarize, our approach yields important insights into urban phenomena generated by human movements. It represents a quantitative approach to urban analysis, which explicitly identifies ongoing urban transformations.","author":[{"dropping-particle":"","family":"Zhong","given":"Chen","non-dropping-particle":"","parse-names":false,"suffix":""},{"dropping-particle":"","family":"Arisona","given":"Stefan Müller","non-dropping-particle":"","parse-names":false,"suffix":""},{"dropping-particle":"","family":"Huang","given":"Xianfeng","non-dropping-particle":"","parse-names":false,"suffix":""},{"dropping-particle":"","family":"Batty","given":"Michael","non-dropping-particle":"","parse-names":false,"suffix":""},{"dropping-particle":"","family":"Schmitt","given":"Gerhard","non-dropping-particle":"","parse-names":false,"suffix":""}],"container-title":"International Journal of Geographical Information Science","id":"ITEM-2","issue":"11","issued":{"date-parts":[["2014"]]},"page":"2178-2199","publisher":"Taylor &amp; Francis","title":"Detecting the dynamics of urban structure through spatial network analysis","type":"article-journal","volume":"28"},"uris":["http://www.mendeley.com/documents/?uuid=3a29f9db-3ae8-47bd-b3b4-a712a741761a"]},{"id":"ITEM-3","itemData":{"DOI":"10.1371/journal.pone.0015923","ISSN":"19326203","PMID":"21249210","abstract":"The spatial arrangement of urban hubs and centers and how individuals interact with these centers is a crucial problem with many applications ranging from urban planning to epidemiology. We utilize here in an unprecedented manner the large scale, real-time 'Oyster' card database of individual person movements in the London subway to reveal the structure and organization of the city. We show that patterns of intraurban movement are strongly heterogeneous in terms of volume, but not in terms of distance travelled, and that there is a polycentric structure composed of large flows organized around a limited number of activity centers. For smaller flows, the pattern of connections becomes richer and more complex and is not strictly hierarchical since it mixes different levels consisting of different orders of magnitude. This new understanding can shed light on the impact of new urban projects on the evolution of the polycentric configuration of a city and the dense structure of its centers and it provides an initial approach to modeling flows in an urban system. © 2011 Roth et al.","author":[{"dropping-particle":"","family":"Roth","given":"Camille","non-dropping-particle":"","parse-names":false,"suffix":""},{"dropping-particle":"","family":"Kang","given":"Soong Moon","non-dropping-particle":"","parse-names":false,"suffix":""},{"dropping-particle":"","family":"Batty","given":"Michael","non-dropping-particle":"","parse-names":false,"suffix":""},{"dropping-particle":"","family":"Barthélemy","given":"Marc","non-dropping-particle":"","parse-names":false,"suffix":""}],"container-title":"PLoS ONE","id":"ITEM-3","issue":"1","issued":{"date-parts":[["2011"]]},"page":"15923","publisher":"Public Library of Science","title":"Structure of urban movements: Polycentric activity and entangled hierarchical flows","type":"article-journal","volume":"6"},"uris":["http://www.mendeley.com/documents/?uuid=1a7a0b70-ea5e-3db0-9146-4d5fed939f48"]},{"id":"ITEM-4","itemData":{"DOI":"10.1111/tgis.12755","ISSN":"1361-1682","abstract":"Urban agglomeration is an important strategy used to promote economic development and urbanization in China. Understanding the structure of urban agglomeration is therefore essential for policy-makers and planners. In this study, the Beijing-Tianjin-Hebei urban agglomeration (BTHUG) is explored through a proposed spatial network analytical framework and a large mobile phone data set (over 20 million users). We first construct a weight-directed spatial interaction network based on an origin-destination matrix derived from the data set. Several network metrics (i.e., degree, strength, the rich-club coefficient, and the as-sortativity coefficient) and three selected community detection algorithms (i.e., Infomap, Louvain, and Regionalization) are applied and compared to reveal the structure of the BTHUG. A four-level hierarchical structure is defined and observed: one global center, two local centers, major cities that have low mobility flow but strong linkages with the three centers, and peripheral cities that have low mobility flow and weak linkages with the three centers. In particular, the results imply that the spatial structure of the BTHUG is over-dependent on the global center (i.e., Beijing and northern Langfang). Further, ignoring spatial interaction patterns in top-down administrative planning for urban agglomeration may lead to ineffective integrated development. The implications for BTHUG planning are discussed.","author":[{"dropping-particle":"","family":"Liu","given":"Xintao","non-dropping-particle":"","parse-names":false,"suffix":""},{"dropping-particle":"","family":"Huang","given":"Jianwei","non-dropping-particle":"","parse-names":false,"suffix":""},{"dropping-particle":"","family":"Lai","given":"Jianhui","non-dropping-particle":"","parse-names":false,"suffix":""},{"dropping-particle":"","family":"Zhang","given":"Junwei","non-dropping-particle":"","parse-names":false,"suffix":""},{"dropping-particle":"","family":"Senousi","given":"Ahmad M.","non-dropping-particle":"","parse-names":false,"suffix":""},{"dropping-particle":"","family":"Zhao","given":"Pengxiang","non-dropping-particle":"","parse-names":false,"suffix":""}],"container-title":"Transactions in GIS","id":"ITEM-4","issued":{"date-parts":[["2021","5","30"]]},"page":"tgis.12755","publisher":"John Wiley &amp; Sons, Ltd","title":"Analysis of urban agglomeration structure through spatial network and mobile phone data","type":"article-journal"},"uris":["http://www.mendeley.com/documents/?uuid=b030b7b1-ee0e-3327-92dd-51c1019d442b"]}],"mendeley":{"formattedCitation":"(Guo et al., 2018; Liu et al., 2021; Roth et al., 2011; Zhong et al., 2014)","plainTextFormattedCitation":"(Guo et al., 2018; Liu et al., 2021; Roth et al., 2011; Zhong et al., 2014)","previouslyFormattedCitation":"(Guo et al., 2018; Liu et al., 2021; Roth et al., 2011; Zhong et al., 2014)"},"properties":{"noteIndex":0},"schema":"https://github.com/citation-style-language/schema/raw/master/csl-citation.json"}</w:instrText>
      </w:r>
      <w:r w:rsidR="002C028D" w:rsidRPr="0070060E">
        <w:rPr>
          <w:rFonts w:ascii="Times New Roman" w:hAnsi="Times New Roman" w:cs="Times New Roman"/>
          <w:sz w:val="24"/>
          <w:szCs w:val="24"/>
        </w:rPr>
        <w:fldChar w:fldCharType="separate"/>
      </w:r>
      <w:r w:rsidR="002C028D" w:rsidRPr="0070060E">
        <w:rPr>
          <w:rFonts w:ascii="Times New Roman" w:hAnsi="Times New Roman" w:cs="Times New Roman"/>
          <w:noProof/>
          <w:sz w:val="24"/>
          <w:szCs w:val="24"/>
        </w:rPr>
        <w:t>(Guo et al., 2018; Liu et al., 2021; Roth et al., 2011; Zhong et al., 2014)</w:t>
      </w:r>
      <w:r w:rsidR="002C028D" w:rsidRPr="0070060E">
        <w:rPr>
          <w:rFonts w:ascii="Times New Roman" w:hAnsi="Times New Roman" w:cs="Times New Roman"/>
          <w:sz w:val="24"/>
          <w:szCs w:val="24"/>
        </w:rPr>
        <w:fldChar w:fldCharType="end"/>
      </w:r>
      <w:r w:rsidR="002D1763" w:rsidRPr="0070060E">
        <w:rPr>
          <w:rFonts w:ascii="Times New Roman" w:hAnsi="Times New Roman" w:cs="Times New Roman"/>
          <w:sz w:val="24"/>
          <w:szCs w:val="24"/>
        </w:rPr>
        <w:t>, exploring human mobility patterns</w:t>
      </w:r>
      <w:r w:rsidR="00AC0AE8" w:rsidRPr="0070060E">
        <w:rPr>
          <w:rFonts w:ascii="Times New Roman" w:hAnsi="Times New Roman" w:cs="Times New Roman"/>
          <w:sz w:val="24"/>
          <w:szCs w:val="24"/>
        </w:rPr>
        <w:t xml:space="preserve"> </w:t>
      </w:r>
      <w:r w:rsidR="0049587A" w:rsidRPr="0070060E">
        <w:rPr>
          <w:rFonts w:ascii="Times New Roman" w:hAnsi="Times New Roman" w:cs="Times New Roman"/>
          <w:sz w:val="24"/>
          <w:szCs w:val="24"/>
        </w:rPr>
        <w:fldChar w:fldCharType="begin" w:fldLock="1"/>
      </w:r>
      <w:r w:rsidR="002C028D" w:rsidRPr="0070060E">
        <w:rPr>
          <w:rFonts w:ascii="Times New Roman" w:hAnsi="Times New Roman" w:cs="Times New Roman"/>
          <w:sz w:val="24"/>
          <w:szCs w:val="24"/>
        </w:rPr>
        <w:instrText>ADDIN CSL_CITATION {"citationItems":[{"id":"ITEM-1","itemData":{"DOI":"10.1016/j.jtrangeo.2015.01.016","ISSN":"09666923","abstract":"Delineating travel patterns and city structure has long been a core research topic in transport geography. Different from the physical structure, the city structure beneath the complex travel-flow system shows the inherent connection patterns within the city. On the basis of taxi-trip data from Shanghai, we built spatially embedded networks to model intra-city spatial interactions and to introduce network science methods into the analysis. The community detection method is applied to reveal sub-regional structures, and several network measures are used to examine the properties of sub-regions. Considering the differences between long- and short-distance trips, we reveal a two-level hierarchical polycentric city structure in Shanghai. Further explorations of sub-network structures demonstrate that urban sub-regions have broader internal spatial interactions, while suburban centers are more influential on local traffic. By incorporating the land use of centers from a travel-pattern perspective, we investigate sub-region formation and the interaction patterns of center-local places. This study provides insights into using emerging data sources to reveal travel patterns and city structures, which could potentially aid in developing and applying urban transportation policies. The sub-regional structures revealed in this study are more easily interpreted for transportation-related issues than for other structures, such as administrative divisions.","author":[{"dropping-particle":"","family":"Liu","given":"Xi","non-dropping-particle":"","parse-names":false,"suffix":""},{"dropping-particle":"","family":"Gong","given":"Li","non-dropping-particle":"","parse-names":false,"suffix":""},{"dropping-particle":"","family":"Gong","given":"Yongxi","non-dropping-particle":"","parse-names":false,"suffix":""},{"dropping-particle":"","family":"Liu","given":"Yu","non-dropping-particle":"","parse-names":false,"suffix":""}],"container-title":"Journal of Transport Geography","id":"ITEM-1","issued":{"date-parts":[["2015"]]},"page":"78-90","publisher":"Elsevier Ltd","title":"Revealing Travel Patterns and City Structure with Taxi Trip Data","type":"article-journal","volume":"43"},"uris":["http://www.mendeley.com/documents/?uuid=ab903563-1b24-4987-9fe9-a1b7bc33c2fd"]},{"id":"ITEM-2","itemData":{"DOI":"10.1080/13658816.2017.1370715","ISSN":"1365-8816","abstract":"Human mobility patterns have been widely investigated due to their application in a wide variety of fields, for example urban planning and epidemiology. Many studies have introduced spatial networks into human mobility analyses at the collective level. However, these studies merely analyzed spatial network structure, and the underlying collective mobility patterns were not further discussed. In this paper, we propose a collective mobility discovery method based on community differences (CMDCD). We constructed spatial networks where nodes represent geographical entities and edge weights denote collective mobility intensity between geographical entities. The differences between communities detected from the networks constructed in different periods were then identified. Since collective spatial movement has a large influence on network structure, we can discover groups with different mobility patterns based on community differences. By applying the method to data usage detail records collected from the cellular networks in a city of China, we analyzed different collective mobility patterns between the Spring Festival vacation and workdays. The experimental results show that our method can solve these two problems of identifying community differences and discovering users with different mobility patterns simultaneously. Moreover, the CMDCD method is an integrated approach to discover groups whose mobility patterns have changed in different periods at the large spatial scale and the small spatial scale. The discovered collective mobility patterns can be used to guide urban planning, traffic forecasting, urban resource allocation, providing new insights into human mobility patterns and spatial interaction analyses.","author":[{"dropping-particle":"","family":"Jiang","given":"Hao","non-dropping-particle":"","parse-names":false,"suffix":""},{"dropping-particle":"","family":"Li","given":"Qian","non-dropping-particle":"","parse-names":false,"suffix":""},{"dropping-particle":"","family":"Zhou","given":"Xian","non-dropping-particle":"","parse-names":false,"suffix":""},{"dropping-particle":"","family":"Chen","given":"Yanqiu","non-dropping-particle":"","parse-names":false,"suffix":""},{"dropping-particle":"","family":"Yi","given":"Shuwen","non-dropping-particle":"","parse-names":false,"suffix":""},{"dropping-particle":"","family":"Wang","given":"Hai","non-dropping-particle":"","parse-names":false,"suffix":""},{"dropping-particle":"","family":"Lu","given":"Zheng","non-dropping-particle":"","parse-names":false,"suffix":""}],"container-title":"International Journal of Geographical Information Science","id":"ITEM-2","issue":"12","issued":{"date-parts":[["2017","12","2"]]},"page":"2359-2381","publisher":"Taylor and Francis Ltd.","title":"A collective human mobility analysis method based on data usage detail records","type":"article-journal","volume":"31"},"uris":["http://www.mendeley.com/documents/?uuid=235d45c9-497f-318c-ac0f-e9dffe5d91e6"]}],"mendeley":{"formattedCitation":"(Jiang et al., 2017; Liu et al., 2015)","plainTextFormattedCitation":"(Jiang et al., 2017; Liu et al., 2015)","previouslyFormattedCitation":"(Jiang et al., 2017; Liu et al., 2015)"},"properties":{"noteIndex":0},"schema":"https://github.com/citation-style-language/schema/raw/master/csl-citation.json"}</w:instrText>
      </w:r>
      <w:r w:rsidR="0049587A" w:rsidRPr="0070060E">
        <w:rPr>
          <w:rFonts w:ascii="Times New Roman" w:hAnsi="Times New Roman" w:cs="Times New Roman"/>
          <w:sz w:val="24"/>
          <w:szCs w:val="24"/>
        </w:rPr>
        <w:fldChar w:fldCharType="separate"/>
      </w:r>
      <w:r w:rsidR="0049587A" w:rsidRPr="0070060E">
        <w:rPr>
          <w:rFonts w:ascii="Times New Roman" w:hAnsi="Times New Roman" w:cs="Times New Roman"/>
          <w:noProof/>
          <w:sz w:val="24"/>
          <w:szCs w:val="24"/>
        </w:rPr>
        <w:t>(Jiang et al., 2017; Liu et al., 2015)</w:t>
      </w:r>
      <w:r w:rsidR="0049587A" w:rsidRPr="0070060E">
        <w:rPr>
          <w:rFonts w:ascii="Times New Roman" w:hAnsi="Times New Roman" w:cs="Times New Roman"/>
          <w:sz w:val="24"/>
          <w:szCs w:val="24"/>
        </w:rPr>
        <w:fldChar w:fldCharType="end"/>
      </w:r>
      <w:r w:rsidR="002D1763" w:rsidRPr="0070060E">
        <w:rPr>
          <w:rFonts w:ascii="Times New Roman" w:hAnsi="Times New Roman" w:cs="Times New Roman"/>
          <w:sz w:val="24"/>
          <w:szCs w:val="24"/>
        </w:rPr>
        <w:t>, and discovering the structure and properties of such networks.</w:t>
      </w:r>
      <w:r w:rsidR="00C77B3F" w:rsidRPr="0070060E">
        <w:rPr>
          <w:rFonts w:ascii="Times New Roman" w:hAnsi="Times New Roman" w:cs="Times New Roman"/>
          <w:sz w:val="24"/>
          <w:szCs w:val="24"/>
        </w:rPr>
        <w:t xml:space="preserve"> </w:t>
      </w:r>
      <w:r w:rsidR="006C450F" w:rsidRPr="0070060E">
        <w:rPr>
          <w:rFonts w:ascii="Times New Roman" w:hAnsi="Times New Roman" w:cs="Times New Roman"/>
          <w:sz w:val="24"/>
          <w:szCs w:val="24"/>
        </w:rPr>
        <w:t xml:space="preserve">The existing studies on the discovery of the structure and properties of networks can be divided into two groups. The first group includes the studies interested in investigating and determining the scale of the network centralities </w:t>
      </w:r>
      <w:r w:rsidR="00B9637A" w:rsidRPr="0070060E">
        <w:rPr>
          <w:rFonts w:ascii="Times New Roman" w:hAnsi="Times New Roman" w:cs="Times New Roman"/>
          <w:sz w:val="24"/>
          <w:szCs w:val="24"/>
        </w:rPr>
        <w:t xml:space="preserve">(e.g., </w:t>
      </w:r>
      <w:r w:rsidR="00B9637A" w:rsidRPr="0070060E">
        <w:rPr>
          <w:rFonts w:ascii="Times New Roman" w:hAnsi="Times New Roman" w:cs="Times New Roman"/>
          <w:sz w:val="24"/>
          <w:szCs w:val="24"/>
        </w:rPr>
        <w:fldChar w:fldCharType="begin" w:fldLock="1"/>
      </w:r>
      <w:r w:rsidR="009B65E6" w:rsidRPr="0070060E">
        <w:rPr>
          <w:rFonts w:ascii="Times New Roman" w:hAnsi="Times New Roman" w:cs="Times New Roman"/>
          <w:sz w:val="24"/>
          <w:szCs w:val="24"/>
        </w:rPr>
        <w:instrText xml:space="preserve">ADDIN CSL_CITATION {"citationItems":[{"id":"ITEM-1","itemData":{"DOI":"10.1016/j.physa.2015.08.030","ISSN":"03784371","abstract":"Bus transport networks are directed complex networks that consist of routes, stations, and passenger flow. In this study, the concept of duplication factor is introduced to analyze the differences between uplinks and downlinks for the bus transport network of Harbin (BTN-H). Further, a new representation model for BTNs is proposed, named as directed-space P. Two empirical characteristics of BTN-H are reported in this paper. First, the cumulative distributions of weighted degree, degree, number of routes that connect to each station, and node weight (peak-hour trips at a station) uniformly follow the exponential law. Meanwhile, the node weight shows positive correlations with the corresponding weighted degree, degree, and number of routes that connect to a station. Second, a new richness parameter of a node is explored by its node weight and the connectivity, weighted connectivity, average shortest path length and efficiency between rich nodes can be fitted by composite exponential functions to demonstrate the rich-club phenomenon.","author":[{"dropping-particle":"","family":"Feng","given":"Shumin","non-dropping-particle":"","parse-names":false,"suffix":""},{"dropping-particle":"","family":"Hu","given":"Baoyu","non-dropping-particle":"","parse-names":false,"suffix":""},{"dropping-particle":"","family":"Nie","given":"Cen","non-dropping-particle":"","parse-names":false,"suffix":""},{"dropping-particle":"","family":"Shen","given":"Xianghao","non-dropping-particle":"","parse-names":false,"suffix":""}],"container-title":"Physica A: Statistical Mechanics and its Applications","id":"ITEM-1","issued":{"date-parts":[["2016","1"]]},"page":"85-92","title":"Empirical study on a directed and weighted bus transport network in China","type":"article-journal","volume":"441"},"uris":["http://www.mendeley.com/documents/?uuid=6f026625-2a36-3412-a1d8-2075a3e1e79d"]},{"id":"ITEM-2","itemData":{"DOI":"10.1016/J.PROENG.2016.01.290","ISSN":"1877-7058","abstract":"Urban road traffic is a typical network. The analysis and study of the topology structure is the basis of the traffic state evaluation and the traffic organization optimization. This paper redefines the urban road traffic weighted network model with considering the functional properties of urban road network and presents the traffic efficiency concept of the road section in the urban road traffic network. According to the different edge weights which are determined by the different attribute of the edges, we analyses the statistical characteristic of the urban road traffic network based on the three different network models which include the length weighted network model, the traffic capacity weighted network model and the traffic efficiency weighted network model. We take Beijing road traffic network as an example to illustrate the effectiveness of the analysis methods for the structural characteristics.","author":[{"dropping-particle":"","family":"Tian","given":"Zhao","non-dropping-particle":"","parse-names":false,"suffix":""},{"dropping-particle":"","family":"Jia","given":"Limin","non-dropping-particle":"","parse-names":false,"suffix":""},{"dropping-particle":"","family":"Dong","given":"Honghui","non-dropping-particle":"","parse-names":false,"suffix":""},{"dropping-particle":"","family":"Su","given":"Fei","non-dropping-particle":"","parse-names":false,"suffix":""},{"dropping-particle":"","family":"Zhang","given":"Zundong","non-dropping-particle":"","parse-names":false,"suffix":""}],"container-title":"Procedia Engineering","id":"ITEM-2","issued":{"date-parts":[["2016","1","1"]]},"page":"537-546","publisher":"Elsevier","title":"Analysis of urban road traffic network based on complex network","type":"article-journal","volume":"137"},"uris":["http://www.mendeley.com/documents/?uuid=016724f5-215d-3a28-8772-cecd5a1b1aa9"]},{"id":"ITEM-3","itemData":{"DOI":"10.1142/S0129183111016075","ISSN":"01291831","abstract":"The double power-law function, p(x) </w:instrText>
      </w:r>
      <w:r w:rsidR="009B65E6" w:rsidRPr="0070060E">
        <w:rPr>
          <w:rFonts w:ascii="Cambria Math" w:hAnsi="Cambria Math" w:cs="Cambria Math"/>
          <w:sz w:val="24"/>
          <w:szCs w:val="24"/>
        </w:rPr>
        <w:instrText>∼</w:instrText>
      </w:r>
      <w:r w:rsidR="009B65E6" w:rsidRPr="0070060E">
        <w:rPr>
          <w:rFonts w:ascii="Times New Roman" w:hAnsi="Times New Roman" w:cs="Times New Roman"/>
          <w:sz w:val="24"/>
          <w:szCs w:val="24"/>
        </w:rPr>
        <w:instrText xml:space="preserve"> 1/(xb + cx d) where x is the degree of one node, and b, c, d are parameters, is used to fit the degree distribution of urban road network of Le Mans city in France. It is called \"double power-law\" since it behaves as two power laws respectively, in large and small degree region with a crossing in-between. The position of the crossing point is derived as a function of the three parameters. The probabilistic uncertainty of this law is studied with two possible information measures: a generalized measure called varentropy and the Shannon entropy formula. © 2011 World Scientific Publishing Company.","author":[{"dropping-particle":"","family":"Jiang","given":"Jian","non-dropping-particle":"","parse-names":false,"suffix":""},{"dropping-particle":"","family":"Metz","given":"Frédéric","non-dropping-particle":"","parse-names":false,"suffix":""},{"dropping-particle":"","family":"Beck","given":"Christophe","non-dropping-particle":"","parse-names":false,"suffix":""},{"dropping-particle":"","family":"Lefevre","given":"Sébastien","non-dropping-particle":"","parse-names":false,"suffix":""},{"dropping-particle":"","family":"Chen","given":"Jincan","non-dropping-particle":"","parse-names":false,"suffix":""},{"dropping-particle":"","family":"Wang","given":"Qiuping A.","non-dropping-particle":"","parse-names":false,"suffix":""},{"dropping-particle":"","family":"Pezeril","given":"Michel","non-dropping-particle":"","parse-names":false,"suffix":""}],"container-title":"International Journal of Modern Physics C","id":"ITEM-3","issue":"1","issued":{"date-parts":[["2011","1"]]},"page":"13-20","title":"Double power-law degree distribution and informational entropy in urban road networks","type":"article-journal","volume":"22"},"uris":["http://www.mendeley.com/documents/?uuid=a6cedf11-609b-38b2-845f-404386ef3b1d"]},{"id":"ITEM-4","itemData":{"DOI":"10.1016/j.physa.2016.11.090","ISSN":"03784371","abstract":"The complex network theory is applied to the study of urban road traffic network topology, and we constructed a new measure to characterize an urban road network. It is inspiring to quantify the interaction more appropriately between nodes in complex networks, especially in the field of traffic. The measure takes into account properties of lanes (e.g. number of lanes, width, traffic direction). As much, it is a more comprehensive measure in comparison to previous network measures. It can be used to grasp the features of urban street network more clearly. We applied this measure to the road network in Xiamen, China. Based on a standard method from statistical physics, we examined in more detail the distribution of this new measure and found that (1) due to the limitation of space geographic attributes, traditional research conclusions acquired by using the original definition of degree to study the primal approach modeled urban street network are not very persuasive; (2) both of the direction of the network connection and the degree's odd or even classifications need to be analyzed specifically; (3) the improved degree distribution presents obvious hierarchy, and hierarchical values conform to the power-law distribution, and correlation of our new measure shows some significant segmentation of the urban road network.","author":[{"dropping-particle":"","family":"Wang","given":"Shiguang","non-dropping-particle":"","parse-names":false,"suffix":""},{"dropping-particle":"","family":"Zheng","given":"Lili","non-dropping-particle":"","parse-names":false,"suffix":""},{"dropping-particle":"","family":"Yu","given":"Dexin","non-dropping-particle":"","parse-names":false,"suffix":""}],"container-title":"Physica A: Statistical Mechanics and its Applications","id":"ITEM-4","issued":{"date-parts":[["2017","3","1"]]},"page":"256-264","publisher":"North-Holland","title":"The improved degree of urban road traffic network: A case study of Xiamen, China","type":"article-journal","volume":"469"},"uris":["http://www.mendeley.com/documents/?uuid=0cf34c08-a9af-352d-93f7-29e22ff640ee"]}],"mendeley":{"formattedCitation":"(Feng et al., 2016; Jiang et al., 2011; Tian et al., 2016; Wang et al., 2017)","plainTextFormattedCitation":"(Feng et al., 2016; Jiang et al., 2011; Tian et al., 2016; Wang et al., 2017)","previouslyFormattedCitation":"(Feng et al., 2016; Jiang et al., 2011; Tian et al., 2016; Wang et al., 2017)"},"properties":{"noteIndex":0},"schema":"https://github.com/citation-style-language/schema/raw/master/csl-citation.json"}</w:instrText>
      </w:r>
      <w:r w:rsidR="00B9637A" w:rsidRPr="0070060E">
        <w:rPr>
          <w:rFonts w:ascii="Times New Roman" w:hAnsi="Times New Roman" w:cs="Times New Roman"/>
          <w:sz w:val="24"/>
          <w:szCs w:val="24"/>
        </w:rPr>
        <w:fldChar w:fldCharType="separate"/>
      </w:r>
      <w:r w:rsidR="00B9637A" w:rsidRPr="0070060E">
        <w:rPr>
          <w:rFonts w:ascii="Times New Roman" w:hAnsi="Times New Roman" w:cs="Times New Roman"/>
          <w:noProof/>
          <w:sz w:val="24"/>
          <w:szCs w:val="24"/>
        </w:rPr>
        <w:t>(Feng et al., 2016; Jiang et al., 2011; Tian et al., 2016; Wang et al., 2017)</w:t>
      </w:r>
      <w:r w:rsidR="00B9637A" w:rsidRPr="0070060E">
        <w:rPr>
          <w:rFonts w:ascii="Times New Roman" w:hAnsi="Times New Roman" w:cs="Times New Roman"/>
          <w:sz w:val="24"/>
          <w:szCs w:val="24"/>
        </w:rPr>
        <w:fldChar w:fldCharType="end"/>
      </w:r>
      <w:r w:rsidR="00A17A76" w:rsidRPr="0070060E">
        <w:rPr>
          <w:rFonts w:ascii="Times New Roman" w:hAnsi="Times New Roman" w:cs="Times New Roman"/>
          <w:sz w:val="24"/>
          <w:szCs w:val="24"/>
        </w:rPr>
        <w:t xml:space="preserve">. </w:t>
      </w:r>
      <w:r w:rsidR="00BE6507" w:rsidRPr="0070060E">
        <w:rPr>
          <w:rFonts w:ascii="Times New Roman" w:hAnsi="Times New Roman" w:cs="Times New Roman"/>
          <w:sz w:val="24"/>
          <w:szCs w:val="24"/>
        </w:rPr>
        <w:t xml:space="preserve">These studies were conducted to investigate the topology of public transport and road network structure, </w:t>
      </w:r>
      <w:r w:rsidR="007F4B6E" w:rsidRPr="0070060E">
        <w:rPr>
          <w:rFonts w:ascii="Times New Roman" w:hAnsi="Times New Roman" w:cs="Times New Roman"/>
          <w:sz w:val="24"/>
          <w:szCs w:val="24"/>
        </w:rPr>
        <w:t>analyze</w:t>
      </w:r>
      <w:r w:rsidR="00BE6507" w:rsidRPr="0070060E">
        <w:rPr>
          <w:rFonts w:ascii="Times New Roman" w:hAnsi="Times New Roman" w:cs="Times New Roman"/>
          <w:sz w:val="24"/>
          <w:szCs w:val="24"/>
        </w:rPr>
        <w:t xml:space="preserve"> the statistics and distribution of network centrality (e.g., degree, betweenness, closeness, etc.). </w:t>
      </w:r>
      <w:r w:rsidR="000D280F" w:rsidRPr="0070060E">
        <w:rPr>
          <w:rFonts w:ascii="Times New Roman" w:hAnsi="Times New Roman" w:cs="Times New Roman"/>
          <w:sz w:val="24"/>
          <w:szCs w:val="24"/>
        </w:rPr>
        <w:t xml:space="preserve">The second group includes the studies that reveal the correlation between network centrality and passenger/traffic flow, such as the following articles </w:t>
      </w:r>
      <w:r w:rsidR="009B65E6" w:rsidRPr="0070060E">
        <w:rPr>
          <w:rFonts w:ascii="Times New Roman" w:hAnsi="Times New Roman" w:cs="Times New Roman"/>
          <w:sz w:val="24"/>
          <w:szCs w:val="24"/>
        </w:rPr>
        <w:fldChar w:fldCharType="begin" w:fldLock="1"/>
      </w:r>
      <w:r w:rsidR="000D280F" w:rsidRPr="0070060E">
        <w:rPr>
          <w:rFonts w:ascii="Times New Roman" w:hAnsi="Times New Roman" w:cs="Times New Roman"/>
          <w:sz w:val="24"/>
          <w:szCs w:val="24"/>
        </w:rPr>
        <w:instrText>ADDIN CSL_CITATION {"citationItems":[{"id":"ITEM-1","itemData":{"DOI":"10.1016/j.physa.2017.02.069","ISSN":"03784371","abstract":"In this paper, we propose an improved network centrality measure framework that takes into account both the topological characteristics and the geometric properties of a road network in order to analyze urban traffic flow in relation to different modes: intersection, road, and community, which correspond to point mode, line mode, and area mode respectively. Degree, betweenness, and PageRank centralities are selected as the analysis measures, and GPS-enabled taxi trajectory data is used to evaluate urban traffic flow. The results show that the mean value of the correlation coefficients between the modified degree, the betweenness, and the PageRank centralities and the traffic flow in all periods are higher than the mean value of the correlation coefficients between the conventional degree, the betweenness, the PageRank centralities and the traffic flow at different modes; this indicates that the modified measurements, for analyzing traffic flow, are superior to conventional centrality measurements. This study helps to shed light into the understanding of urban traffic flow in relation to different modes from the perspective of complex networks.","author":[{"dropping-particle":"","family":"Zhao","given":"Shuangming","non-dropping-particle":"","parse-names":false,"suffix":""},{"dropping-particle":"","family":"Zhao","given":"Pengxiang","non-dropping-particle":"","parse-names":false,"suffix":""},{"dropping-particle":"","family":"Cui","given":"Yunfan","non-dropping-particle":"","parse-names":false,"suffix":""}],"container-title":"Physica A: Statistical Mechanics and its Applications","id":"ITEM-1","issued":{"date-parts":[["2017","7","15"]]},"page":"143-157","publisher":"Elsevier B.V.","title":"A network centrality measure framework for analyzing urban traffic flow: A case study of Wuhan, China","type":"article-journal","volume":"478"},"uris":["http://www.mendeley.com/documents/?uuid=75381e7c-8edd-36ab-b80d-42bdf29038c7"]},{"id":"ITEM-2","itemData":{"DOI":"10.1080/10106049.2020.1768594","ISSN":"1010-6049","abstract":"Most existing studies on public transit network (PTN) rely on either small-scale passenger flow data or small PTN, and only traditional network parameters are used to calculate the correlation coefficient. In this work, the real smart card data (SCD) (when passenger tap in and tap out a station) of over eight million users is used as a proxy of passenger flow to dynamically explore and evaluate the structure of large-scale PTNs with tens of thousands of stations in Beijing, China. Three types of large-scale PTNs are generated, and the overall network structure of PTNs are examined and found to follow heavy-tailed distributions (mostly power law). Further, three traditional centrality measures (i.e. degree, betweenness and closeness) are adopted and modified to dynamically explore the relationship between PTNs and passenger flow. Our findings show that, the modified centrality measures outperform the traditional centrality measures in estimating passenger flow.","author":[{"dropping-particle":"","family":"Senousi","given":"Ahmad Muhamad","non-dropping-particle":"","parse-names":false,"suffix":""},{"dropping-particle":"","family":"Liu","given":"Xintao","non-dropping-particle":"","parse-names":false,"suffix":""},{"dropping-particle":"","family":"Zhang","given":"Junwei","non-dropping-particle":"","parse-names":false,"suffix":""},{"dropping-particle":"","family":"Huang","given":"Jianwei","non-dropping-particle":"","parse-names":false,"suffix":""},{"dropping-particle":"","family":"Shi","given":"Wenzhong","non-dropping-particle":"","parse-names":false,"suffix":""}],"container-title":"Geocarto International","id":"ITEM-2","issued":{"date-parts":[["2020","5","20"]]},"page":"1-21","publisher":"Taylor and Francis Ltd.","title":"An Empirical Analysis of Public Transit Networks Using Smart Card Data in Beijing, China","type":"article-journal"},"uris":["http://www.mendeley.com/documents/?uuid=344b8fbb-da42-3023-bf0b-6a424a1911e8"]},{"id":"ITEM-3","itemData":{"DOI":"10.1109/ACCESS.2019.2904645","abstract":"Traffic flow information is of great importance for transport planning and related research. The conventional methods of automated data collection, such as annual average daily traffic (AADT) data, are often restricted by limited installation, while the state-of-the-art sensing technologies (e.g., GPS) only reflect some types of traffic flow (e.g., taxi and bus). Complete coverage of traffic flow is still lacking, thus demanding a rigorous estimation model. Most studies dedicated to estimating the traffic flow of the entire road network rely on single to only a few properties of the road network and the results may not be promising. This paper presents an idea of integrating five topological measures and road length to estimate traffic flow based on a multiple regression approach. An empirical study in Hong Kong has been conducted with three types of traffic datasets, namely floating car, public transport route, and AADT. Six measures, namely degree, betweenness, closeness, page rank, clustering coefficient, and road length, are used for traffic flow estimation. It is found that each measure correlates differently for the three types of traffic data. Multiple regression approach is then conducted, including multiple linear regression and random forest. The results show that a combination of various topological and geometrical measures has proved to have a better performance in estimating traffic flow than that of a single measure. This paper is especially helpful for transport planners to estimate traffic flow based on correlation available but limited flow data with road network characteristics.","author":[{"dropping-particle":"","family":"Pun","given":"Lilian","non-dropping-particle":"","parse-names":false,"suffix":""},{"dropping-particle":"","family":"Zhao","given":"Pengxiang","non-dropping-particle":"","parse-names":false,"suffix":""},{"dropping-particle":"","family":"Liu","given":"Xintao","non-dropping-particle":"","parse-names":false,"suffix":""}],"container-title":"IEEE Access","id":"ITEM-3","issued":{"date-parts":[["2019"]]},"title":"A multiple regression approach for traffic flow estimation","type":"article-journal","volume":"7"},"uris":["http://www.mendeley.com/documents/?uuid=f6268786-507b-3f41-a5f2-e92e0dc21ad2"]},{"id":"ITEM-4","itemData":{"DOI":"10.3141/2563-19","ISSN":"0361-1981","abstract":"The conventional network structure measure, betweenness centrality (BC), has been used to predict roadway traffic flow; however, without consideration of variable travel demand on the roadway network, the measure's prediction capability is limited by its static nature. With the objective of explicitly addressing the effects of travel pattern {[}e.g., origin-destination (0-D) distribution] on the prediction of urban roadway traffic flow, this paper proposes a modified measure that integrates the BC index and the traditional travel demand metrics (i.e., the O-D demand and the ratios of total demand). In the case study, roadway networks of two cities San Francisco, California, and Nanjing, China were selected to demonstrate the effectiveness of the proposed method. Taxi GPS trace data in the two cities were retrieved and applied to calibrate and validate the proposed measure. Correlation analyses were conducted to compare the predictions of the conventional and modified betweenness measures against the observed taxi traffic flows. The results show that, compared with the traditional approach, the modified betweenness measure produces predictions that have better correlations with the observed taxi traffic flows in both case studies. More accurate predictions for the future year traffic flow can be expected with the application of the new modified measure.","author":[{"dropping-particle":"","family":"Ye","given":"Pengyao","non-dropping-particle":"","parse-names":false,"suffix":""},{"dropping-particle":"","family":"Wu","given":"Bo","non-dropping-particle":"","parse-names":false,"suffix":""},{"dropping-particle":"","family":"Fan","given":"Wenbo","non-dropping-particle":"","parse-names":false,"suffix":""}],"container-title":"Transportation Research Record: Journal of the Transportation Research Board","id":"ITEM-4","issue":"1","issued":{"date-parts":[["2016","1","1"]]},"page":"144-150","publisher":"SAGE PublicationsSage CA: Los Angeles, CA","title":"Modified betweenness-based measure for prediction of traffic flow on urban roads","type":"article-journal","volume":"2563"},"uris":["http://www.mendeley.com/documents/?uuid=9367e7d4-7c26-3731-9090-078bbb3a78b0"]},{"id":"ITEM-5","itemData":{"author":[{"dropping-particle":"","family":"Kazerani","given":"Aisan","non-dropping-particle":"","parse-names":false,"suffix":""},{"dropping-particle":"","family":"Winter","given":"Stephan","non-dropping-particle":"","parse-names":false,"suffix":""}],"container-title":"10th International Conference on GeoComputation, Sydney, Australia","id":"ITEM-5","issued":{"date-parts":[["2009"]]},"publisher-place":"Sydney, Australia","title":"Modified betweenness centrality for predicting traffic flow","type":"paper-conference"},"uris":["http://www.mendeley.com/documents/?uuid=7ab4481c-240d-48c0-81be-0ff79296c4a9"]},{"id":"ITEM-6","itemData":{"DOI":"Paper 111","abstract":"Centrality measures describe structural properties of nodes (and edges) in a network. Betweenness centrality (Freeman 1977) is one of them, characterizing on how many shortest paths a node is. So far, network analysis concentrates on structural, ie, ...","author":[{"dropping-particle":"","family":"Kazerani","given":"Aisan","non-dropping-particle":"","parse-names":false,"suffix":""},{"dropping-particle":"","family":"Winter","given":"Stephan","non-dropping-particle":"","parse-names":false,"suffix":""}],"container-title":"Proceedings of the 12th AGILE International","id":"ITEM-6","issued":{"date-parts":[["2009"]]},"page":"1-9","title":"Can betweenness centrality explain traffic flow?","type":"paper-conference"},"uris":["http://www.mendeley.com/documents/?uuid=01d94eaa-be08-4f6e-9162-c35ceb60550e"]}],"mendeley":{"formattedCitation":"(Kazerani and Winter, 2009a, 2009b; Pun et al., 2019; Senousi et al., 2020; Ye et al., 2016; Zhao et al., 2017)","plainTextFormattedCitation":"(Kazerani and Winter, 2009a, 2009b; Pun et al., 2019; Senousi et al., 2020; Ye et al., 2016; Zhao et al., 2017)","previouslyFormattedCitation":"(Kazerani and Winter, 2009a, 2009b; Pun et al., 2019; Senousi et al., 2020; Ye et al., 2016; Zhao et al., 2017)"},"properties":{"noteIndex":0},"schema":"https://github.com/citation-style-language/schema/raw/master/csl-citation.json"}</w:instrText>
      </w:r>
      <w:r w:rsidR="009B65E6" w:rsidRPr="0070060E">
        <w:rPr>
          <w:rFonts w:ascii="Times New Roman" w:hAnsi="Times New Roman" w:cs="Times New Roman"/>
          <w:sz w:val="24"/>
          <w:szCs w:val="24"/>
        </w:rPr>
        <w:fldChar w:fldCharType="separate"/>
      </w:r>
      <w:r w:rsidR="009B65E6" w:rsidRPr="0070060E">
        <w:rPr>
          <w:rFonts w:ascii="Times New Roman" w:hAnsi="Times New Roman" w:cs="Times New Roman"/>
          <w:noProof/>
          <w:sz w:val="24"/>
          <w:szCs w:val="24"/>
        </w:rPr>
        <w:t>(Kazerani and Winter, 2009a, 2009b; Pun et al., 2019; Senousi et al., 2020; Ye et al., 2016; Zhao et al., 2017)</w:t>
      </w:r>
      <w:r w:rsidR="009B65E6" w:rsidRPr="0070060E">
        <w:rPr>
          <w:rFonts w:ascii="Times New Roman" w:hAnsi="Times New Roman" w:cs="Times New Roman"/>
          <w:sz w:val="24"/>
          <w:szCs w:val="24"/>
        </w:rPr>
        <w:fldChar w:fldCharType="end"/>
      </w:r>
      <w:r w:rsidR="00F70384" w:rsidRPr="0070060E">
        <w:rPr>
          <w:rFonts w:ascii="Times New Roman" w:hAnsi="Times New Roman" w:cs="Times New Roman"/>
          <w:sz w:val="24"/>
          <w:szCs w:val="24"/>
        </w:rPr>
        <w:t xml:space="preserve">. </w:t>
      </w:r>
      <w:r w:rsidR="00EA5AD8" w:rsidRPr="0070060E">
        <w:rPr>
          <w:rFonts w:ascii="Times New Roman" w:hAnsi="Times New Roman" w:cs="Times New Roman"/>
          <w:sz w:val="24"/>
          <w:szCs w:val="24"/>
        </w:rPr>
        <w:t xml:space="preserve">As a result of improvements and developments in network science that keep pace with the </w:t>
      </w:r>
      <w:r w:rsidR="007F4B6E" w:rsidRPr="0070060E">
        <w:rPr>
          <w:rFonts w:ascii="Times New Roman" w:hAnsi="Times New Roman" w:cs="Times New Roman"/>
          <w:sz w:val="24"/>
          <w:szCs w:val="24"/>
        </w:rPr>
        <w:t>realization</w:t>
      </w:r>
      <w:r w:rsidR="00EA5AD8" w:rsidRPr="0070060E">
        <w:rPr>
          <w:rFonts w:ascii="Times New Roman" w:hAnsi="Times New Roman" w:cs="Times New Roman"/>
          <w:sz w:val="24"/>
          <w:szCs w:val="24"/>
        </w:rPr>
        <w:t xml:space="preserve"> that the real systems around us do not operate in isolation</w:t>
      </w:r>
      <w:r w:rsidR="009C4196" w:rsidRPr="0070060E">
        <w:rPr>
          <w:rFonts w:ascii="Times New Roman" w:hAnsi="Times New Roman" w:cs="Times New Roman"/>
          <w:sz w:val="24"/>
          <w:szCs w:val="24"/>
        </w:rPr>
        <w:t>, such as</w:t>
      </w:r>
      <w:r w:rsidR="00AA62BA" w:rsidRPr="0070060E">
        <w:rPr>
          <w:rFonts w:ascii="Times New Roman" w:hAnsi="Times New Roman" w:cs="Times New Roman"/>
          <w:sz w:val="24"/>
          <w:szCs w:val="24"/>
        </w:rPr>
        <w:t xml:space="preserve"> </w:t>
      </w:r>
      <w:r w:rsidR="007F4B6E" w:rsidRPr="0070060E">
        <w:rPr>
          <w:rFonts w:ascii="Times New Roman" w:hAnsi="Times New Roman" w:cs="Times New Roman"/>
          <w:sz w:val="24"/>
          <w:szCs w:val="24"/>
        </w:rPr>
        <w:t>urban</w:t>
      </w:r>
      <w:r w:rsidR="00AA62BA" w:rsidRPr="0070060E">
        <w:rPr>
          <w:rFonts w:ascii="Times New Roman" w:hAnsi="Times New Roman" w:cs="Times New Roman"/>
          <w:sz w:val="24"/>
          <w:szCs w:val="24"/>
        </w:rPr>
        <w:t xml:space="preserve"> systems (i.e., railway system, bus system, </w:t>
      </w:r>
      <w:r w:rsidR="00681C6F" w:rsidRPr="0070060E">
        <w:rPr>
          <w:rFonts w:ascii="Times New Roman" w:hAnsi="Times New Roman" w:cs="Times New Roman"/>
          <w:sz w:val="24"/>
          <w:szCs w:val="24"/>
        </w:rPr>
        <w:t xml:space="preserve">traffic system, etc.) </w:t>
      </w:r>
      <w:r w:rsidR="005D5243" w:rsidRPr="0070060E">
        <w:rPr>
          <w:rFonts w:ascii="Times New Roman" w:hAnsi="Times New Roman" w:cs="Times New Roman"/>
          <w:sz w:val="24"/>
          <w:szCs w:val="24"/>
        </w:rPr>
        <w:fldChar w:fldCharType="begin" w:fldLock="1"/>
      </w:r>
      <w:r w:rsidR="00FC40CA" w:rsidRPr="0070060E">
        <w:rPr>
          <w:rFonts w:ascii="Times New Roman" w:hAnsi="Times New Roman" w:cs="Times New Roman"/>
          <w:sz w:val="24"/>
          <w:szCs w:val="24"/>
        </w:rPr>
        <w:instrText>ADDIN CSL_CITATION {"citationItems":[{"id":"ITEM-1","itemData":{"DOI":"10.3390/ijgi10050317","ISSN":"2220-9964","abstract":"A city is a complex system that never sleeps; it constantly changes, and its internal mobility (people, vehicles, goods, information, etc.) continues to accelerate and intensify. These changes and mobility vary in terms of the attributes of the city, such as space, time and cultural affiliation, which characterise to some extent how the city functions. Traditional urban studies have successfully modelled the ‘low-frequency city’ and have provided solutions such as urban planning and highway design for long-term urban development. Nevertheless, the existing urban studies and theories are insufficient to model the dynamics of a city’s intense mobility and rapid changes, so they cannot tackle short-term urban problems such as traffic congestion, real-time transport scheduling and resource management. The advent of information and communication technology and big data presents opportunities to model cities with unprecedented resolution. Since 2018, a paradigm shift from modelling the ‘low-frequency city’ to the so-called ‘high-frequency city’ has been introduced, but hardly any research investigated methods to estimate a city’s frequency. This work aims to propose a framework for the identification and analysis of indicators to model and better understand the concept of a high-frequency city in a systematic manner. The methodology for this work was based on a content analysis-based review, taking into account specific criteria to ensure the selection of indicator sets that are consistent with the concept of the frequency of cities. Twenty-two indicators in five groups were selected as indicators for a high-frequency city, and a framework was proposed to assess frequency at both the intra-city and inter-city levels. This work would serve as a pilot study to further illuminate the ways that urban policy and operations can be adjusted to improve the quality of city life in the context of a smart city.","author":[{"dropping-particle":"","family":"Senousi","given":"Ahmad M.","non-dropping-particle":"","parse-names":false,"suffix":""},{"dropping-particle":"","family":"Zhang","given":"Junwei","non-dropping-particle":"","parse-names":false,"suffix":""},{"dropping-particle":"","family":"Shi","given":"Wenzhong","non-dropping-particle":"","parse-names":false,"suffix":""},{"dropping-particle":"","family":"Liu","given":"Xintao","non-dropping-particle":"","parse-names":false,"suffix":""}],"container-title":"ISPRS International Journal of Geo-Information","id":"ITEM-1","issue":"5","issued":{"date-parts":[["2021","5","8"]]},"page":"317","publisher":"Multidisciplinary Digital Publishing Institute","title":"A Proposed Framework for Identification of Indicators to Model High-Frequency Cities","type":"article-journal","volume":"10"},"uris":["http://www.mendeley.com/documents/?uuid=d2ac307d-e80a-38c2-8121-8cd96cc83788"]}],"mendeley":{"formattedCitation":"(Senousi et al., 2021)","plainTextFormattedCitation":"(Senousi et al., 2021)","previouslyFormattedCitation":"(Senousi et al., 2021)"},"properties":{"noteIndex":0},"schema":"https://github.com/citation-style-language/schema/raw/master/csl-citation.json"}</w:instrText>
      </w:r>
      <w:r w:rsidR="005D5243" w:rsidRPr="0070060E">
        <w:rPr>
          <w:rFonts w:ascii="Times New Roman" w:hAnsi="Times New Roman" w:cs="Times New Roman"/>
          <w:sz w:val="24"/>
          <w:szCs w:val="24"/>
        </w:rPr>
        <w:fldChar w:fldCharType="separate"/>
      </w:r>
      <w:r w:rsidR="005D5243" w:rsidRPr="0070060E">
        <w:rPr>
          <w:rFonts w:ascii="Times New Roman" w:hAnsi="Times New Roman" w:cs="Times New Roman"/>
          <w:noProof/>
          <w:sz w:val="24"/>
          <w:szCs w:val="24"/>
        </w:rPr>
        <w:t>(Senousi et al., 2021)</w:t>
      </w:r>
      <w:r w:rsidR="005D5243" w:rsidRPr="0070060E">
        <w:rPr>
          <w:rFonts w:ascii="Times New Roman" w:hAnsi="Times New Roman" w:cs="Times New Roman"/>
          <w:sz w:val="24"/>
          <w:szCs w:val="24"/>
        </w:rPr>
        <w:fldChar w:fldCharType="end"/>
      </w:r>
      <w:r w:rsidR="00EA5AD8" w:rsidRPr="0070060E">
        <w:rPr>
          <w:rFonts w:ascii="Times New Roman" w:hAnsi="Times New Roman" w:cs="Times New Roman"/>
          <w:sz w:val="24"/>
          <w:szCs w:val="24"/>
        </w:rPr>
        <w:t>. There are many studies that have applied or recommended the use of multilayer networks in various disciplines</w:t>
      </w:r>
      <w:r w:rsidR="005D5243" w:rsidRPr="0070060E">
        <w:rPr>
          <w:rFonts w:ascii="Times New Roman" w:hAnsi="Times New Roman" w:cs="Times New Roman"/>
          <w:sz w:val="24"/>
          <w:szCs w:val="24"/>
        </w:rPr>
        <w:t xml:space="preserve"> </w:t>
      </w:r>
      <w:r w:rsidR="00A35F4C" w:rsidRPr="0070060E">
        <w:rPr>
          <w:rFonts w:ascii="Times New Roman" w:hAnsi="Times New Roman" w:cs="Times New Roman"/>
          <w:sz w:val="24"/>
          <w:szCs w:val="24"/>
        </w:rPr>
        <w:fldChar w:fldCharType="begin" w:fldLock="1"/>
      </w:r>
      <w:r w:rsidR="00853E5C" w:rsidRPr="0070060E">
        <w:rPr>
          <w:rFonts w:ascii="Times New Roman" w:hAnsi="Times New Roman" w:cs="Times New Roman"/>
          <w:sz w:val="24"/>
          <w:szCs w:val="24"/>
        </w:rPr>
        <w:instrText>ADDIN CSL_CITATION {"citationItems":[{"id":"ITEM-1","itemData":{"DOI":"10.1038/srep44359","ISSN":"20452322","PMID":"28295015","abstract":"Public urban mobility systems are composed by several transportation modes connected together. Most studies in urban mobility and planning often ignore the multi-layer nature of transportation systems considering only aggregated versions of this complex scenario. In this work we present a model for the representation of the transportation system of an entire city as a multiplex network. Using two different perspectives, one in which each line is a layer and one in which lines of the same transportation mode are grouped together, we study the interconnected structure of 9 different cities in Europe raging from small towns to mega-cities like London and Berlin highlighting their vulnerabilities and possible improvements. Finally, for the city of Zaragoza in Spain, we also consider data about service schedule and waiting times, which allow us to create a simple yet realistic model for urban mobility able to reproduce real-world facts and to test for network improvements.","author":[{"dropping-particle":"","family":"Aleta","given":"Alberto","non-dropping-particle":"","parse-names":false,"suffix":""},{"dropping-particle":"","family":"Meloni","given":"Sandro","non-dropping-particle":"","parse-names":false,"suffix":""},{"dropping-particle":"","family":"Moreno","given":"Yamir","non-dropping-particle":"","parse-names":false,"suffix":""}],"container-title":"Scientific Reports","id":"ITEM-1","issue":"1","issued":{"date-parts":[["2017","3","15"]]},"page":"1-9","publisher":"Nature Publishing Group","title":"A Multilayer perspective for the analysis of urban transportation systems","type":"article-journal","volume":"7"},"uris":["http://www.mendeley.com/documents/?uuid=cb18b734-63ba-3dc3-aaa2-a4257d7da60e"]},{"id":"ITEM-2","itemData":{"DOI":"10.1038/sdata.2014.56","ISSN":"20524463","abstract":"Despite the widespread availability of information concerning public transport coming from different sources, it is extremely hard to have a complete picture, in particular at a national scale. Here, we integrate timetable data obtained from the United Kingdom open-data program together with timetables of domestic flights, and obtain a comprehensive snapshot of the temporal characteristics of the whole UK public transport system for a week in October 2010. In order to focus on multi-modal aspects of the system, we use a coarse graining procedure and define explicitly the coupling between different transport modes such as connections at airports, ferry docks, rail, metro, coach and bus stations. The resulting weighted, directed, temporal and multilayer network is provided in simple, commonly used formats, ensuring easy access and the possibility of a straightforward use of old or specifically developed methods on this new and extensive dataset.","author":[{"dropping-particle":"","family":"Gallotti","given":"Riccardo","non-dropping-particle":"","parse-names":false,"suffix":""},{"dropping-particle":"","family":"Barthelemy","given":"Marc","non-dropping-particle":"","parse-names":false,"suffix":""}],"container-title":"Scientific Data","id":"ITEM-2","issue":"1","issued":{"date-parts":[["2015","1","6"]]},"page":"1-8","publisher":"Nature Publishing Groups","title":"The multilayer temporal network of public transport in Great Britain","type":"article-journal","volume":"2"},"uris":["http://www.mendeley.com/documents/?uuid=f5b36da6-9f50-3392-a5b3-51c7a06af3d9"]},{"id":"ITEM-3","itemData":{"DOI":"10.1093/comnet/cnu016","ISSN":"20511329","abstract":"In most natural and engineered systems, a set of entities interact with each other in complicated patterns that can encompass multiple types of relationships, change in time and include other types of complications. Such systems include multiple subsystems and layers of connectivity, and it is important to take such 'multilayer' features into account to try to improve our understanding of complex systems. Consequently, it is necessary to generalize 'traditional' network theory by developing (and validating) a framework and associated tools to study multilayer systems in a comprehensive fashion. The origins ofsuch efforts date back several decades and arose in multiple disciplines, and now the study of multilayer networks has become one of the most important directions in network science. In this paper, we discuss the history of multilayer networks (and related concepts) and review the exploding body of work on such networks. To unify the disparate terminology in the large body of recent work, we discuss a general framework for multilayer networks, construct a dictionary of terminology to relate the numerous existing concepts to each other and provide a thorough discussion that compares, contrasts and translates between related notions such as multilayer networks, multiplex networks, interdependent networks, networks of networks and many others. We also survey and discuss existing data sets that can be represented as multilayer networks. We review attempts to generalize single-layer-network diagnostics to multilayer networks. We also discuss the rapidly expanding research on multilayer-network models and notions like community structure, connected components, tensor decompositions and various types of dynamical processes on multilayer networks. We conclude with a summary and an outlook.","author":[{"dropping-particle":"","family":"Kivelä","given":"Mikko","non-dropping-particle":"","parse-names":false,"suffix":""},{"dropping-particle":"","family":"Arenas","given":"Alex","non-dropping-particle":"","parse-names":false,"suffix":""},{"dropping-particle":"","family":"Barthelemy","given":"Marc","non-dropping-particle":"","parse-names":false,"suffix":""},{"dropping-particle":"","family":"Gleeson","given":"James P.","non-dropping-particle":"","parse-names":false,"suffix":""},{"dropping-particle":"","family":"Moreno","given":"Yamir","non-dropping-particle":"","parse-names":false,"suffix":""},{"dropping-particle":"","family":"Porter","given":"Mason A.","non-dropping-particle":"","parse-names":false,"suffix":""}],"container-title":"Journal of Complex Networks","id":"ITEM-3","issue":"3","issued":{"date-parts":[["2014","9","1"]]},"page":"203-271","publisher":"Oxford University Press","title":"Multilayer networks","type":"article-journal","volume":"2"},"uris":["http://www.mendeley.com/documents/?uuid=4c3b9ec3-47a2-35e9-ab61-9ac1c89298c9"]},{"id":"ITEM-4","itemData":{"DOI":"10.1016/j.physa.2018.02.059","ISSN":"03784371","abstract":"Research into multi-layer network growth in the detection of urban dynamics provides scholars a new way to discuss the structure changing trends and related impacts. The quantitative research method is applied to examine, the network centrality, network accessibility and network community partition focusing on the upper-layer (rail network) network growth process. We based on the case study of Kuala Lumpur and found that when a rail network grows with a simple tree-like network to a more intricate form, the network diameter and the average shortest path length of multi-layer networks decrease dramatically. The network expansion ability keeps changing and more rail stations in the city centre have higher ability for future expansion. Changes in betweenness centrality and closeness centrality of multi-layer networks essentially hinge on the growth of rail network, with the highest change rate of closeness centrality at around 211.48%. The growth of network allows the remainder of the network to be easily visited, with the highest change rate of network accessibility around 12%. Different performances of these nodes added in the multi-layer network are discussed to show their impact on the repartition of network communities and the number of communities is decreasing. We believe this research can benefit scholars to easily understand and apply these network dynamic computational techniques.","author":[{"dropping-particle":"","family":"Ding","given":"Rui","non-dropping-particle":"","parse-names":false,"suffix":""},{"dropping-particle":"","family":"Ujang","given":"Norsidah","non-dropping-particle":"","parse-names":false,"suffix":""},{"dropping-particle":"bin","family":"Hamid","given":"Hussain","non-dropping-particle":"","parse-names":false,"suffix":""},{"dropping-particle":"","family":"Manan","given":"Mohd Shahrudin Abd","non-dropping-particle":"","parse-names":false,"suffix":""},{"dropping-particle":"","family":"He","given":"Yuou","non-dropping-particle":"","parse-names":false,"suffix":""},{"dropping-particle":"","family":"Li","given":"Rong","non-dropping-particle":"","parse-names":false,"suffix":""},{"dropping-particle":"","family":"Wu","given":"Jianjun","non-dropping-particle":"","parse-names":false,"suffix":""}],"container-title":"Physica A: Statistical Mechanics and its Applications","id":"ITEM-4","issued":{"date-parts":[["2018","8","1"]]},"page":"800-817","publisher":"Elsevier B.V.","title":"Detecting the urban traffic network structure dynamics through the growth and analysis of multi-layer networks","type":"article-journal","volume":"503"},"uris":["http://www.mendeley.com/documents/?uuid=06d268ef-4f41-3434-8e05-f013085d01a3"]},{"id":"ITEM-5","itemData":{"DOI":"10.1016/j.physa.2016.03.092","ISSN":"03784371","abstract":"The traffic dynamics of multi-layer networks has attracted a great deal of interest since many real networks are comprised of two or more layers of subnetworks. Due to its low traffic capacity, the average delivery capacity allocation strategy is susceptible to congestion with the wildly used shortest path routing protocol on two-layer complex networks. In this paper, we introduce a delivery capacity allocation strategy into the traffic dynamics on two-layer complex networks and focus on its effect on the traffic capacity measured by the critical point Rc of phase transition from free flow to congestion. When the total nodes delivering capacity is fixed, the delivering capacity of each node in physical layer is assigned to the degree distributions of both the physical and logical layers. Simulation results show that the proposed strategy can bring much better traffic capacity than that with the average delivery capacity allocation strategy. Because of the significantly improved traffic performance, this work may be useful for optimal design of networked traffic dynamics.","author":[{"dropping-particle":"","family":"Ma","given":"Jinlong","non-dropping-particle":"","parse-names":false,"suffix":""},{"dropping-particle":"","family":"Han","given":"Weizhan","non-dropping-particle":"","parse-names":false,"suffix":""},{"dropping-particle":"","family":"Guo","given":"Qing","non-dropping-particle":"","parse-names":false,"suffix":""},{"dropping-particle":"","family":"Wang","given":"Zhenyong","non-dropping-particle":"","parse-names":false,"suffix":""}],"container-title":"Physica A: Statistical Mechanics and its Applications","id":"ITEM-5","issued":{"date-parts":[["2016","8","15"]]},"page":"281-287","publisher":"Elsevier B.V.","title":"Traffic dynamics on two-layer complex networks with limited delivering capacity","type":"article-journal","volume":"456"},"uris":["http://www.mendeley.com/documents/?uuid=f6358303-6ec8-3bc0-92d4-47b606335329"]},{"id":"ITEM-6","itemData":{"DOI":"10.3390/ijgi10050317","ISSN":"2220-9964","abstract":"A city is a complex system that never sleeps; it constantly changes, and its internal mobility (people, vehicles, goods, information, etc.) continues to accelerate and intensify. These changes and mobility vary in terms of the attributes of the city, such as space, time and cultural affiliation, which characterise to some extent how the city functions. Traditional urban studies have successfully modelled the ‘low-frequency city’ and have provided solutions such as urban planning and highway design for long-term urban development. Nevertheless, the existing urban studies and theories are insufficient to model the dynamics of a city’s intense mobility and rapid changes, so they cannot tackle short-term urban problems such as traffic congestion, real-time transport scheduling and resource management. The advent of information and communication technology and big data presents opportunities to model cities with unprecedented resolution. Since 2018, a paradigm shift from modelling the ‘low-frequency city’ to the so-called ‘high-frequency city’ has been introduced, but hardly any research investigated methods to estimate a city’s frequency. This work aims to propose a framework for the identification and analysis of indicators to model and better understand the concept of a high-frequency city in a systematic manner. The methodology for this work was based on a content analysis-based review, taking into account specific criteria to ensure the selection of indicator sets that are consistent with the concept of the frequency of cities. Twenty-two indicators in five groups were selected as indicators for a high-frequency city, and a framework was proposed to assess frequency at both the intra-city and inter-city levels. This work would serve as a pilot study to further illuminate the ways that urban policy and operations can be adjusted to improve the quality of city life in the context of a smart city.","author":[{"dropping-particle":"","family":"Senousi","given":"Ahmad M.","non-dropping-particle":"","parse-names":false,"suffix":""},{"dropping-particle":"","family":"Zhang","given":"Junwei","non-dropping-particle":"","parse-names":false,"suffix":""},{"dropping-particle":"","family":"Shi","given":"Wenzhong","non-dropping-particle":"","parse-names":false,"suffix":""},{"dropping-particle":"","family":"Liu","given":"Xintao","non-dropping-particle":"","parse-names":false,"suffix":""}],"container-title":"ISPRS International Journal of Geo-Information","id":"ITEM-6","issue":"5","issued":{"date-parts":[["2021","5","8"]]},"page":"317","publisher":"Multidisciplinary Digital Publishing Institute","title":"A Proposed Framework for Identification of Indicators to Model High-Frequency Cities","type":"article-journal","volume":"10"},"uris":["http://www.mendeley.com/documents/?uuid=d2ac307d-e80a-38c2-8121-8cd96cc83788"]}],"mendeley":{"formattedCitation":"(Aleta et al., 2017; Ding et al., 2018; Gallotti and Barthelemy, 2015; Kivelä et al., 2014; Ma et al., 2016; Senousi et al., 2021)","plainTextFormattedCitation":"(Aleta et al., 2017; Ding et al., 2018; Gallotti and Barthelemy, 2015; Kivelä et al., 2014; Ma et al., 2016; Senousi et al., 2021)","previouslyFormattedCitation":"(Aleta et al., 2017; Ding et al., 2018; Gallotti and Barthelemy, 2015; Kivelä et al., 2014; Ma et al., 2016; Senousi et al., 2021)"},"properties":{"noteIndex":0},"schema":"https://github.com/citation-style-language/schema/raw/master/csl-citation.json"}</w:instrText>
      </w:r>
      <w:r w:rsidR="00A35F4C" w:rsidRPr="0070060E">
        <w:rPr>
          <w:rFonts w:ascii="Times New Roman" w:hAnsi="Times New Roman" w:cs="Times New Roman"/>
          <w:sz w:val="24"/>
          <w:szCs w:val="24"/>
        </w:rPr>
        <w:fldChar w:fldCharType="separate"/>
      </w:r>
      <w:r w:rsidR="00A35F4C" w:rsidRPr="0070060E">
        <w:rPr>
          <w:rFonts w:ascii="Times New Roman" w:hAnsi="Times New Roman" w:cs="Times New Roman"/>
          <w:noProof/>
          <w:sz w:val="24"/>
          <w:szCs w:val="24"/>
        </w:rPr>
        <w:t>(Aleta et al., 2017; Ding et al., 2018; Gallotti and Barthelemy, 2015; Kivelä et al., 2014; Ma et al., 2016; Senousi et al., 2021)</w:t>
      </w:r>
      <w:r w:rsidR="00A35F4C" w:rsidRPr="0070060E">
        <w:rPr>
          <w:rFonts w:ascii="Times New Roman" w:hAnsi="Times New Roman" w:cs="Times New Roman"/>
          <w:sz w:val="24"/>
          <w:szCs w:val="24"/>
        </w:rPr>
        <w:fldChar w:fldCharType="end"/>
      </w:r>
      <w:r w:rsidR="00A35F4C" w:rsidRPr="0070060E">
        <w:rPr>
          <w:rFonts w:ascii="Times New Roman" w:hAnsi="Times New Roman" w:cs="Times New Roman"/>
          <w:sz w:val="24"/>
          <w:szCs w:val="24"/>
        </w:rPr>
        <w:t xml:space="preserve">. </w:t>
      </w:r>
      <w:r w:rsidR="007F4B6E" w:rsidRPr="0070060E">
        <w:rPr>
          <w:rFonts w:ascii="Times New Roman" w:hAnsi="Times New Roman" w:cs="Times New Roman"/>
          <w:sz w:val="24"/>
          <w:szCs w:val="24"/>
        </w:rPr>
        <w:t>References</w:t>
      </w:r>
      <w:r w:rsidR="00853E5C" w:rsidRPr="0070060E">
        <w:rPr>
          <w:rFonts w:ascii="Times New Roman" w:hAnsi="Times New Roman" w:cs="Times New Roman"/>
          <w:sz w:val="24"/>
          <w:szCs w:val="24"/>
        </w:rPr>
        <w:t xml:space="preserve"> </w:t>
      </w:r>
      <w:r w:rsidR="00853E5C" w:rsidRPr="0070060E">
        <w:rPr>
          <w:rFonts w:ascii="Times New Roman" w:hAnsi="Times New Roman" w:cs="Times New Roman"/>
          <w:sz w:val="24"/>
          <w:szCs w:val="24"/>
        </w:rPr>
        <w:fldChar w:fldCharType="begin" w:fldLock="1"/>
      </w:r>
      <w:r w:rsidR="002338B2" w:rsidRPr="0070060E">
        <w:rPr>
          <w:rFonts w:ascii="Times New Roman" w:hAnsi="Times New Roman" w:cs="Times New Roman"/>
          <w:sz w:val="24"/>
          <w:szCs w:val="24"/>
        </w:rPr>
        <w:instrText>ADDIN CSL_CITATION {"citationItems":[{"id":"ITEM-1","itemData":{"DOI":"10.1007/s11067-019-09466-5","ISSN":"15729427","abstract":"© 2019, Springer Science+Business Media, LLC, part of Springer Nature. Complex network theory is a multidisciplinary research direction of complexity science which has experienced a rapid surge of interest over the last two decades. Its applications in land-based urban traffic network studies have been fruitful, but have suffered from the lack of a systematic cognitive and integration framework. This paper reviews complex network theory related knowledge and discusses its applications in urban traffic network studies in several directions. This includes network representation methods, topological and geographical related studies, network communities mining, network robustness and vulnerability, big-data-based research, network optimization, co-evolution research and multilayer network theory related studies. Finally, new research directions are pointed out. With these efforts, this physics-based concept will be more easily and widely accepted by urban traffic network planners, designers, and other related scholars.","author":[{"dropping-particle":"","family":"Ding","given":"Rui","non-dropping-particle":"","parse-names":false,"suffix":""},{"dropping-particle":"","family":"Ujang","given":"Norsidah","non-dropping-particle":"","parse-names":false,"suffix":""},{"dropping-particle":"Bin","family":"Hamid","given":"Hussain","non-dropping-particle":"","parse-names":false,"suffix":""},{"dropping-particle":"","family":"Manan","given":"Mohd Shahrudin Abd","non-dropping-particle":"","parse-names":false,"suffix":""},{"dropping-particle":"","family":"Li","given":"Rong","non-dropping-particle":"","parse-names":false,"suffix":""},{"dropping-particle":"","family":"Albadareen","given":"Safwan Subhi Mousa","non-dropping-particle":"","parse-names":false,"suffix":""},{"dropping-particle":"","family":"Nochian","given":"Ashkan","non-dropping-particle":"","parse-names":false,"suffix":""},{"dropping-particle":"","family":"Wu","given":"Jianjun","non-dropping-particle":"","parse-names":false,"suffix":""}],"container-title":"Networks and Spatial Economics","id":"ITEM-1","issued":{"date-parts":[["2019","5","1"]]},"page":"1-37","publisher":"Springer US","title":"Application of complex networks theory in urban traffic network researches","type":"article-journal"},"uris":["http://www.mendeley.com/documents/?uuid=e7f1ca46-da2a-3079-8c42-43250556e599"]}],"mendeley":{"formattedCitation":"(Ding et al., 2019)","plainTextFormattedCitation":"(Ding et al., 2019)","previouslyFormattedCitation":"(Ding et al., 2019)"},"properties":{"noteIndex":0},"schema":"https://github.com/citation-style-language/schema/raw/master/csl-citation.json"}</w:instrText>
      </w:r>
      <w:r w:rsidR="00853E5C" w:rsidRPr="0070060E">
        <w:rPr>
          <w:rFonts w:ascii="Times New Roman" w:hAnsi="Times New Roman" w:cs="Times New Roman"/>
          <w:sz w:val="24"/>
          <w:szCs w:val="24"/>
        </w:rPr>
        <w:fldChar w:fldCharType="separate"/>
      </w:r>
      <w:r w:rsidR="00853E5C" w:rsidRPr="0070060E">
        <w:rPr>
          <w:rFonts w:ascii="Times New Roman" w:hAnsi="Times New Roman" w:cs="Times New Roman"/>
          <w:noProof/>
          <w:sz w:val="24"/>
          <w:szCs w:val="24"/>
        </w:rPr>
        <w:t>(Ding et al., 2019)</w:t>
      </w:r>
      <w:r w:rsidR="00853E5C" w:rsidRPr="0070060E">
        <w:rPr>
          <w:rFonts w:ascii="Times New Roman" w:hAnsi="Times New Roman" w:cs="Times New Roman"/>
          <w:sz w:val="24"/>
          <w:szCs w:val="24"/>
        </w:rPr>
        <w:fldChar w:fldCharType="end"/>
      </w:r>
      <w:r w:rsidR="00853E5C" w:rsidRPr="0070060E">
        <w:rPr>
          <w:rFonts w:ascii="Times New Roman" w:hAnsi="Times New Roman" w:cs="Times New Roman"/>
          <w:sz w:val="24"/>
          <w:szCs w:val="24"/>
        </w:rPr>
        <w:t xml:space="preserve"> and </w:t>
      </w:r>
      <w:r w:rsidR="002338B2" w:rsidRPr="0070060E">
        <w:rPr>
          <w:rFonts w:ascii="Times New Roman" w:hAnsi="Times New Roman" w:cs="Times New Roman"/>
          <w:sz w:val="24"/>
          <w:szCs w:val="24"/>
        </w:rPr>
        <w:fldChar w:fldCharType="begin" w:fldLock="1"/>
      </w:r>
      <w:r w:rsidR="002C13C5" w:rsidRPr="0070060E">
        <w:rPr>
          <w:rFonts w:ascii="Times New Roman" w:hAnsi="Times New Roman" w:cs="Times New Roman"/>
          <w:sz w:val="24"/>
          <w:szCs w:val="24"/>
        </w:rPr>
        <w:instrText>ADDIN CSL_CITATION {"citationItems":[{"id":"ITEM-1","itemData":{"DOI":"10.1093/comnet/cnu016","ISSN":"20511329","abstract":"In most natural and engineered systems, a set of entities interact with each other in complicated patterns that can encompass multiple types of relationships, change in time and include other types of complications. Such systems include multiple subsystems and layers of connectivity, and it is important to take such 'multilayer' features into account to try to improve our understanding of complex systems. Consequently, it is necessary to generalize 'traditional' network theory by developing (and validating) a framework and associated tools to study multilayer systems in a comprehensive fashion. The origins ofsuch efforts date back several decades and arose in multiple disciplines, and now the study of multilayer networks has become one of the most important directions in network science. In this paper, we discuss the history of multilayer networks (and related concepts) and review the exploding body of work on such networks. To unify the disparate terminology in the large body of recent work, we discuss a general framework for multilayer networks, construct a dictionary of terminology to relate the numerous existing concepts to each other and provide a thorough discussion that compares, contrasts and translates between related notions such as multilayer networks, multiplex networks, interdependent networks, networks of networks and many others. We also survey and discuss existing data sets that can be represented as multilayer networks. We review attempts to generalize single-layer-network diagnostics to multilayer networks. We also discuss the rapidly expanding research on multilayer-network models and notions like community structure, connected components, tensor decompositions and various types of dynamical processes on multilayer networks. We conclude with a summary and an outlook.","author":[{"dropping-particle":"","family":"Kivelä","given":"Mikko","non-dropping-particle":"","parse-names":false,"suffix":""},{"dropping-particle":"","family":"Arenas","given":"Alex","non-dropping-particle":"","parse-names":false,"suffix":""},{"dropping-particle":"","family":"Barthelemy","given":"Marc","non-dropping-particle":"","parse-names":false,"suffix":""},{"dropping-particle":"","family":"Gleeson","given":"James P.","non-dropping-particle":"","parse-names":false,"suffix":""},{"dropping-particle":"","family":"Moreno","given":"Yamir","non-dropping-particle":"","parse-names":false,"suffix":""},{"dropping-particle":"","family":"Porter","given":"Mason A.","non-dropping-particle":"","parse-names":false,"suffix":""}],"container-title":"Journal of Complex Networks","id":"ITEM-1","issue":"3","issued":{"date-parts":[["2014","9","1"]]},"page":"203-271","publisher":"Oxford University Press","title":"Multilayer networks","type":"article-journal","volume":"2"},"uris":["http://www.mendeley.com/documents/?uuid=4c3b9ec3-47a2-35e9-ab61-9ac1c89298c9"]}],"mendeley":{"formattedCitation":"(Kivelä et al., 2014)","plainTextFormattedCitation":"(Kivelä et al., 2014)","previouslyFormattedCitation":"(Kivelä et al., 2014)"},"properties":{"noteIndex":0},"schema":"https://github.com/citation-style-language/schema/raw/master/csl-citation.json"}</w:instrText>
      </w:r>
      <w:r w:rsidR="002338B2" w:rsidRPr="0070060E">
        <w:rPr>
          <w:rFonts w:ascii="Times New Roman" w:hAnsi="Times New Roman" w:cs="Times New Roman"/>
          <w:sz w:val="24"/>
          <w:szCs w:val="24"/>
        </w:rPr>
        <w:fldChar w:fldCharType="separate"/>
      </w:r>
      <w:r w:rsidR="002338B2" w:rsidRPr="0070060E">
        <w:rPr>
          <w:rFonts w:ascii="Times New Roman" w:hAnsi="Times New Roman" w:cs="Times New Roman"/>
          <w:noProof/>
          <w:sz w:val="24"/>
          <w:szCs w:val="24"/>
        </w:rPr>
        <w:t>(Kivelä et al., 2014)</w:t>
      </w:r>
      <w:r w:rsidR="002338B2" w:rsidRPr="0070060E">
        <w:rPr>
          <w:rFonts w:ascii="Times New Roman" w:hAnsi="Times New Roman" w:cs="Times New Roman"/>
          <w:sz w:val="24"/>
          <w:szCs w:val="24"/>
        </w:rPr>
        <w:fldChar w:fldCharType="end"/>
      </w:r>
      <w:r w:rsidR="00F931EC" w:rsidRPr="0070060E">
        <w:rPr>
          <w:rFonts w:ascii="Times New Roman" w:hAnsi="Times New Roman" w:cs="Times New Roman"/>
          <w:sz w:val="24"/>
          <w:szCs w:val="24"/>
        </w:rPr>
        <w:t xml:space="preserve"> </w:t>
      </w:r>
      <w:r w:rsidR="007C1D85" w:rsidRPr="0070060E">
        <w:rPr>
          <w:rFonts w:ascii="Times New Roman" w:hAnsi="Times New Roman" w:cs="Times New Roman"/>
          <w:sz w:val="24"/>
          <w:szCs w:val="24"/>
        </w:rPr>
        <w:t>contain a comprehensive review of the application of complex network theory in urban traffic studies and provide a thorough discussion comparing the different types of multilayer networks, respectively.</w:t>
      </w:r>
    </w:p>
    <w:p w14:paraId="3F14B662" w14:textId="7D4BE9B1" w:rsidR="00220FC7" w:rsidRPr="0070060E" w:rsidRDefault="001C2862" w:rsidP="001C2862">
      <w:pPr>
        <w:pStyle w:val="Heading1"/>
        <w:spacing w:before="0" w:line="240" w:lineRule="auto"/>
        <w:rPr>
          <w:rFonts w:ascii="Times New Roman" w:hAnsi="Times New Roman" w:cs="Times New Roman"/>
          <w:b/>
          <w:color w:val="auto"/>
          <w:sz w:val="24"/>
        </w:rPr>
      </w:pPr>
      <w:r w:rsidRPr="0070060E">
        <w:rPr>
          <w:rFonts w:ascii="Times New Roman" w:hAnsi="Times New Roman" w:cs="Times New Roman"/>
          <w:b/>
          <w:color w:val="auto"/>
          <w:sz w:val="24"/>
        </w:rPr>
        <w:t>Reference</w:t>
      </w:r>
    </w:p>
    <w:p w14:paraId="5579F650" w14:textId="391812E4" w:rsidR="00841940" w:rsidRPr="0070060E" w:rsidRDefault="001C2862"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heme="majorBidi" w:hAnsiTheme="majorBidi" w:cstheme="majorBidi"/>
          <w:sz w:val="20"/>
          <w:szCs w:val="20"/>
        </w:rPr>
        <w:fldChar w:fldCharType="begin" w:fldLock="1"/>
      </w:r>
      <w:r w:rsidRPr="0070060E">
        <w:rPr>
          <w:rFonts w:asciiTheme="majorBidi" w:hAnsiTheme="majorBidi" w:cstheme="majorBidi"/>
          <w:sz w:val="20"/>
          <w:szCs w:val="20"/>
        </w:rPr>
        <w:instrText xml:space="preserve">ADDIN Mendeley Bibliography CSL_BIBLIOGRAPHY </w:instrText>
      </w:r>
      <w:r w:rsidRPr="0070060E">
        <w:rPr>
          <w:rFonts w:asciiTheme="majorBidi" w:hAnsiTheme="majorBidi" w:cstheme="majorBidi"/>
          <w:sz w:val="20"/>
          <w:szCs w:val="20"/>
        </w:rPr>
        <w:fldChar w:fldCharType="separate"/>
      </w:r>
      <w:r w:rsidR="00841940" w:rsidRPr="0070060E">
        <w:rPr>
          <w:rFonts w:ascii="Times New Roman" w:hAnsi="Times New Roman" w:cs="Times New Roman"/>
          <w:noProof/>
          <w:sz w:val="20"/>
          <w:szCs w:val="24"/>
        </w:rPr>
        <w:t xml:space="preserve">Aleta A, Meloni S and Moreno Y (2017) A Multilayer perspective for the analysis of urban transportation systems. </w:t>
      </w:r>
      <w:r w:rsidR="00841940" w:rsidRPr="0070060E">
        <w:rPr>
          <w:rFonts w:ascii="Times New Roman" w:hAnsi="Times New Roman" w:cs="Times New Roman"/>
          <w:i/>
          <w:iCs/>
          <w:noProof/>
          <w:sz w:val="20"/>
          <w:szCs w:val="24"/>
        </w:rPr>
        <w:t>Scientific Reports</w:t>
      </w:r>
      <w:r w:rsidR="00841940" w:rsidRPr="0070060E">
        <w:rPr>
          <w:rFonts w:ascii="Times New Roman" w:hAnsi="Times New Roman" w:cs="Times New Roman"/>
          <w:noProof/>
          <w:sz w:val="20"/>
          <w:szCs w:val="24"/>
        </w:rPr>
        <w:t xml:space="preserve"> 7(1). Nature Publishing Group: 1–9. DOI: 10.1038/srep44359.</w:t>
      </w:r>
    </w:p>
    <w:p w14:paraId="42EB37C0"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Batty M (2004) </w:t>
      </w:r>
      <w:r w:rsidRPr="0070060E">
        <w:rPr>
          <w:rFonts w:ascii="Times New Roman" w:hAnsi="Times New Roman" w:cs="Times New Roman"/>
          <w:i/>
          <w:iCs/>
          <w:noProof/>
          <w:sz w:val="20"/>
          <w:szCs w:val="24"/>
        </w:rPr>
        <w:t>A new theory of space syntax</w:t>
      </w:r>
      <w:r w:rsidRPr="0070060E">
        <w:rPr>
          <w:rFonts w:ascii="Times New Roman" w:hAnsi="Times New Roman" w:cs="Times New Roman"/>
          <w:noProof/>
          <w:sz w:val="20"/>
          <w:szCs w:val="24"/>
        </w:rPr>
        <w:t xml:space="preserve">. </w:t>
      </w:r>
      <w:r w:rsidRPr="0070060E">
        <w:rPr>
          <w:rFonts w:ascii="Times New Roman" w:hAnsi="Times New Roman" w:cs="Times New Roman"/>
          <w:i/>
          <w:iCs/>
          <w:noProof/>
          <w:sz w:val="20"/>
          <w:szCs w:val="24"/>
        </w:rPr>
        <w:t>(CASA Working Papers ). Centre for Advanced Spatial Analysis (UCL): London, UK. (2004)</w:t>
      </w:r>
      <w:r w:rsidRPr="0070060E">
        <w:rPr>
          <w:rFonts w:ascii="Times New Roman" w:hAnsi="Times New Roman" w:cs="Times New Roman"/>
          <w:noProof/>
          <w:sz w:val="20"/>
          <w:szCs w:val="24"/>
        </w:rPr>
        <w:t>. London, UK: Centre for Advanced Spatial Analysis (UCL).</w:t>
      </w:r>
    </w:p>
    <w:p w14:paraId="54C68EAD"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Cheliotis K (2020) An agent-based model of public space use. </w:t>
      </w:r>
      <w:r w:rsidRPr="0070060E">
        <w:rPr>
          <w:rFonts w:ascii="Times New Roman" w:hAnsi="Times New Roman" w:cs="Times New Roman"/>
          <w:i/>
          <w:iCs/>
          <w:noProof/>
          <w:sz w:val="20"/>
          <w:szCs w:val="24"/>
        </w:rPr>
        <w:t>Computers, Environment and Urban Systems</w:t>
      </w:r>
      <w:r w:rsidRPr="0070060E">
        <w:rPr>
          <w:rFonts w:ascii="Times New Roman" w:hAnsi="Times New Roman" w:cs="Times New Roman"/>
          <w:noProof/>
          <w:sz w:val="20"/>
          <w:szCs w:val="24"/>
        </w:rPr>
        <w:t xml:space="preserve"> 81. Elsevier Ltd: 101476. DOI: 10.1016/j.compenvurbsys.2020.101476.</w:t>
      </w:r>
    </w:p>
    <w:p w14:paraId="605C5917"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Chiaradia A and Zhang L (2018) New Urban Design? Insights from Hong Kong Extreme Configurations. </w:t>
      </w:r>
      <w:r w:rsidRPr="0070060E">
        <w:rPr>
          <w:rFonts w:ascii="Times New Roman" w:hAnsi="Times New Roman" w:cs="Times New Roman"/>
          <w:i/>
          <w:iCs/>
          <w:noProof/>
          <w:sz w:val="20"/>
          <w:szCs w:val="24"/>
        </w:rPr>
        <w:t>Architectural Worlds Magazine</w:t>
      </w:r>
      <w:r w:rsidRPr="0070060E">
        <w:rPr>
          <w:rFonts w:ascii="Times New Roman" w:hAnsi="Times New Roman" w:cs="Times New Roman"/>
          <w:noProof/>
          <w:sz w:val="20"/>
          <w:szCs w:val="24"/>
        </w:rPr>
        <w:t>.</w:t>
      </w:r>
    </w:p>
    <w:p w14:paraId="51D2A3D1"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Dawes MJ and Ostwald MJ (2018) Space Syntax: Mathematics and the Social Logic of Architecture. In: Bharath Sriraman (ed.) </w:t>
      </w:r>
      <w:r w:rsidRPr="0070060E">
        <w:rPr>
          <w:rFonts w:ascii="Times New Roman" w:hAnsi="Times New Roman" w:cs="Times New Roman"/>
          <w:i/>
          <w:iCs/>
          <w:noProof/>
          <w:sz w:val="20"/>
          <w:szCs w:val="24"/>
        </w:rPr>
        <w:t>Handbook of the Mathematics of the Arts and Sciences</w:t>
      </w:r>
      <w:r w:rsidRPr="0070060E">
        <w:rPr>
          <w:rFonts w:ascii="Times New Roman" w:hAnsi="Times New Roman" w:cs="Times New Roman"/>
          <w:noProof/>
          <w:sz w:val="20"/>
          <w:szCs w:val="24"/>
        </w:rPr>
        <w:t>. Cham, Switzerland: Springer International Publishing, pp. 1–12. DOI: 10.1007/978-3-319-70658-0_6-1.</w:t>
      </w:r>
    </w:p>
    <w:p w14:paraId="18E36850"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Ding R, Ujang N, Hamid H bin, et al. (2018) Detecting the urban traffic network structure dynamics through the growth and analysis of multi-layer networks. </w:t>
      </w:r>
      <w:r w:rsidRPr="0070060E">
        <w:rPr>
          <w:rFonts w:ascii="Times New Roman" w:hAnsi="Times New Roman" w:cs="Times New Roman"/>
          <w:i/>
          <w:iCs/>
          <w:noProof/>
          <w:sz w:val="20"/>
          <w:szCs w:val="24"/>
        </w:rPr>
        <w:t>Physica A: Statistical Mechanics and its Applications</w:t>
      </w:r>
      <w:r w:rsidRPr="0070060E">
        <w:rPr>
          <w:rFonts w:ascii="Times New Roman" w:hAnsi="Times New Roman" w:cs="Times New Roman"/>
          <w:noProof/>
          <w:sz w:val="20"/>
          <w:szCs w:val="24"/>
        </w:rPr>
        <w:t xml:space="preserve"> 503. Elsevier B.V.: 800–817. DOI: 10.1016/j.physa.2018.02.059.</w:t>
      </w:r>
    </w:p>
    <w:p w14:paraId="6725814E"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Ding R, Ujang N, Hamid H Bin, et al. (2019) Application of complex networks theory in urban traffic network researches. </w:t>
      </w:r>
      <w:r w:rsidRPr="0070060E">
        <w:rPr>
          <w:rFonts w:ascii="Times New Roman" w:hAnsi="Times New Roman" w:cs="Times New Roman"/>
          <w:i/>
          <w:iCs/>
          <w:noProof/>
          <w:sz w:val="20"/>
          <w:szCs w:val="24"/>
        </w:rPr>
        <w:t>Networks and Spatial Economics</w:t>
      </w:r>
      <w:r w:rsidRPr="0070060E">
        <w:rPr>
          <w:rFonts w:ascii="Times New Roman" w:hAnsi="Times New Roman" w:cs="Times New Roman"/>
          <w:noProof/>
          <w:sz w:val="20"/>
          <w:szCs w:val="24"/>
        </w:rPr>
        <w:t>. Springer US: 1–37. DOI: 10.1007/s11067-019-09466-5.</w:t>
      </w:r>
    </w:p>
    <w:p w14:paraId="24DE68AD"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Feng S, Hu B, Nie C, et al. (2016) Empirical study on a directed and weighted bus transport network in China. </w:t>
      </w:r>
      <w:r w:rsidRPr="0070060E">
        <w:rPr>
          <w:rFonts w:ascii="Times New Roman" w:hAnsi="Times New Roman" w:cs="Times New Roman"/>
          <w:i/>
          <w:iCs/>
          <w:noProof/>
          <w:sz w:val="20"/>
          <w:szCs w:val="24"/>
        </w:rPr>
        <w:t>Physica A: Statistical Mechanics and its Applications</w:t>
      </w:r>
      <w:r w:rsidRPr="0070060E">
        <w:rPr>
          <w:rFonts w:ascii="Times New Roman" w:hAnsi="Times New Roman" w:cs="Times New Roman"/>
          <w:noProof/>
          <w:sz w:val="20"/>
          <w:szCs w:val="24"/>
        </w:rPr>
        <w:t xml:space="preserve"> 441: 85–92. DOI: 10.1016/j.physa.2015.08.030.</w:t>
      </w:r>
    </w:p>
    <w:p w14:paraId="03627870"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Figueiredo L and Amorim L (2005) Continuity-lines Space Syntax. In: </w:t>
      </w:r>
      <w:r w:rsidRPr="0070060E">
        <w:rPr>
          <w:rFonts w:ascii="Times New Roman" w:hAnsi="Times New Roman" w:cs="Times New Roman"/>
          <w:i/>
          <w:iCs/>
          <w:noProof/>
          <w:sz w:val="20"/>
          <w:szCs w:val="24"/>
        </w:rPr>
        <w:t>5th International Space Syntax Symposium</w:t>
      </w:r>
      <w:r w:rsidRPr="0070060E">
        <w:rPr>
          <w:rFonts w:ascii="Times New Roman" w:hAnsi="Times New Roman" w:cs="Times New Roman"/>
          <w:noProof/>
          <w:sz w:val="20"/>
          <w:szCs w:val="24"/>
        </w:rPr>
        <w:t>, Delft, 2005, pp. 161–174. TU Delft, Faculty of Architecture.</w:t>
      </w:r>
    </w:p>
    <w:p w14:paraId="73B30E04"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Franz G and Wiener JM (2008) From space syntax to space semantics: A behaviorally and perceptually oriented methodology for the efficient description of the geometry and topology of environments. </w:t>
      </w:r>
      <w:r w:rsidRPr="0070060E">
        <w:rPr>
          <w:rFonts w:ascii="Times New Roman" w:hAnsi="Times New Roman" w:cs="Times New Roman"/>
          <w:i/>
          <w:iCs/>
          <w:noProof/>
          <w:sz w:val="20"/>
          <w:szCs w:val="24"/>
        </w:rPr>
        <w:t>Environment and Planning B: Planning and Design</w:t>
      </w:r>
      <w:r w:rsidRPr="0070060E">
        <w:rPr>
          <w:rFonts w:ascii="Times New Roman" w:hAnsi="Times New Roman" w:cs="Times New Roman"/>
          <w:noProof/>
          <w:sz w:val="20"/>
          <w:szCs w:val="24"/>
        </w:rPr>
        <w:t xml:space="preserve"> 35(4). Pion Limited: 574–592. DOI: 10.1068/b33050.</w:t>
      </w:r>
    </w:p>
    <w:p w14:paraId="372DAB89"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Gallotti R and Barthelemy M (2015) The multilayer temporal network of public transport in Great Britain. </w:t>
      </w:r>
      <w:r w:rsidRPr="0070060E">
        <w:rPr>
          <w:rFonts w:ascii="Times New Roman" w:hAnsi="Times New Roman" w:cs="Times New Roman"/>
          <w:i/>
          <w:iCs/>
          <w:noProof/>
          <w:sz w:val="20"/>
          <w:szCs w:val="24"/>
        </w:rPr>
        <w:t>Scientific Data</w:t>
      </w:r>
      <w:r w:rsidRPr="0070060E">
        <w:rPr>
          <w:rFonts w:ascii="Times New Roman" w:hAnsi="Times New Roman" w:cs="Times New Roman"/>
          <w:noProof/>
          <w:sz w:val="20"/>
          <w:szCs w:val="24"/>
        </w:rPr>
        <w:t xml:space="preserve"> 2(1). Nature Publishing Groups: 1–8. DOI: 10.1038/sdata.2014.56.</w:t>
      </w:r>
    </w:p>
    <w:p w14:paraId="6E1A78D0"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Gentina E, Chen R and Yang Z (2020) Development of theory of mind on online social networks: Evidence from Facebook, Twitter, Instagram, and Snapchat. </w:t>
      </w:r>
      <w:r w:rsidRPr="0070060E">
        <w:rPr>
          <w:rFonts w:ascii="Times New Roman" w:hAnsi="Times New Roman" w:cs="Times New Roman"/>
          <w:i/>
          <w:iCs/>
          <w:noProof/>
          <w:sz w:val="20"/>
          <w:szCs w:val="24"/>
        </w:rPr>
        <w:t>Journal of Business Research</w:t>
      </w:r>
      <w:r w:rsidRPr="0070060E">
        <w:rPr>
          <w:rFonts w:ascii="Times New Roman" w:hAnsi="Times New Roman" w:cs="Times New Roman"/>
          <w:noProof/>
          <w:sz w:val="20"/>
          <w:szCs w:val="24"/>
        </w:rPr>
        <w:t>. Elsevier Inc. DOI: 10.1016/j.jbusres.2020.03.001.</w:t>
      </w:r>
    </w:p>
    <w:p w14:paraId="0899BFCC"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lastRenderedPageBreak/>
        <w:t xml:space="preserve">Guo D, Jin H, Gao P, et al. (2018) Detecting spatial community structure in movements. </w:t>
      </w:r>
      <w:r w:rsidRPr="0070060E">
        <w:rPr>
          <w:rFonts w:ascii="Times New Roman" w:hAnsi="Times New Roman" w:cs="Times New Roman"/>
          <w:i/>
          <w:iCs/>
          <w:noProof/>
          <w:sz w:val="20"/>
          <w:szCs w:val="24"/>
        </w:rPr>
        <w:t>International Journal of Geographical Information Science</w:t>
      </w:r>
      <w:r w:rsidRPr="0070060E">
        <w:rPr>
          <w:rFonts w:ascii="Times New Roman" w:hAnsi="Times New Roman" w:cs="Times New Roman"/>
          <w:noProof/>
          <w:sz w:val="20"/>
          <w:szCs w:val="24"/>
        </w:rPr>
        <w:t xml:space="preserve"> 32(7). Taylor &amp; Francis: 1326–1347. DOI: 10.1080/13658816.2018.1434889.</w:t>
      </w:r>
    </w:p>
    <w:p w14:paraId="0D5FAEE2"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Hillier B (1996) Cities as movement economies. </w:t>
      </w:r>
      <w:r w:rsidRPr="0070060E">
        <w:rPr>
          <w:rFonts w:ascii="Times New Roman" w:hAnsi="Times New Roman" w:cs="Times New Roman"/>
          <w:i/>
          <w:iCs/>
          <w:noProof/>
          <w:sz w:val="20"/>
          <w:szCs w:val="24"/>
        </w:rPr>
        <w:t>Urban Design International</w:t>
      </w:r>
      <w:r w:rsidRPr="0070060E">
        <w:rPr>
          <w:rFonts w:ascii="Times New Roman" w:hAnsi="Times New Roman" w:cs="Times New Roman"/>
          <w:noProof/>
          <w:sz w:val="20"/>
          <w:szCs w:val="24"/>
        </w:rPr>
        <w:t xml:space="preserve"> 1(1). Palgrave: 41–60. DOI: 10.1057/udi.1996.5.</w:t>
      </w:r>
    </w:p>
    <w:p w14:paraId="2AC4C94D"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Hillier B (1999) </w:t>
      </w:r>
      <w:r w:rsidRPr="0070060E">
        <w:rPr>
          <w:rFonts w:ascii="Times New Roman" w:hAnsi="Times New Roman" w:cs="Times New Roman"/>
          <w:i/>
          <w:iCs/>
          <w:noProof/>
          <w:sz w:val="20"/>
          <w:szCs w:val="24"/>
        </w:rPr>
        <w:t>Space Is the Machine: A Configurational Theory of Architecture</w:t>
      </w:r>
      <w:r w:rsidRPr="0070060E">
        <w:rPr>
          <w:rFonts w:ascii="Times New Roman" w:hAnsi="Times New Roman" w:cs="Times New Roman"/>
          <w:noProof/>
          <w:sz w:val="20"/>
          <w:szCs w:val="24"/>
        </w:rPr>
        <w:t>. Cambridge: Cambridge University Press.</w:t>
      </w:r>
    </w:p>
    <w:p w14:paraId="5A6B6776"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Hillier B and Hanson J (1984) </w:t>
      </w:r>
      <w:r w:rsidRPr="0070060E">
        <w:rPr>
          <w:rFonts w:ascii="Times New Roman" w:hAnsi="Times New Roman" w:cs="Times New Roman"/>
          <w:i/>
          <w:iCs/>
          <w:noProof/>
          <w:sz w:val="20"/>
          <w:szCs w:val="24"/>
        </w:rPr>
        <w:t>The Social Logic of Space.</w:t>
      </w:r>
      <w:r w:rsidRPr="0070060E">
        <w:rPr>
          <w:rFonts w:ascii="Times New Roman" w:hAnsi="Times New Roman" w:cs="Times New Roman"/>
          <w:noProof/>
          <w:sz w:val="20"/>
          <w:szCs w:val="24"/>
        </w:rPr>
        <w:t xml:space="preserve"> Cambridge: Cambridge University Press. DOI: 10.1017/cbo9780511597237.</w:t>
      </w:r>
    </w:p>
    <w:p w14:paraId="656D078F"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Hillier B and Iida S (2005) Network and psychological effects in urban movement. In: Cohn AG and Mark DM (eds) </w:t>
      </w:r>
      <w:r w:rsidRPr="0070060E">
        <w:rPr>
          <w:rFonts w:ascii="Times New Roman" w:hAnsi="Times New Roman" w:cs="Times New Roman"/>
          <w:i/>
          <w:iCs/>
          <w:noProof/>
          <w:sz w:val="20"/>
          <w:szCs w:val="24"/>
        </w:rPr>
        <w:t>Spatial Information Theory. COSIT 2005. Lecture Notes in Computer Science</w:t>
      </w:r>
      <w:r w:rsidRPr="0070060E">
        <w:rPr>
          <w:rFonts w:ascii="Times New Roman" w:hAnsi="Times New Roman" w:cs="Times New Roman"/>
          <w:noProof/>
          <w:sz w:val="20"/>
          <w:szCs w:val="24"/>
        </w:rPr>
        <w:t>. Berlin, Heidelberg: Springer, Berlin, Heidelberg, pp. 475–490. DOI: 10.1007/11556114_30.</w:t>
      </w:r>
    </w:p>
    <w:p w14:paraId="22C7F628"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Hillier B and Tzortzi K (2006) Space Syntax: The Language of Museum Space. In: Macdonald S (ed.) </w:t>
      </w:r>
      <w:r w:rsidRPr="0070060E">
        <w:rPr>
          <w:rFonts w:ascii="Times New Roman" w:hAnsi="Times New Roman" w:cs="Times New Roman"/>
          <w:i/>
          <w:iCs/>
          <w:noProof/>
          <w:sz w:val="20"/>
          <w:szCs w:val="24"/>
        </w:rPr>
        <w:t>A Companion to Museum Studies</w:t>
      </w:r>
      <w:r w:rsidRPr="0070060E">
        <w:rPr>
          <w:rFonts w:ascii="Times New Roman" w:hAnsi="Times New Roman" w:cs="Times New Roman"/>
          <w:noProof/>
          <w:sz w:val="20"/>
          <w:szCs w:val="24"/>
        </w:rPr>
        <w:t>. John Wiley and Sons, pp. 282–301. DOI: 10.1002/9780470996836.ch17.</w:t>
      </w:r>
    </w:p>
    <w:p w14:paraId="6C3B2403"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Hillier B, Leaman A, Stansall P, et al. (1976) Space Syntax. </w:t>
      </w:r>
      <w:r w:rsidRPr="0070060E">
        <w:rPr>
          <w:rFonts w:ascii="Times New Roman" w:hAnsi="Times New Roman" w:cs="Times New Roman"/>
          <w:i/>
          <w:iCs/>
          <w:noProof/>
          <w:sz w:val="20"/>
          <w:szCs w:val="24"/>
        </w:rPr>
        <w:t>Environment and Planning B: Urban Analytics and City Science</w:t>
      </w:r>
      <w:r w:rsidRPr="0070060E">
        <w:rPr>
          <w:rFonts w:ascii="Times New Roman" w:hAnsi="Times New Roman" w:cs="Times New Roman"/>
          <w:noProof/>
          <w:sz w:val="20"/>
          <w:szCs w:val="24"/>
        </w:rPr>
        <w:t xml:space="preserve"> 3(2). SAGE PublicationsSage UK: London, England: 147–185. DOI: 10.1068/b030147.</w:t>
      </w:r>
    </w:p>
    <w:p w14:paraId="33E16BDF"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Hillier B, Penn A, Hanson J, et al. (1993) Natural movement: or, configuration and attraction in urban pedestrian movement. </w:t>
      </w:r>
      <w:r w:rsidRPr="0070060E">
        <w:rPr>
          <w:rFonts w:ascii="Times New Roman" w:hAnsi="Times New Roman" w:cs="Times New Roman"/>
          <w:i/>
          <w:iCs/>
          <w:noProof/>
          <w:sz w:val="20"/>
          <w:szCs w:val="24"/>
        </w:rPr>
        <w:t>Environment &amp; Planning B: Planning &amp; Design</w:t>
      </w:r>
      <w:r w:rsidRPr="0070060E">
        <w:rPr>
          <w:rFonts w:ascii="Times New Roman" w:hAnsi="Times New Roman" w:cs="Times New Roman"/>
          <w:noProof/>
          <w:sz w:val="20"/>
          <w:szCs w:val="24"/>
        </w:rPr>
        <w:t xml:space="preserve"> 20(1). SAGE PublicationsSage UK: London, England: 29–66. DOI: 10.1068/b200029.</w:t>
      </w:r>
    </w:p>
    <w:p w14:paraId="69F40953"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Hölscher C, Brösamle M and Vrachliotis G (2012) Challenges in multilevel wayfinding: A case study with the space syntax technique. </w:t>
      </w:r>
      <w:r w:rsidRPr="0070060E">
        <w:rPr>
          <w:rFonts w:ascii="Times New Roman" w:hAnsi="Times New Roman" w:cs="Times New Roman"/>
          <w:i/>
          <w:iCs/>
          <w:noProof/>
          <w:sz w:val="20"/>
          <w:szCs w:val="24"/>
        </w:rPr>
        <w:t>Environment and Planning B: Planning and Design</w:t>
      </w:r>
      <w:r w:rsidRPr="0070060E">
        <w:rPr>
          <w:rFonts w:ascii="Times New Roman" w:hAnsi="Times New Roman" w:cs="Times New Roman"/>
          <w:noProof/>
          <w:sz w:val="20"/>
          <w:szCs w:val="24"/>
        </w:rPr>
        <w:t xml:space="preserve"> 39(1). Pion Limited: 63–82. DOI: 10.1068/b34050t.</w:t>
      </w:r>
    </w:p>
    <w:p w14:paraId="5216A1A6"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Hu H, Luo Z, Chen Y, et al. (2017) Integration of Space Syntax into Agent­‐Based Pedestrian Simulation in Urban Open Space. In: </w:t>
      </w:r>
      <w:r w:rsidRPr="0070060E">
        <w:rPr>
          <w:rFonts w:ascii="Times New Roman" w:hAnsi="Times New Roman" w:cs="Times New Roman"/>
          <w:i/>
          <w:iCs/>
          <w:noProof/>
          <w:sz w:val="20"/>
          <w:szCs w:val="24"/>
        </w:rPr>
        <w:t>22nd Conference on Computer-Aided Architectural Design Research in Asia (CAADRIA)</w:t>
      </w:r>
      <w:r w:rsidRPr="0070060E">
        <w:rPr>
          <w:rFonts w:ascii="Times New Roman" w:hAnsi="Times New Roman" w:cs="Times New Roman"/>
          <w:noProof/>
          <w:sz w:val="20"/>
          <w:szCs w:val="24"/>
        </w:rPr>
        <w:t>, Suzhou, China, 2017, pp. 5–8.</w:t>
      </w:r>
    </w:p>
    <w:p w14:paraId="494437BE"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Jiang B (2009) Ranking spaces for predicting human movement in an urban environment. </w:t>
      </w:r>
      <w:r w:rsidRPr="0070060E">
        <w:rPr>
          <w:rFonts w:ascii="Times New Roman" w:hAnsi="Times New Roman" w:cs="Times New Roman"/>
          <w:i/>
          <w:iCs/>
          <w:noProof/>
          <w:sz w:val="20"/>
          <w:szCs w:val="24"/>
        </w:rPr>
        <w:t>International Journal of Geographical Information Science</w:t>
      </w:r>
      <w:r w:rsidRPr="0070060E">
        <w:rPr>
          <w:rFonts w:ascii="Times New Roman" w:hAnsi="Times New Roman" w:cs="Times New Roman"/>
          <w:noProof/>
          <w:sz w:val="20"/>
          <w:szCs w:val="24"/>
        </w:rPr>
        <w:t xml:space="preserve"> 23(7).  Taylor &amp; Francis : 823–837. DOI: 10.1080/13658810802022822.</w:t>
      </w:r>
    </w:p>
    <w:p w14:paraId="591B5714"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Jiang B and Claramunt C (2002) Integration of space syntax into GIS: New perspectives for urban morphology. </w:t>
      </w:r>
      <w:r w:rsidRPr="0070060E">
        <w:rPr>
          <w:rFonts w:ascii="Times New Roman" w:hAnsi="Times New Roman" w:cs="Times New Roman"/>
          <w:i/>
          <w:iCs/>
          <w:noProof/>
          <w:sz w:val="20"/>
          <w:szCs w:val="24"/>
        </w:rPr>
        <w:t>Transactions in GIS</w:t>
      </w:r>
      <w:r w:rsidRPr="0070060E">
        <w:rPr>
          <w:rFonts w:ascii="Times New Roman" w:hAnsi="Times New Roman" w:cs="Times New Roman"/>
          <w:noProof/>
          <w:sz w:val="20"/>
          <w:szCs w:val="24"/>
        </w:rPr>
        <w:t xml:space="preserve"> 6(3). Blackwell Publishing Ltd: 295–309. DOI: 10.1111/1467-9671.00112.</w:t>
      </w:r>
    </w:p>
    <w:p w14:paraId="08E8790E"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Jiang B and Liu X (2010) Automatic generation of the axial lines of urban environments to capture what we perceive. </w:t>
      </w:r>
      <w:r w:rsidRPr="0070060E">
        <w:rPr>
          <w:rFonts w:ascii="Times New Roman" w:hAnsi="Times New Roman" w:cs="Times New Roman"/>
          <w:i/>
          <w:iCs/>
          <w:noProof/>
          <w:sz w:val="20"/>
          <w:szCs w:val="24"/>
        </w:rPr>
        <w:t>International Journal of Geographical Information Science</w:t>
      </w:r>
      <w:r w:rsidRPr="0070060E">
        <w:rPr>
          <w:rFonts w:ascii="Times New Roman" w:hAnsi="Times New Roman" w:cs="Times New Roman"/>
          <w:noProof/>
          <w:sz w:val="20"/>
          <w:szCs w:val="24"/>
        </w:rPr>
        <w:t xml:space="preserve"> 24(4).  Taylor &amp; Francis : 545–558. DOI: 10.1080/13658810902950351.</w:t>
      </w:r>
    </w:p>
    <w:p w14:paraId="5978B8F2"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Jiang B and Liu X (2011) Computing the fewest-turn map directions based on the connectivity of natural roads. </w:t>
      </w:r>
      <w:r w:rsidRPr="0070060E">
        <w:rPr>
          <w:rFonts w:ascii="Times New Roman" w:hAnsi="Times New Roman" w:cs="Times New Roman"/>
          <w:i/>
          <w:iCs/>
          <w:noProof/>
          <w:sz w:val="20"/>
          <w:szCs w:val="24"/>
        </w:rPr>
        <w:t>International Journal of Geographical Information Science</w:t>
      </w:r>
      <w:r w:rsidRPr="0070060E">
        <w:rPr>
          <w:rFonts w:ascii="Times New Roman" w:hAnsi="Times New Roman" w:cs="Times New Roman"/>
          <w:noProof/>
          <w:sz w:val="20"/>
          <w:szCs w:val="24"/>
        </w:rPr>
        <w:t xml:space="preserve"> 25(7).  Taylor &amp; Francis : 1069–1082. DOI: 10.1080/13658816.2010.510799.</w:t>
      </w:r>
    </w:p>
    <w:p w14:paraId="075BF1DC"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Jiang B, Zhao S and Yin J (2008) Self-organized natural roads for predicting traffic flow: A sensitivity study. </w:t>
      </w:r>
      <w:r w:rsidRPr="0070060E">
        <w:rPr>
          <w:rFonts w:ascii="Times New Roman" w:hAnsi="Times New Roman" w:cs="Times New Roman"/>
          <w:i/>
          <w:iCs/>
          <w:noProof/>
          <w:sz w:val="20"/>
          <w:szCs w:val="24"/>
        </w:rPr>
        <w:t>Journal of Statistical Mechanics: Theory and Experiment</w:t>
      </w:r>
      <w:r w:rsidRPr="0070060E">
        <w:rPr>
          <w:rFonts w:ascii="Times New Roman" w:hAnsi="Times New Roman" w:cs="Times New Roman"/>
          <w:noProof/>
          <w:sz w:val="20"/>
          <w:szCs w:val="24"/>
        </w:rPr>
        <w:t xml:space="preserve"> 2008(7). IOP Publishing: P07008. DOI: 10.1088/1742-5468/2008/07/P07008.</w:t>
      </w:r>
    </w:p>
    <w:p w14:paraId="6D5A4582"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Jiang H, Li Q, Zhou X, et al. (2017) A collective human mobility analysis method based on data usage detail records. </w:t>
      </w:r>
      <w:r w:rsidRPr="0070060E">
        <w:rPr>
          <w:rFonts w:ascii="Times New Roman" w:hAnsi="Times New Roman" w:cs="Times New Roman"/>
          <w:i/>
          <w:iCs/>
          <w:noProof/>
          <w:sz w:val="20"/>
          <w:szCs w:val="24"/>
        </w:rPr>
        <w:t>International Journal of Geographical Information Science</w:t>
      </w:r>
      <w:r w:rsidRPr="0070060E">
        <w:rPr>
          <w:rFonts w:ascii="Times New Roman" w:hAnsi="Times New Roman" w:cs="Times New Roman"/>
          <w:noProof/>
          <w:sz w:val="20"/>
          <w:szCs w:val="24"/>
        </w:rPr>
        <w:t xml:space="preserve"> 31(12). Taylor and Francis Ltd.: 2359–2381. DOI: 10.1080/13658816.2017.1370715.</w:t>
      </w:r>
    </w:p>
    <w:p w14:paraId="3B297C18"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Jiang J, Metz F, Beck C, et al. (2011) Double power-law degree distribution and informational entropy in urban road networks. </w:t>
      </w:r>
      <w:r w:rsidRPr="0070060E">
        <w:rPr>
          <w:rFonts w:ascii="Times New Roman" w:hAnsi="Times New Roman" w:cs="Times New Roman"/>
          <w:i/>
          <w:iCs/>
          <w:noProof/>
          <w:sz w:val="20"/>
          <w:szCs w:val="24"/>
        </w:rPr>
        <w:t>International Journal of Modern Physics C</w:t>
      </w:r>
      <w:r w:rsidRPr="0070060E">
        <w:rPr>
          <w:rFonts w:ascii="Times New Roman" w:hAnsi="Times New Roman" w:cs="Times New Roman"/>
          <w:noProof/>
          <w:sz w:val="20"/>
          <w:szCs w:val="24"/>
        </w:rPr>
        <w:t xml:space="preserve"> 22(1): 13–20. DOI: 10.1142/S0129183111016075.</w:t>
      </w:r>
    </w:p>
    <w:p w14:paraId="418A85E7"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Kazerani A and Winter S (2009a) Can betweenness centrality explain traffic flow? In: </w:t>
      </w:r>
      <w:r w:rsidRPr="0070060E">
        <w:rPr>
          <w:rFonts w:ascii="Times New Roman" w:hAnsi="Times New Roman" w:cs="Times New Roman"/>
          <w:i/>
          <w:iCs/>
          <w:noProof/>
          <w:sz w:val="20"/>
          <w:szCs w:val="24"/>
        </w:rPr>
        <w:t>Proceedings of the 12th AGILE International</w:t>
      </w:r>
      <w:r w:rsidRPr="0070060E">
        <w:rPr>
          <w:rFonts w:ascii="Times New Roman" w:hAnsi="Times New Roman" w:cs="Times New Roman"/>
          <w:noProof/>
          <w:sz w:val="20"/>
          <w:szCs w:val="24"/>
        </w:rPr>
        <w:t>, 2009, pp. 1–9. DOI: Paper 111.</w:t>
      </w:r>
    </w:p>
    <w:p w14:paraId="7A3FB8F2"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Kazerani A and Winter S (2009b) Modified betweenness centrality for predicting traffic flow. In: </w:t>
      </w:r>
      <w:r w:rsidRPr="0070060E">
        <w:rPr>
          <w:rFonts w:ascii="Times New Roman" w:hAnsi="Times New Roman" w:cs="Times New Roman"/>
          <w:i/>
          <w:iCs/>
          <w:noProof/>
          <w:sz w:val="20"/>
          <w:szCs w:val="24"/>
        </w:rPr>
        <w:t>10th International Conference on GeoComputation, Sydney, Australia</w:t>
      </w:r>
      <w:r w:rsidRPr="0070060E">
        <w:rPr>
          <w:rFonts w:ascii="Times New Roman" w:hAnsi="Times New Roman" w:cs="Times New Roman"/>
          <w:noProof/>
          <w:sz w:val="20"/>
          <w:szCs w:val="24"/>
        </w:rPr>
        <w:t>, Sydney, Australia, 2009.</w:t>
      </w:r>
    </w:p>
    <w:p w14:paraId="79A7076F"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Kivelä M, Arenas A, Barthelemy M, et al. (2014) Multilayer networks. </w:t>
      </w:r>
      <w:r w:rsidRPr="0070060E">
        <w:rPr>
          <w:rFonts w:ascii="Times New Roman" w:hAnsi="Times New Roman" w:cs="Times New Roman"/>
          <w:i/>
          <w:iCs/>
          <w:noProof/>
          <w:sz w:val="20"/>
          <w:szCs w:val="24"/>
        </w:rPr>
        <w:t>Journal of Complex Networks</w:t>
      </w:r>
      <w:r w:rsidRPr="0070060E">
        <w:rPr>
          <w:rFonts w:ascii="Times New Roman" w:hAnsi="Times New Roman" w:cs="Times New Roman"/>
          <w:noProof/>
          <w:sz w:val="20"/>
          <w:szCs w:val="24"/>
        </w:rPr>
        <w:t xml:space="preserve"> 2(3). Oxford University Press: 203–271. DOI: 10.1093/comnet/cnu016.</w:t>
      </w:r>
    </w:p>
    <w:p w14:paraId="17D52058"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Law S, Karimi K, Penn A, et al. (2013) Measuring the influence of spatial configuration on the housing market in metropolitan London. In: </w:t>
      </w:r>
      <w:r w:rsidRPr="0070060E">
        <w:rPr>
          <w:rFonts w:ascii="Times New Roman" w:hAnsi="Times New Roman" w:cs="Times New Roman"/>
          <w:i/>
          <w:iCs/>
          <w:noProof/>
          <w:sz w:val="20"/>
          <w:szCs w:val="24"/>
        </w:rPr>
        <w:t>The Ninth International Space Syntax Symposium</w:t>
      </w:r>
      <w:r w:rsidRPr="0070060E">
        <w:rPr>
          <w:rFonts w:ascii="Times New Roman" w:hAnsi="Times New Roman" w:cs="Times New Roman"/>
          <w:noProof/>
          <w:sz w:val="20"/>
          <w:szCs w:val="24"/>
        </w:rPr>
        <w:t xml:space="preserve"> (eds YO Kim, HT Park, and KW Seo), Seoul, 2013. Sejong University.</w:t>
      </w:r>
    </w:p>
    <w:p w14:paraId="66467C8D"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Lerman Y, Rofè Y and Omer I (2014) Using space syntax to model pedestrian movement in urban transportation planning. </w:t>
      </w:r>
      <w:r w:rsidRPr="0070060E">
        <w:rPr>
          <w:rFonts w:ascii="Times New Roman" w:hAnsi="Times New Roman" w:cs="Times New Roman"/>
          <w:i/>
          <w:iCs/>
          <w:noProof/>
          <w:sz w:val="20"/>
          <w:szCs w:val="24"/>
        </w:rPr>
        <w:t>Geographical Analysis</w:t>
      </w:r>
      <w:r w:rsidRPr="0070060E">
        <w:rPr>
          <w:rFonts w:ascii="Times New Roman" w:hAnsi="Times New Roman" w:cs="Times New Roman"/>
          <w:noProof/>
          <w:sz w:val="20"/>
          <w:szCs w:val="24"/>
        </w:rPr>
        <w:t xml:space="preserve"> 46(4). Blackwell Publishing Inc.: 392–410. DOI: 10.1111/gean.12063.</w:t>
      </w:r>
    </w:p>
    <w:p w14:paraId="392509FC"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Li Y, Xiao L, Ye Y, et al. (2016) Understanding tourist space at a historic site through space syntax analysis: The case of Gulangyu, China. </w:t>
      </w:r>
      <w:r w:rsidRPr="0070060E">
        <w:rPr>
          <w:rFonts w:ascii="Times New Roman" w:hAnsi="Times New Roman" w:cs="Times New Roman"/>
          <w:i/>
          <w:iCs/>
          <w:noProof/>
          <w:sz w:val="20"/>
          <w:szCs w:val="24"/>
        </w:rPr>
        <w:t>Tourism Management</w:t>
      </w:r>
      <w:r w:rsidRPr="0070060E">
        <w:rPr>
          <w:rFonts w:ascii="Times New Roman" w:hAnsi="Times New Roman" w:cs="Times New Roman"/>
          <w:noProof/>
          <w:sz w:val="20"/>
          <w:szCs w:val="24"/>
        </w:rPr>
        <w:t xml:space="preserve"> 52. Elsevier Ltd: 30–43. DOI: </w:t>
      </w:r>
      <w:r w:rsidRPr="0070060E">
        <w:rPr>
          <w:rFonts w:ascii="Times New Roman" w:hAnsi="Times New Roman" w:cs="Times New Roman"/>
          <w:noProof/>
          <w:sz w:val="20"/>
          <w:szCs w:val="24"/>
        </w:rPr>
        <w:lastRenderedPageBreak/>
        <w:t>10.1016/j.tourman.2015.06.008.</w:t>
      </w:r>
    </w:p>
    <w:p w14:paraId="5CFCDD70"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Liu X and Jiang B (2012) Defining and generating axial lines from street center lines for better understanding of urban morphologies. </w:t>
      </w:r>
      <w:r w:rsidRPr="0070060E">
        <w:rPr>
          <w:rFonts w:ascii="Times New Roman" w:hAnsi="Times New Roman" w:cs="Times New Roman"/>
          <w:i/>
          <w:iCs/>
          <w:noProof/>
          <w:sz w:val="20"/>
          <w:szCs w:val="24"/>
        </w:rPr>
        <w:t>International Journal of Geographical Information Science</w:t>
      </w:r>
      <w:r w:rsidRPr="0070060E">
        <w:rPr>
          <w:rFonts w:ascii="Times New Roman" w:hAnsi="Times New Roman" w:cs="Times New Roman"/>
          <w:noProof/>
          <w:sz w:val="20"/>
          <w:szCs w:val="24"/>
        </w:rPr>
        <w:t xml:space="preserve"> 26(8).  Taylor &amp; Francis : 1521–1532. DOI: 10.1080/13658816.2011.643800.</w:t>
      </w:r>
    </w:p>
    <w:p w14:paraId="6BC80A2B"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Liu X, Gong L, Gong Y, et al. (2015) Revealing Travel Patterns and City Structure with Taxi Trip Data. </w:t>
      </w:r>
      <w:r w:rsidRPr="0070060E">
        <w:rPr>
          <w:rFonts w:ascii="Times New Roman" w:hAnsi="Times New Roman" w:cs="Times New Roman"/>
          <w:i/>
          <w:iCs/>
          <w:noProof/>
          <w:sz w:val="20"/>
          <w:szCs w:val="24"/>
        </w:rPr>
        <w:t>Journal of Transport Geography</w:t>
      </w:r>
      <w:r w:rsidRPr="0070060E">
        <w:rPr>
          <w:rFonts w:ascii="Times New Roman" w:hAnsi="Times New Roman" w:cs="Times New Roman"/>
          <w:noProof/>
          <w:sz w:val="20"/>
          <w:szCs w:val="24"/>
        </w:rPr>
        <w:t xml:space="preserve"> 43. Elsevier Ltd: 78–90. DOI: 10.1016/j.jtrangeo.2015.01.016.</w:t>
      </w:r>
    </w:p>
    <w:p w14:paraId="743B16D1"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Liu X, Huang J, Lai J, et al. (2021) Analysis of urban agglomeration structure through spatial network and mobile phone data. </w:t>
      </w:r>
      <w:r w:rsidRPr="0070060E">
        <w:rPr>
          <w:rFonts w:ascii="Times New Roman" w:hAnsi="Times New Roman" w:cs="Times New Roman"/>
          <w:i/>
          <w:iCs/>
          <w:noProof/>
          <w:sz w:val="20"/>
          <w:szCs w:val="24"/>
        </w:rPr>
        <w:t>Transactions in GIS</w:t>
      </w:r>
      <w:r w:rsidRPr="0070060E">
        <w:rPr>
          <w:rFonts w:ascii="Times New Roman" w:hAnsi="Times New Roman" w:cs="Times New Roman"/>
          <w:noProof/>
          <w:sz w:val="20"/>
          <w:szCs w:val="24"/>
        </w:rPr>
        <w:t>. John Wiley &amp; Sons, Ltd: tgis.12755. DOI: 10.1111/tgis.12755.</w:t>
      </w:r>
    </w:p>
    <w:p w14:paraId="19E7523B"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Ma J, Han W, Guo Q, et al. (2016) Traffic dynamics on two-layer complex networks with limited delivering capacity. </w:t>
      </w:r>
      <w:r w:rsidRPr="0070060E">
        <w:rPr>
          <w:rFonts w:ascii="Times New Roman" w:hAnsi="Times New Roman" w:cs="Times New Roman"/>
          <w:i/>
          <w:iCs/>
          <w:noProof/>
          <w:sz w:val="20"/>
          <w:szCs w:val="24"/>
        </w:rPr>
        <w:t>Physica A: Statistical Mechanics and its Applications</w:t>
      </w:r>
      <w:r w:rsidRPr="0070060E">
        <w:rPr>
          <w:rFonts w:ascii="Times New Roman" w:hAnsi="Times New Roman" w:cs="Times New Roman"/>
          <w:noProof/>
          <w:sz w:val="20"/>
          <w:szCs w:val="24"/>
        </w:rPr>
        <w:t xml:space="preserve"> 456. Elsevier B.V.: 281–287. DOI: 10.1016/j.physa.2016.03.092.</w:t>
      </w:r>
    </w:p>
    <w:p w14:paraId="5A4A501D"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Nubani L and Wineman J (2005) The Role of Space Syntax in Identifying the Relationship Between Space and Crime. In: </w:t>
      </w:r>
      <w:r w:rsidRPr="0070060E">
        <w:rPr>
          <w:rFonts w:ascii="Times New Roman" w:hAnsi="Times New Roman" w:cs="Times New Roman"/>
          <w:i/>
          <w:iCs/>
          <w:noProof/>
          <w:sz w:val="20"/>
          <w:szCs w:val="24"/>
        </w:rPr>
        <w:t>5th Space Syntax Symposium on Space Syntax</w:t>
      </w:r>
      <w:r w:rsidRPr="0070060E">
        <w:rPr>
          <w:rFonts w:ascii="Times New Roman" w:hAnsi="Times New Roman" w:cs="Times New Roman"/>
          <w:noProof/>
          <w:sz w:val="20"/>
          <w:szCs w:val="24"/>
        </w:rPr>
        <w:t>, Delft, 2005. TU Delft, Faculty of Architecture.</w:t>
      </w:r>
    </w:p>
    <w:p w14:paraId="6FF04897"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Osmond P (2011) The convex space as the ‘atom’ of urban analysis. </w:t>
      </w:r>
      <w:r w:rsidRPr="0070060E">
        <w:rPr>
          <w:rFonts w:ascii="Times New Roman" w:hAnsi="Times New Roman" w:cs="Times New Roman"/>
          <w:i/>
          <w:iCs/>
          <w:noProof/>
          <w:sz w:val="20"/>
          <w:szCs w:val="24"/>
        </w:rPr>
        <w:t>The Journal of Space Syntax T</w:t>
      </w:r>
      <w:r w:rsidRPr="0070060E">
        <w:rPr>
          <w:rFonts w:ascii="Times New Roman" w:hAnsi="Times New Roman" w:cs="Times New Roman"/>
          <w:noProof/>
          <w:sz w:val="20"/>
          <w:szCs w:val="24"/>
        </w:rPr>
        <w:t xml:space="preserve"> 2(1): 97–114. Available at: http://www.journalofspacesyntax.org/ (accessed 7 June 2021).</w:t>
      </w:r>
    </w:p>
    <w:p w14:paraId="701DC3CF"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Pafka E, Dovey K and Aschwanden GDPA (2020) Limits of space syntax for urban design: Axiality, scale and sinuosity. </w:t>
      </w:r>
      <w:r w:rsidRPr="0070060E">
        <w:rPr>
          <w:rFonts w:ascii="Times New Roman" w:hAnsi="Times New Roman" w:cs="Times New Roman"/>
          <w:i/>
          <w:iCs/>
          <w:noProof/>
          <w:sz w:val="20"/>
          <w:szCs w:val="24"/>
        </w:rPr>
        <w:t>Environment and Planning B: Urban Analytics and City Science</w:t>
      </w:r>
      <w:r w:rsidRPr="0070060E">
        <w:rPr>
          <w:rFonts w:ascii="Times New Roman" w:hAnsi="Times New Roman" w:cs="Times New Roman"/>
          <w:noProof/>
          <w:sz w:val="20"/>
          <w:szCs w:val="24"/>
        </w:rPr>
        <w:t xml:space="preserve"> 47(3). SAGE Publications Ltd: 508–522. DOI: 10.1177/2399808318786512.</w:t>
      </w:r>
    </w:p>
    <w:p w14:paraId="40EDDF40"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Penn A (2003) Space Syntax And Spatial Cognition: Or Why the Axial Line? </w:t>
      </w:r>
      <w:r w:rsidRPr="0070060E">
        <w:rPr>
          <w:rFonts w:ascii="Times New Roman" w:hAnsi="Times New Roman" w:cs="Times New Roman"/>
          <w:i/>
          <w:iCs/>
          <w:noProof/>
          <w:sz w:val="20"/>
          <w:szCs w:val="24"/>
        </w:rPr>
        <w:t>Environment and Behavior</w:t>
      </w:r>
      <w:r w:rsidRPr="0070060E">
        <w:rPr>
          <w:rFonts w:ascii="Times New Roman" w:hAnsi="Times New Roman" w:cs="Times New Roman"/>
          <w:noProof/>
          <w:sz w:val="20"/>
          <w:szCs w:val="24"/>
        </w:rPr>
        <w:t>. SAGE Publications. DOI: 10.1177/0013916502238864.</w:t>
      </w:r>
    </w:p>
    <w:p w14:paraId="009A6841"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Penn A and Turner A (2001) Space syntax based agent simulation. In: </w:t>
      </w:r>
      <w:r w:rsidRPr="0070060E">
        <w:rPr>
          <w:rFonts w:ascii="Times New Roman" w:hAnsi="Times New Roman" w:cs="Times New Roman"/>
          <w:i/>
          <w:iCs/>
          <w:noProof/>
          <w:sz w:val="20"/>
          <w:szCs w:val="24"/>
        </w:rPr>
        <w:t>1st International Conference on Pedestrian and Evacuation Dynamics</w:t>
      </w:r>
      <w:r w:rsidRPr="0070060E">
        <w:rPr>
          <w:rFonts w:ascii="Times New Roman" w:hAnsi="Times New Roman" w:cs="Times New Roman"/>
          <w:noProof/>
          <w:sz w:val="20"/>
          <w:szCs w:val="24"/>
        </w:rPr>
        <w:t>, University of Duisburg, Germany, 2001.</w:t>
      </w:r>
    </w:p>
    <w:p w14:paraId="3E9E3C76"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Penn A, Hillier B, Banister D, et al. (1998) Configurational Modelling of Urban Movement Networks: </w:t>
      </w:r>
      <w:r w:rsidRPr="0070060E">
        <w:rPr>
          <w:rFonts w:ascii="Times New Roman" w:hAnsi="Times New Roman" w:cs="Times New Roman"/>
          <w:i/>
          <w:iCs/>
          <w:noProof/>
          <w:sz w:val="20"/>
          <w:szCs w:val="24"/>
        </w:rPr>
        <w:t>Environment and Planning B: Urban Analytics and City Science</w:t>
      </w:r>
      <w:r w:rsidRPr="0070060E">
        <w:rPr>
          <w:rFonts w:ascii="Times New Roman" w:hAnsi="Times New Roman" w:cs="Times New Roman"/>
          <w:noProof/>
          <w:sz w:val="20"/>
          <w:szCs w:val="24"/>
        </w:rPr>
        <w:t>. SAGE PublicationsSage UK: London, England. DOI: 10.1068/B250059.</w:t>
      </w:r>
    </w:p>
    <w:p w14:paraId="57825335"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Pun L, Zhao P and Liu X (2019) A multiple regression approach for traffic flow estimation. </w:t>
      </w:r>
      <w:r w:rsidRPr="0070060E">
        <w:rPr>
          <w:rFonts w:ascii="Times New Roman" w:hAnsi="Times New Roman" w:cs="Times New Roman"/>
          <w:i/>
          <w:iCs/>
          <w:noProof/>
          <w:sz w:val="20"/>
          <w:szCs w:val="24"/>
        </w:rPr>
        <w:t>IEEE Access</w:t>
      </w:r>
      <w:r w:rsidRPr="0070060E">
        <w:rPr>
          <w:rFonts w:ascii="Times New Roman" w:hAnsi="Times New Roman" w:cs="Times New Roman"/>
          <w:noProof/>
          <w:sz w:val="20"/>
          <w:szCs w:val="24"/>
        </w:rPr>
        <w:t xml:space="preserve"> 7. DOI: 10.1109/ACCESS.2019.2904645.</w:t>
      </w:r>
    </w:p>
    <w:p w14:paraId="3DBF037A"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Ratti C (2004) Space syntax: Some inconsistencies. </w:t>
      </w:r>
      <w:r w:rsidRPr="0070060E">
        <w:rPr>
          <w:rFonts w:ascii="Times New Roman" w:hAnsi="Times New Roman" w:cs="Times New Roman"/>
          <w:i/>
          <w:iCs/>
          <w:noProof/>
          <w:sz w:val="20"/>
          <w:szCs w:val="24"/>
        </w:rPr>
        <w:t>Environment and Planning B: Planning and Design</w:t>
      </w:r>
      <w:r w:rsidRPr="0070060E">
        <w:rPr>
          <w:rFonts w:ascii="Times New Roman" w:hAnsi="Times New Roman" w:cs="Times New Roman"/>
          <w:noProof/>
          <w:sz w:val="20"/>
          <w:szCs w:val="24"/>
        </w:rPr>
        <w:t xml:space="preserve"> 31(4). Pion Limited: 487–499. DOI: 10.1068/b3019.</w:t>
      </w:r>
    </w:p>
    <w:p w14:paraId="63F53663"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Roth C, Kang SM, Batty M, et al. (2011) Structure of urban movements: Polycentric activity and entangled hierarchical flows. </w:t>
      </w:r>
      <w:r w:rsidRPr="0070060E">
        <w:rPr>
          <w:rFonts w:ascii="Times New Roman" w:hAnsi="Times New Roman" w:cs="Times New Roman"/>
          <w:i/>
          <w:iCs/>
          <w:noProof/>
          <w:sz w:val="20"/>
          <w:szCs w:val="24"/>
        </w:rPr>
        <w:t>PLoS ONE</w:t>
      </w:r>
      <w:r w:rsidRPr="0070060E">
        <w:rPr>
          <w:rFonts w:ascii="Times New Roman" w:hAnsi="Times New Roman" w:cs="Times New Roman"/>
          <w:noProof/>
          <w:sz w:val="20"/>
          <w:szCs w:val="24"/>
        </w:rPr>
        <w:t xml:space="preserve"> 6(1). Public Library of Science: 15923. DOI: 10.1371/journal.pone.0015923.</w:t>
      </w:r>
    </w:p>
    <w:p w14:paraId="5134505A"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Senousi AM, Liu X, Zhang J, et al. (2020) An Empirical Analysis of Public Transit Networks Using Smart Card Data in Beijing, China. </w:t>
      </w:r>
      <w:r w:rsidRPr="0070060E">
        <w:rPr>
          <w:rFonts w:ascii="Times New Roman" w:hAnsi="Times New Roman" w:cs="Times New Roman"/>
          <w:i/>
          <w:iCs/>
          <w:noProof/>
          <w:sz w:val="20"/>
          <w:szCs w:val="24"/>
        </w:rPr>
        <w:t>Geocarto International</w:t>
      </w:r>
      <w:r w:rsidRPr="0070060E">
        <w:rPr>
          <w:rFonts w:ascii="Times New Roman" w:hAnsi="Times New Roman" w:cs="Times New Roman"/>
          <w:noProof/>
          <w:sz w:val="20"/>
          <w:szCs w:val="24"/>
        </w:rPr>
        <w:t>. Taylor and Francis Ltd.: 1–21. DOI: 10.1080/10106049.2020.1768594.</w:t>
      </w:r>
    </w:p>
    <w:p w14:paraId="5EFB651C"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Senousi AM, Zhang J, Shi W, et al. (2021) A Proposed Framework for Identification of Indicators to Model High-Frequency Cities. </w:t>
      </w:r>
      <w:r w:rsidRPr="0070060E">
        <w:rPr>
          <w:rFonts w:ascii="Times New Roman" w:hAnsi="Times New Roman" w:cs="Times New Roman"/>
          <w:i/>
          <w:iCs/>
          <w:noProof/>
          <w:sz w:val="20"/>
          <w:szCs w:val="24"/>
        </w:rPr>
        <w:t>ISPRS International Journal of Geo-Information</w:t>
      </w:r>
      <w:r w:rsidRPr="0070060E">
        <w:rPr>
          <w:rFonts w:ascii="Times New Roman" w:hAnsi="Times New Roman" w:cs="Times New Roman"/>
          <w:noProof/>
          <w:sz w:val="20"/>
          <w:szCs w:val="24"/>
        </w:rPr>
        <w:t xml:space="preserve"> 10(5). Multidisciplinary Digital Publishing Institute: 317. DOI: 10.3390/ijgi10050317.</w:t>
      </w:r>
    </w:p>
    <w:p w14:paraId="6D62C9E5"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Tian Z, Jia L, Dong H, et al. (2016) Analysis of urban road traffic network based on complex network. </w:t>
      </w:r>
      <w:r w:rsidRPr="0070060E">
        <w:rPr>
          <w:rFonts w:ascii="Times New Roman" w:hAnsi="Times New Roman" w:cs="Times New Roman"/>
          <w:i/>
          <w:iCs/>
          <w:noProof/>
          <w:sz w:val="20"/>
          <w:szCs w:val="24"/>
        </w:rPr>
        <w:t>Procedia Engineering</w:t>
      </w:r>
      <w:r w:rsidRPr="0070060E">
        <w:rPr>
          <w:rFonts w:ascii="Times New Roman" w:hAnsi="Times New Roman" w:cs="Times New Roman"/>
          <w:noProof/>
          <w:sz w:val="20"/>
          <w:szCs w:val="24"/>
        </w:rPr>
        <w:t xml:space="preserve"> 137. Elsevier: 537–546. DOI: 10.1016/J.PROENG.2016.01.290.</w:t>
      </w:r>
    </w:p>
    <w:p w14:paraId="01E85786"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Turner A (2007) From axial to road-centre lines: A new representation for space syntax and a new model of route choice for transport network analysis. </w:t>
      </w:r>
      <w:r w:rsidRPr="0070060E">
        <w:rPr>
          <w:rFonts w:ascii="Times New Roman" w:hAnsi="Times New Roman" w:cs="Times New Roman"/>
          <w:i/>
          <w:iCs/>
          <w:noProof/>
          <w:sz w:val="20"/>
          <w:szCs w:val="24"/>
        </w:rPr>
        <w:t>Environment and Planning B: Planning and Design</w:t>
      </w:r>
      <w:r w:rsidRPr="0070060E">
        <w:rPr>
          <w:rFonts w:ascii="Times New Roman" w:hAnsi="Times New Roman" w:cs="Times New Roman"/>
          <w:noProof/>
          <w:sz w:val="20"/>
          <w:szCs w:val="24"/>
        </w:rPr>
        <w:t xml:space="preserve"> 34(3). Pion Limited: 539–555. DOI: 10.1068/b32067.</w:t>
      </w:r>
    </w:p>
    <w:p w14:paraId="49725093"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Turner A, Penn A and Hillier B (2005) An algorithmic definition of the axial map. </w:t>
      </w:r>
      <w:r w:rsidRPr="0070060E">
        <w:rPr>
          <w:rFonts w:ascii="Times New Roman" w:hAnsi="Times New Roman" w:cs="Times New Roman"/>
          <w:i/>
          <w:iCs/>
          <w:noProof/>
          <w:sz w:val="20"/>
          <w:szCs w:val="24"/>
        </w:rPr>
        <w:t>Environment and Planning B: Planning and Design</w:t>
      </w:r>
      <w:r w:rsidRPr="0070060E">
        <w:rPr>
          <w:rFonts w:ascii="Times New Roman" w:hAnsi="Times New Roman" w:cs="Times New Roman"/>
          <w:noProof/>
          <w:sz w:val="20"/>
          <w:szCs w:val="24"/>
        </w:rPr>
        <w:t xml:space="preserve"> 32(3). Pion Limited: 425–444. DOI: 10.1068/b31097.</w:t>
      </w:r>
    </w:p>
    <w:p w14:paraId="4189E747"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Wang S, Zheng L and Yu D (2017) The improved degree of urban road traffic network: A case study of Xiamen, China. </w:t>
      </w:r>
      <w:r w:rsidRPr="0070060E">
        <w:rPr>
          <w:rFonts w:ascii="Times New Roman" w:hAnsi="Times New Roman" w:cs="Times New Roman"/>
          <w:i/>
          <w:iCs/>
          <w:noProof/>
          <w:sz w:val="20"/>
          <w:szCs w:val="24"/>
        </w:rPr>
        <w:t>Physica A: Statistical Mechanics and its Applications</w:t>
      </w:r>
      <w:r w:rsidRPr="0070060E">
        <w:rPr>
          <w:rFonts w:ascii="Times New Roman" w:hAnsi="Times New Roman" w:cs="Times New Roman"/>
          <w:noProof/>
          <w:sz w:val="20"/>
          <w:szCs w:val="24"/>
        </w:rPr>
        <w:t xml:space="preserve"> 469. North-Holland: 256–264. DOI: 10.1016/j.physa.2016.11.090.</w:t>
      </w:r>
    </w:p>
    <w:p w14:paraId="627A7166"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Yang T (2016) Thinking Aloud on Space Syntax Research. </w:t>
      </w:r>
      <w:r w:rsidRPr="0070060E">
        <w:rPr>
          <w:rFonts w:ascii="Times New Roman" w:hAnsi="Times New Roman" w:cs="Times New Roman"/>
          <w:i/>
          <w:iCs/>
          <w:noProof/>
          <w:sz w:val="20"/>
          <w:szCs w:val="24"/>
        </w:rPr>
        <w:t>Urban Design</w:t>
      </w:r>
      <w:r w:rsidRPr="0070060E">
        <w:rPr>
          <w:rFonts w:ascii="Times New Roman" w:hAnsi="Times New Roman" w:cs="Times New Roman"/>
          <w:noProof/>
          <w:sz w:val="20"/>
          <w:szCs w:val="24"/>
        </w:rPr>
        <w:t xml:space="preserve"> 1(003): 22–31.</w:t>
      </w:r>
    </w:p>
    <w:p w14:paraId="0E5D3165"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Ye P, Wu B and Fan W (2016) Modified betweenness-based measure for prediction of traffic flow on urban roads. </w:t>
      </w:r>
      <w:r w:rsidRPr="0070060E">
        <w:rPr>
          <w:rFonts w:ascii="Times New Roman" w:hAnsi="Times New Roman" w:cs="Times New Roman"/>
          <w:i/>
          <w:iCs/>
          <w:noProof/>
          <w:sz w:val="20"/>
          <w:szCs w:val="24"/>
        </w:rPr>
        <w:t>Transportation Research Record: Journal of the Transportation Research Board</w:t>
      </w:r>
      <w:r w:rsidRPr="0070060E">
        <w:rPr>
          <w:rFonts w:ascii="Times New Roman" w:hAnsi="Times New Roman" w:cs="Times New Roman"/>
          <w:noProof/>
          <w:sz w:val="20"/>
          <w:szCs w:val="24"/>
        </w:rPr>
        <w:t xml:space="preserve"> 2563(1). SAGE PublicationsSage CA: Los Angeles, CA: 144–150. DOI: 10.3141/2563-19.</w:t>
      </w:r>
    </w:p>
    <w:p w14:paraId="283CB347"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Zhang Y and Wang J (2004) Re-exploration of Space Syntax. </w:t>
      </w:r>
      <w:r w:rsidRPr="0070060E">
        <w:rPr>
          <w:rFonts w:ascii="Times New Roman" w:hAnsi="Times New Roman" w:cs="Times New Roman"/>
          <w:i/>
          <w:iCs/>
          <w:noProof/>
          <w:sz w:val="20"/>
          <w:szCs w:val="24"/>
        </w:rPr>
        <w:t>The Architect</w:t>
      </w:r>
      <w:r w:rsidRPr="0070060E">
        <w:rPr>
          <w:rFonts w:ascii="Times New Roman" w:hAnsi="Times New Roman" w:cs="Times New Roman"/>
          <w:noProof/>
          <w:sz w:val="20"/>
          <w:szCs w:val="24"/>
        </w:rPr>
        <w:t xml:space="preserve"> 3: 33–44.</w:t>
      </w:r>
    </w:p>
    <w:p w14:paraId="3BB67E7D" w14:textId="7777777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Zhao S, Zhao P and Cui Y (2017) A network centrality measure framework for analyzing urban traffic flow: A case study of Wuhan, China. </w:t>
      </w:r>
      <w:r w:rsidRPr="0070060E">
        <w:rPr>
          <w:rFonts w:ascii="Times New Roman" w:hAnsi="Times New Roman" w:cs="Times New Roman"/>
          <w:i/>
          <w:iCs/>
          <w:noProof/>
          <w:sz w:val="20"/>
          <w:szCs w:val="24"/>
        </w:rPr>
        <w:t>Physica A: Statistical Mechanics and its Applications</w:t>
      </w:r>
      <w:r w:rsidRPr="0070060E">
        <w:rPr>
          <w:rFonts w:ascii="Times New Roman" w:hAnsi="Times New Roman" w:cs="Times New Roman"/>
          <w:noProof/>
          <w:sz w:val="20"/>
          <w:szCs w:val="24"/>
        </w:rPr>
        <w:t xml:space="preserve"> 478. Elsevier B.V.: 143–157. DOI: 10.1016/j.physa.2017.02.069.</w:t>
      </w:r>
    </w:p>
    <w:p w14:paraId="631F5720" w14:textId="4F8964C7" w:rsidR="00841940" w:rsidRPr="0070060E" w:rsidRDefault="00841940" w:rsidP="00841940">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70060E">
        <w:rPr>
          <w:rFonts w:ascii="Times New Roman" w:hAnsi="Times New Roman" w:cs="Times New Roman"/>
          <w:noProof/>
          <w:sz w:val="20"/>
          <w:szCs w:val="24"/>
        </w:rPr>
        <w:t xml:space="preserve">Zhong C, Arisona SM, Huang X, et al. (2014) Detecting the dynamics of urban structure through spatial network </w:t>
      </w:r>
      <w:r w:rsidRPr="0070060E">
        <w:rPr>
          <w:rFonts w:ascii="Times New Roman" w:hAnsi="Times New Roman" w:cs="Times New Roman"/>
          <w:noProof/>
          <w:sz w:val="20"/>
          <w:szCs w:val="24"/>
        </w:rPr>
        <w:lastRenderedPageBreak/>
        <w:t xml:space="preserve">analysis. </w:t>
      </w:r>
      <w:r w:rsidRPr="0070060E">
        <w:rPr>
          <w:rFonts w:ascii="Times New Roman" w:hAnsi="Times New Roman" w:cs="Times New Roman"/>
          <w:i/>
          <w:iCs/>
          <w:noProof/>
          <w:sz w:val="20"/>
          <w:szCs w:val="24"/>
        </w:rPr>
        <w:t>International Journal of Geographical Information Science</w:t>
      </w:r>
      <w:r w:rsidRPr="0070060E">
        <w:rPr>
          <w:rFonts w:ascii="Times New Roman" w:hAnsi="Times New Roman" w:cs="Times New Roman"/>
          <w:noProof/>
          <w:sz w:val="20"/>
          <w:szCs w:val="24"/>
        </w:rPr>
        <w:t xml:space="preserve"> 28(11). Taylor &amp; Francis: 2178–2199. DOI: 10.1080/13658816.2014.914521.</w:t>
      </w:r>
    </w:p>
    <w:p w14:paraId="4FF22001" w14:textId="0F8439DD" w:rsidR="00C53C25" w:rsidRPr="0070060E" w:rsidRDefault="00841940" w:rsidP="005D7C78">
      <w:pPr>
        <w:rPr>
          <w:rFonts w:ascii="Times New Roman" w:hAnsi="Times New Roman" w:cs="Times New Roman"/>
          <w:sz w:val="24"/>
          <w:szCs w:val="24"/>
          <w:shd w:val="clear" w:color="auto" w:fill="FFFFFF"/>
          <w:lang w:val="nb-NO"/>
        </w:rPr>
      </w:pPr>
      <w:r w:rsidRPr="0070060E">
        <w:rPr>
          <w:rFonts w:ascii="Times New Roman" w:hAnsi="Times New Roman" w:cs="Times New Roman"/>
          <w:noProof/>
          <w:sz w:val="20"/>
          <w:szCs w:val="24"/>
        </w:rPr>
        <w:br w:type="page"/>
      </w:r>
      <w:r w:rsidR="001C2862" w:rsidRPr="0070060E">
        <w:rPr>
          <w:rFonts w:asciiTheme="majorBidi" w:hAnsiTheme="majorBidi" w:cstheme="majorBidi"/>
          <w:sz w:val="20"/>
          <w:szCs w:val="20"/>
        </w:rPr>
        <w:fldChar w:fldCharType="end"/>
      </w:r>
      <w:bookmarkStart w:id="0" w:name="_GoBack"/>
      <w:bookmarkEnd w:id="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0060E" w:rsidRPr="0070060E" w14:paraId="262A5155" w14:textId="77777777" w:rsidTr="00926BA3">
        <w:trPr>
          <w:jc w:val="center"/>
        </w:trPr>
        <w:tc>
          <w:tcPr>
            <w:tcW w:w="4675" w:type="dxa"/>
          </w:tcPr>
          <w:p w14:paraId="51C0B7C0" w14:textId="46456ECD" w:rsidR="008C3296" w:rsidRPr="0070060E" w:rsidRDefault="00721C7C" w:rsidP="004E6BF6">
            <w:pPr>
              <w:rPr>
                <w:rFonts w:ascii="Times New Roman" w:hAnsi="Times New Roman" w:cs="Times New Roman"/>
                <w:sz w:val="24"/>
                <w:szCs w:val="24"/>
              </w:rPr>
            </w:pPr>
            <w:r w:rsidRPr="0070060E">
              <w:rPr>
                <w:rFonts w:ascii="Times New Roman" w:hAnsi="Times New Roman" w:cs="Times New Roman"/>
                <w:noProof/>
                <w:sz w:val="24"/>
                <w:szCs w:val="24"/>
                <w:lang w:eastAsia="en-US"/>
              </w:rPr>
              <w:lastRenderedPageBreak/>
              <mc:AlternateContent>
                <mc:Choice Requires="wps">
                  <w:drawing>
                    <wp:anchor distT="0" distB="0" distL="114300" distR="114300" simplePos="0" relativeHeight="251658240" behindDoc="0" locked="0" layoutInCell="1" allowOverlap="1" wp14:anchorId="3DDA015C" wp14:editId="0E494AFC">
                      <wp:simplePos x="0" y="0"/>
                      <wp:positionH relativeFrom="column">
                        <wp:posOffset>2353087</wp:posOffset>
                      </wp:positionH>
                      <wp:positionV relativeFrom="paragraph">
                        <wp:posOffset>807085</wp:posOffset>
                      </wp:positionV>
                      <wp:extent cx="1009935" cy="730393"/>
                      <wp:effectExtent l="0" t="0" r="0" b="0"/>
                      <wp:wrapNone/>
                      <wp:docPr id="2" name="Text Box 2"/>
                      <wp:cNvGraphicFramePr/>
                      <a:graphic xmlns:a="http://schemas.openxmlformats.org/drawingml/2006/main">
                        <a:graphicData uri="http://schemas.microsoft.com/office/word/2010/wordprocessingShape">
                          <wps:wsp>
                            <wps:cNvSpPr txBox="1"/>
                            <wps:spPr>
                              <a:xfrm>
                                <a:off x="0" y="0"/>
                                <a:ext cx="1009935" cy="730393"/>
                              </a:xfrm>
                              <a:prstGeom prst="rect">
                                <a:avLst/>
                              </a:prstGeom>
                              <a:noFill/>
                              <a:ln w="6350">
                                <a:noFill/>
                              </a:ln>
                            </wps:spPr>
                            <wps:txbx>
                              <w:txbxContent>
                                <w:p w14:paraId="5CAF6142" w14:textId="1B20E417" w:rsidR="00B7136A" w:rsidRDefault="00B7136A">
                                  <w:r>
                                    <w:rPr>
                                      <w:noProof/>
                                      <w:lang w:eastAsia="en-US"/>
                                    </w:rPr>
                                    <w:drawing>
                                      <wp:inline distT="0" distB="0" distL="0" distR="0" wp14:anchorId="696B15D8" wp14:editId="6202A92C">
                                        <wp:extent cx="784860" cy="6826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4860" cy="682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DA015C" id="_x0000_t202" coordsize="21600,21600" o:spt="202" path="m,l,21600r21600,l21600,xe">
                      <v:stroke joinstyle="miter"/>
                      <v:path gradientshapeok="t" o:connecttype="rect"/>
                    </v:shapetype>
                    <v:shape id="Text Box 2" o:spid="_x0000_s1026" type="#_x0000_t202" style="position:absolute;margin-left:185.3pt;margin-top:63.55pt;width:79.5pt;height: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" filled="f" stroked="f" strokeweight=".5pt">
                      <v:textbox>
                        <w:txbxContent>
                          <w:p w14:paraId="5CAF6142" w14:textId="1B20E417" w:rsidR="00B7136A" w:rsidRDefault="00B7136A">
                            <w:r>
                              <w:rPr>
                                <w:noProof/>
                                <w:lang w:eastAsia="en-US"/>
                              </w:rPr>
                              <w:drawing>
                                <wp:inline distT="0" distB="0" distL="0" distR="0" wp14:anchorId="696B15D8" wp14:editId="6202A92C">
                                  <wp:extent cx="784860" cy="6826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4860" cy="682625"/>
                                          </a:xfrm>
                                          <a:prstGeom prst="rect">
                                            <a:avLst/>
                                          </a:prstGeom>
                                          <a:noFill/>
                                          <a:ln>
                                            <a:noFill/>
                                          </a:ln>
                                        </pic:spPr>
                                      </pic:pic>
                                    </a:graphicData>
                                  </a:graphic>
                                </wp:inline>
                              </w:drawing>
                            </w:r>
                          </w:p>
                        </w:txbxContent>
                      </v:textbox>
                    </v:shape>
                  </w:pict>
                </mc:Fallback>
              </mc:AlternateContent>
            </w:r>
            <w:r w:rsidR="008C3296" w:rsidRPr="0070060E">
              <w:rPr>
                <w:rFonts w:ascii="Times New Roman" w:hAnsi="Times New Roman" w:cs="Times New Roman"/>
                <w:noProof/>
                <w:sz w:val="24"/>
                <w:szCs w:val="24"/>
                <w:lang w:eastAsia="en-US"/>
              </w:rPr>
              <w:drawing>
                <wp:inline distT="0" distB="0" distL="0" distR="0" wp14:anchorId="1E4FBF4C" wp14:editId="2CCE70ED">
                  <wp:extent cx="2556000" cy="1412140"/>
                  <wp:effectExtent l="0" t="0" r="0" b="0"/>
                  <wp:docPr id="20504" name="Picture 20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 name="Picture 5"/>
                          <pic:cNvPicPr>
                            <a:picLocks noChangeAspect="1"/>
                          </pic:cNvPicPr>
                        </pic:nvPicPr>
                        <pic:blipFill>
                          <a:blip r:embed="rId12" cstate="print">
                            <a:extLst>
                              <a:ext uri="{28A0092B-C50C-407E-A947-70E740481C1C}">
                                <a14:useLocalDpi xmlns:a14="http://schemas.microsoft.com/office/drawing/2010/main" val="0"/>
                              </a:ext>
                            </a:extLst>
                          </a:blip>
                          <a:srcRect l="3691" t="8894" r="3854" b="11266"/>
                          <a:stretch>
                            <a:fillRect/>
                          </a:stretch>
                        </pic:blipFill>
                        <pic:spPr bwMode="auto">
                          <a:xfrm>
                            <a:off x="0" y="0"/>
                            <a:ext cx="2556000" cy="1412140"/>
                          </a:xfrm>
                          <a:prstGeom prst="rect">
                            <a:avLst/>
                          </a:prstGeom>
                          <a:noFill/>
                          <a:ln>
                            <a:noFill/>
                          </a:ln>
                        </pic:spPr>
                      </pic:pic>
                    </a:graphicData>
                  </a:graphic>
                </wp:inline>
              </w:drawing>
            </w:r>
          </w:p>
        </w:tc>
        <w:tc>
          <w:tcPr>
            <w:tcW w:w="4675" w:type="dxa"/>
          </w:tcPr>
          <w:p w14:paraId="6956132B" w14:textId="546DB401" w:rsidR="008C3296" w:rsidRPr="0070060E" w:rsidRDefault="008C3296" w:rsidP="004E6BF6">
            <w:pPr>
              <w:jc w:val="right"/>
              <w:rPr>
                <w:rFonts w:ascii="Times New Roman" w:hAnsi="Times New Roman" w:cs="Times New Roman"/>
                <w:sz w:val="24"/>
                <w:szCs w:val="24"/>
              </w:rPr>
            </w:pPr>
            <w:r w:rsidRPr="0070060E">
              <w:rPr>
                <w:rFonts w:ascii="Times New Roman" w:hAnsi="Times New Roman" w:cs="Times New Roman"/>
                <w:noProof/>
                <w:sz w:val="24"/>
                <w:szCs w:val="24"/>
                <w:lang w:eastAsia="en-US"/>
              </w:rPr>
              <w:drawing>
                <wp:inline distT="0" distB="0" distL="0" distR="0" wp14:anchorId="27C1978C" wp14:editId="06CF039A">
                  <wp:extent cx="2553304" cy="1406392"/>
                  <wp:effectExtent l="0" t="0" r="0" b="3810"/>
                  <wp:docPr id="20500" name="Picture 2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 name="Picture 9"/>
                          <pic:cNvPicPr>
                            <a:picLocks noChangeAspect="1"/>
                          </pic:cNvPicPr>
                        </pic:nvPicPr>
                        <pic:blipFill>
                          <a:blip r:embed="rId13" cstate="print">
                            <a:extLst>
                              <a:ext uri="{28A0092B-C50C-407E-A947-70E740481C1C}">
                                <a14:useLocalDpi xmlns:a14="http://schemas.microsoft.com/office/drawing/2010/main" val="0"/>
                              </a:ext>
                            </a:extLst>
                          </a:blip>
                          <a:srcRect l="3604" t="10506" r="4121" b="9656"/>
                          <a:stretch>
                            <a:fillRect/>
                          </a:stretch>
                        </pic:blipFill>
                        <pic:spPr bwMode="auto">
                          <a:xfrm>
                            <a:off x="0" y="0"/>
                            <a:ext cx="2569938" cy="1415554"/>
                          </a:xfrm>
                          <a:prstGeom prst="rect">
                            <a:avLst/>
                          </a:prstGeom>
                          <a:noFill/>
                          <a:ln>
                            <a:noFill/>
                          </a:ln>
                        </pic:spPr>
                      </pic:pic>
                    </a:graphicData>
                  </a:graphic>
                </wp:inline>
              </w:drawing>
            </w:r>
          </w:p>
        </w:tc>
      </w:tr>
      <w:tr w:rsidR="0070060E" w:rsidRPr="0070060E" w14:paraId="7A7F7B71" w14:textId="77777777" w:rsidTr="00926BA3">
        <w:trPr>
          <w:jc w:val="center"/>
        </w:trPr>
        <w:tc>
          <w:tcPr>
            <w:tcW w:w="4675" w:type="dxa"/>
          </w:tcPr>
          <w:p w14:paraId="407EF542" w14:textId="239B5F45" w:rsidR="008C3296" w:rsidRPr="0070060E" w:rsidRDefault="008C3296" w:rsidP="004E6BF6">
            <w:pPr>
              <w:jc w:val="center"/>
              <w:rPr>
                <w:rFonts w:ascii="Times New Roman" w:hAnsi="Times New Roman" w:cs="Times New Roman"/>
                <w:sz w:val="24"/>
                <w:szCs w:val="24"/>
              </w:rPr>
            </w:pPr>
            <w:r w:rsidRPr="0070060E">
              <w:rPr>
                <w:rFonts w:ascii="Times New Roman" w:hAnsi="Times New Roman" w:cs="Times New Roman" w:hint="eastAsia"/>
                <w:sz w:val="24"/>
                <w:szCs w:val="24"/>
              </w:rPr>
              <w:t>(a)</w:t>
            </w:r>
          </w:p>
        </w:tc>
        <w:tc>
          <w:tcPr>
            <w:tcW w:w="4675" w:type="dxa"/>
          </w:tcPr>
          <w:p w14:paraId="6193B479" w14:textId="06FD5B7A" w:rsidR="008C3296" w:rsidRPr="0070060E" w:rsidRDefault="00926BA3" w:rsidP="004E6BF6">
            <w:pPr>
              <w:jc w:val="center"/>
              <w:rPr>
                <w:rFonts w:ascii="Times New Roman" w:hAnsi="Times New Roman" w:cs="Times New Roman"/>
                <w:sz w:val="24"/>
                <w:szCs w:val="24"/>
              </w:rPr>
            </w:pPr>
            <w:r w:rsidRPr="0070060E">
              <w:rPr>
                <w:rFonts w:ascii="Times New Roman" w:hAnsi="Times New Roman" w:cs="Times New Roman"/>
                <w:sz w:val="24"/>
                <w:szCs w:val="24"/>
              </w:rPr>
              <w:t xml:space="preserve">              </w:t>
            </w:r>
            <w:r w:rsidR="008C3296" w:rsidRPr="0070060E">
              <w:rPr>
                <w:rFonts w:ascii="Times New Roman" w:hAnsi="Times New Roman" w:cs="Times New Roman" w:hint="eastAsia"/>
                <w:sz w:val="24"/>
                <w:szCs w:val="24"/>
              </w:rPr>
              <w:t>(b)</w:t>
            </w:r>
          </w:p>
        </w:tc>
      </w:tr>
    </w:tbl>
    <w:p w14:paraId="11BD6A7E" w14:textId="16ABF988" w:rsidR="008C3296" w:rsidRPr="0070060E" w:rsidRDefault="008C3296" w:rsidP="00A74B1D">
      <w:pPr>
        <w:spacing w:after="0" w:line="240" w:lineRule="auto"/>
        <w:jc w:val="center"/>
        <w:rPr>
          <w:rFonts w:ascii="Times New Roman" w:hAnsi="Times New Roman" w:cs="Times New Roman"/>
          <w:sz w:val="24"/>
          <w:szCs w:val="24"/>
        </w:rPr>
      </w:pPr>
      <w:r w:rsidRPr="0070060E">
        <w:rPr>
          <w:rFonts w:ascii="Times New Roman" w:hAnsi="Times New Roman" w:cs="Times New Roman"/>
          <w:sz w:val="24"/>
          <w:szCs w:val="24"/>
        </w:rPr>
        <w:t xml:space="preserve">Figure </w:t>
      </w:r>
      <w:r w:rsidR="00694F4D" w:rsidRPr="0070060E">
        <w:rPr>
          <w:rFonts w:ascii="Times New Roman" w:hAnsi="Times New Roman" w:cs="Times New Roman"/>
          <w:sz w:val="24"/>
          <w:szCs w:val="24"/>
        </w:rPr>
        <w:t>S</w:t>
      </w:r>
      <w:r w:rsidRPr="0070060E">
        <w:rPr>
          <w:rFonts w:ascii="Times New Roman" w:hAnsi="Times New Roman" w:cs="Times New Roman"/>
          <w:sz w:val="24"/>
          <w:szCs w:val="24"/>
        </w:rPr>
        <w:t xml:space="preserve">1. </w:t>
      </w:r>
      <w:r w:rsidR="00926BA3" w:rsidRPr="0070060E">
        <w:rPr>
          <w:rFonts w:ascii="Times New Roman" w:hAnsi="Times New Roman" w:cs="Times New Roman"/>
          <w:sz w:val="24"/>
          <w:szCs w:val="24"/>
        </w:rPr>
        <w:t>Space syntax example</w:t>
      </w:r>
      <w:r w:rsidR="008D4145" w:rsidRPr="0070060E">
        <w:rPr>
          <w:rFonts w:ascii="Times New Roman" w:hAnsi="Times New Roman" w:cs="Times New Roman"/>
          <w:sz w:val="24"/>
          <w:szCs w:val="24"/>
        </w:rPr>
        <w:t xml:space="preserve"> in 2D space:</w:t>
      </w:r>
      <w:r w:rsidR="00926BA3" w:rsidRPr="0070060E">
        <w:rPr>
          <w:rFonts w:ascii="Times New Roman" w:hAnsi="Times New Roman" w:cs="Times New Roman"/>
          <w:sz w:val="24"/>
          <w:szCs w:val="24"/>
        </w:rPr>
        <w:t xml:space="preserve"> (a) Gassin town in south France</w:t>
      </w:r>
      <w:r w:rsidR="00147239" w:rsidRPr="0070060E">
        <w:rPr>
          <w:rFonts w:ascii="Times New Roman" w:hAnsi="Times New Roman" w:cs="Times New Roman"/>
          <w:sz w:val="24"/>
          <w:szCs w:val="24"/>
        </w:rPr>
        <w:t>, where the irregular polygons are buildings, and the counterpart geographic space in light blue</w:t>
      </w:r>
      <w:r w:rsidR="00A74B1D" w:rsidRPr="0070060E">
        <w:rPr>
          <w:rFonts w:ascii="Times New Roman" w:hAnsi="Times New Roman" w:cs="Times New Roman"/>
          <w:sz w:val="24"/>
          <w:szCs w:val="24"/>
        </w:rPr>
        <w:t>,</w:t>
      </w:r>
      <w:r w:rsidR="00926BA3" w:rsidRPr="0070060E">
        <w:rPr>
          <w:rFonts w:ascii="Times New Roman" w:hAnsi="Times New Roman" w:cs="Times New Roman"/>
          <w:sz w:val="24"/>
          <w:szCs w:val="24"/>
        </w:rPr>
        <w:t xml:space="preserve"> (b) </w:t>
      </w:r>
      <w:r w:rsidR="00A74B1D" w:rsidRPr="0070060E">
        <w:rPr>
          <w:rFonts w:ascii="Times New Roman" w:hAnsi="Times New Roman" w:cs="Times New Roman"/>
          <w:sz w:val="24"/>
          <w:szCs w:val="24"/>
        </w:rPr>
        <w:t>t</w:t>
      </w:r>
      <w:r w:rsidR="008D4145" w:rsidRPr="0070060E">
        <w:rPr>
          <w:rFonts w:ascii="Times New Roman" w:hAnsi="Times New Roman" w:cs="Times New Roman"/>
          <w:sz w:val="24"/>
          <w:szCs w:val="24"/>
        </w:rPr>
        <w:t>he</w:t>
      </w:r>
      <w:r w:rsidR="00926BA3" w:rsidRPr="0070060E">
        <w:rPr>
          <w:rFonts w:ascii="Times New Roman" w:hAnsi="Times New Roman" w:cs="Times New Roman"/>
          <w:sz w:val="24"/>
          <w:szCs w:val="24"/>
        </w:rPr>
        <w:t xml:space="preserve"> axial lines</w:t>
      </w:r>
      <w:r w:rsidR="00A74B1D" w:rsidRPr="0070060E">
        <w:rPr>
          <w:rFonts w:ascii="Times New Roman" w:hAnsi="Times New Roman" w:cs="Times New Roman"/>
          <w:sz w:val="24"/>
          <w:szCs w:val="24"/>
        </w:rPr>
        <w:t>/map</w:t>
      </w:r>
      <w:r w:rsidR="00147239" w:rsidRPr="0070060E">
        <w:rPr>
          <w:rFonts w:ascii="Times New Roman" w:hAnsi="Times New Roman" w:cs="Times New Roman"/>
          <w:sz w:val="24"/>
          <w:szCs w:val="24"/>
        </w:rPr>
        <w:t xml:space="preserve"> in black.</w:t>
      </w:r>
    </w:p>
    <w:p w14:paraId="6514A857" w14:textId="1E349A35" w:rsidR="00493D5B" w:rsidRPr="0070060E" w:rsidRDefault="00C17877" w:rsidP="00333F40">
      <w:pPr>
        <w:spacing w:after="0" w:line="240" w:lineRule="auto"/>
        <w:jc w:val="both"/>
        <w:rPr>
          <w:rFonts w:ascii="Times New Roman" w:hAnsi="Times New Roman" w:cs="Times New Roman"/>
          <w:sz w:val="24"/>
        </w:rPr>
      </w:pPr>
      <w:r w:rsidRPr="0070060E">
        <w:rPr>
          <w:rFonts w:ascii="Times New Roman" w:hAnsi="Times New Roman" w:cs="Times New Roman"/>
          <w:noProof/>
          <w:sz w:val="24"/>
          <w:lang w:eastAsia="en-US"/>
        </w:rPr>
        <mc:AlternateContent>
          <mc:Choice Requires="wpg">
            <w:drawing>
              <wp:anchor distT="0" distB="0" distL="114300" distR="114300" simplePos="0" relativeHeight="251658241" behindDoc="0" locked="0" layoutInCell="1" allowOverlap="1" wp14:anchorId="72673EEC" wp14:editId="798E4F65">
                <wp:simplePos x="0" y="0"/>
                <wp:positionH relativeFrom="column">
                  <wp:posOffset>1498600</wp:posOffset>
                </wp:positionH>
                <wp:positionV relativeFrom="paragraph">
                  <wp:posOffset>110964</wp:posOffset>
                </wp:positionV>
                <wp:extent cx="2971372" cy="2258060"/>
                <wp:effectExtent l="0" t="0" r="0" b="0"/>
                <wp:wrapNone/>
                <wp:docPr id="20" name="Group 20"/>
                <wp:cNvGraphicFramePr/>
                <a:graphic xmlns:a="http://schemas.openxmlformats.org/drawingml/2006/main">
                  <a:graphicData uri="http://schemas.microsoft.com/office/word/2010/wordprocessingGroup">
                    <wpg:wgp>
                      <wpg:cNvGrpSpPr/>
                      <wpg:grpSpPr>
                        <a:xfrm>
                          <a:off x="0" y="0"/>
                          <a:ext cx="2971372" cy="2258060"/>
                          <a:chOff x="0" y="0"/>
                          <a:chExt cx="2971372" cy="2258060"/>
                        </a:xfrm>
                      </wpg:grpSpPr>
                      <wpg:grpSp>
                        <wpg:cNvPr id="3" name="Group 3"/>
                        <wpg:cNvGrpSpPr/>
                        <wpg:grpSpPr>
                          <a:xfrm>
                            <a:off x="0" y="0"/>
                            <a:ext cx="2971372" cy="2258060"/>
                            <a:chOff x="0" y="0"/>
                            <a:chExt cx="2971839" cy="2258547"/>
                          </a:xfrm>
                        </wpg:grpSpPr>
                        <wpg:grpSp>
                          <wpg:cNvPr id="53" name="Group 53"/>
                          <wpg:cNvGrpSpPr/>
                          <wpg:grpSpPr>
                            <a:xfrm>
                              <a:off x="314554" y="51207"/>
                              <a:ext cx="2493645" cy="1988185"/>
                              <a:chOff x="0" y="-102001"/>
                              <a:chExt cx="1697328" cy="1404000"/>
                            </a:xfrm>
                          </wpg:grpSpPr>
                          <wps:wsp>
                            <wps:cNvPr id="29" name="Straight Connector 29"/>
                            <wps:cNvCnPr/>
                            <wps:spPr>
                              <a:xfrm>
                                <a:off x="28845" y="265378"/>
                                <a:ext cx="1668483" cy="0"/>
                              </a:xfrm>
                              <a:prstGeom prst="line">
                                <a:avLst/>
                              </a:prstGeom>
                              <a:ln w="22225"/>
                            </wps:spPr>
                            <wps:style>
                              <a:lnRef idx="1">
                                <a:schemeClr val="dk1"/>
                              </a:lnRef>
                              <a:fillRef idx="0">
                                <a:schemeClr val="dk1"/>
                              </a:fillRef>
                              <a:effectRef idx="0">
                                <a:schemeClr val="dk1"/>
                              </a:effectRef>
                              <a:fontRef idx="minor">
                                <a:schemeClr val="tx1"/>
                              </a:fontRef>
                            </wps:style>
                            <wps:bodyPr/>
                          </wps:wsp>
                          <wps:wsp>
                            <wps:cNvPr id="30" name="Straight Connector 30"/>
                            <wps:cNvCnPr/>
                            <wps:spPr>
                              <a:xfrm>
                                <a:off x="28845" y="640369"/>
                                <a:ext cx="1668483" cy="0"/>
                              </a:xfrm>
                              <a:prstGeom prst="line">
                                <a:avLst/>
                              </a:prstGeom>
                              <a:ln w="22225"/>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a:off x="0" y="1018244"/>
                                <a:ext cx="1668145" cy="0"/>
                              </a:xfrm>
                              <a:prstGeom prst="line">
                                <a:avLst/>
                              </a:prstGeom>
                              <a:ln w="22225"/>
                            </wps:spPr>
                            <wps:style>
                              <a:lnRef idx="1">
                                <a:schemeClr val="dk1"/>
                              </a:lnRef>
                              <a:fillRef idx="0">
                                <a:schemeClr val="dk1"/>
                              </a:fillRef>
                              <a:effectRef idx="0">
                                <a:schemeClr val="dk1"/>
                              </a:effectRef>
                              <a:fontRef idx="minor">
                                <a:schemeClr val="tx1"/>
                              </a:fontRef>
                            </wps:style>
                            <wps:bodyPr/>
                          </wps:wsp>
                          <wps:wsp>
                            <wps:cNvPr id="35" name="Straight Connector 35"/>
                            <wps:cNvCnPr/>
                            <wps:spPr>
                              <a:xfrm>
                                <a:off x="392297" y="-102001"/>
                                <a:ext cx="0" cy="1404000"/>
                              </a:xfrm>
                              <a:prstGeom prst="line">
                                <a:avLst/>
                              </a:prstGeom>
                              <a:ln w="22225"/>
                            </wps:spPr>
                            <wps:style>
                              <a:lnRef idx="1">
                                <a:schemeClr val="dk1"/>
                              </a:lnRef>
                              <a:fillRef idx="0">
                                <a:schemeClr val="dk1"/>
                              </a:fillRef>
                              <a:effectRef idx="0">
                                <a:schemeClr val="dk1"/>
                              </a:effectRef>
                              <a:fontRef idx="minor">
                                <a:schemeClr val="tx1"/>
                              </a:fontRef>
                            </wps:style>
                            <wps:bodyPr/>
                          </wps:wsp>
                          <wps:wsp>
                            <wps:cNvPr id="36" name="Straight Connector 36"/>
                            <wps:cNvCnPr/>
                            <wps:spPr>
                              <a:xfrm>
                                <a:off x="1126886" y="-102001"/>
                                <a:ext cx="0" cy="1404000"/>
                              </a:xfrm>
                              <a:prstGeom prst="line">
                                <a:avLst/>
                              </a:prstGeom>
                              <a:ln w="22225"/>
                            </wps:spPr>
                            <wps:style>
                              <a:lnRef idx="1">
                                <a:schemeClr val="dk1"/>
                              </a:lnRef>
                              <a:fillRef idx="0">
                                <a:schemeClr val="dk1"/>
                              </a:fillRef>
                              <a:effectRef idx="0">
                                <a:schemeClr val="dk1"/>
                              </a:effectRef>
                              <a:fontRef idx="minor">
                                <a:schemeClr val="tx1"/>
                              </a:fontRef>
                            </wps:style>
                            <wps:bodyPr/>
                          </wps:wsp>
                          <wps:wsp>
                            <wps:cNvPr id="46" name="Elbow Connector 46"/>
                            <wps:cNvCnPr/>
                            <wps:spPr>
                              <a:xfrm>
                                <a:off x="503492" y="233408"/>
                                <a:ext cx="1102969" cy="737190"/>
                              </a:xfrm>
                              <a:prstGeom prst="bentConnector3">
                                <a:avLst>
                                  <a:gd name="adj1" fmla="val 60346"/>
                                </a:avLst>
                              </a:prstGeom>
                              <a:ln w="12700">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47" name="Straight Connector 47"/>
                            <wps:cNvCnPr/>
                            <wps:spPr>
                              <a:xfrm flipH="1" flipV="1">
                                <a:off x="490683" y="70962"/>
                                <a:ext cx="106" cy="163941"/>
                              </a:xfrm>
                              <a:prstGeom prst="line">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50" name="Elbow Connector 50"/>
                            <wps:cNvCnPr/>
                            <wps:spPr>
                              <a:xfrm rot="10800000">
                                <a:off x="333518" y="71008"/>
                                <a:ext cx="1281035" cy="981786"/>
                              </a:xfrm>
                              <a:prstGeom prst="bentConnector3">
                                <a:avLst>
                                  <a:gd name="adj1" fmla="val 99931"/>
                                </a:avLst>
                              </a:prstGeom>
                              <a:ln w="12700">
                                <a:solidFill>
                                  <a:srgbClr val="00B05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51" name="Oval 51"/>
                            <wps:cNvSpPr/>
                            <wps:spPr>
                              <a:xfrm>
                                <a:off x="1602225" y="993079"/>
                                <a:ext cx="45719" cy="45719"/>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4" name="Group 54"/>
                          <wpg:cNvGrpSpPr/>
                          <wpg:grpSpPr>
                            <a:xfrm>
                              <a:off x="0" y="0"/>
                              <a:ext cx="2971839" cy="2258547"/>
                              <a:chOff x="-9561" y="25613"/>
                              <a:chExt cx="2973004" cy="2258598"/>
                            </a:xfrm>
                          </wpg:grpSpPr>
                          <wps:wsp>
                            <wps:cNvPr id="44" name="Text Box 44"/>
                            <wps:cNvSpPr txBox="1"/>
                            <wps:spPr>
                              <a:xfrm>
                                <a:off x="495576" y="35901"/>
                                <a:ext cx="505837" cy="247650"/>
                              </a:xfrm>
                              <a:prstGeom prst="rect">
                                <a:avLst/>
                              </a:prstGeom>
                              <a:noFill/>
                              <a:ln w="6350">
                                <a:noFill/>
                              </a:ln>
                            </wps:spPr>
                            <wps:txbx>
                              <w:txbxContent>
                                <w:p w14:paraId="3077AD9D" w14:textId="427B4C6D" w:rsidR="00B7136A" w:rsidRPr="00E62A1B" w:rsidRDefault="00B7136A">
                                  <w:pPr>
                                    <w:rPr>
                                      <w:i/>
                                      <w:sz w:val="20"/>
                                    </w:rPr>
                                  </w:pPr>
                                  <w:r w:rsidRPr="00E62A1B">
                                    <w:rPr>
                                      <w:i/>
                                      <w:sz w:val="20"/>
                                    </w:rPr>
                                    <w:t>AP</w:t>
                                  </w:r>
                                  <w:r w:rsidRPr="00E62A1B">
                                    <w:rPr>
                                      <w:i/>
                                      <w:sz w:val="20"/>
                                      <w:vertAlign w:val="subscript"/>
                                    </w:rPr>
                                    <w:t>2</w:t>
                                  </w:r>
                                  <w:r>
                                    <w:rPr>
                                      <w:i/>
                                      <w:sz w:val="20"/>
                                      <w:vertAlign w:val="subscrip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9561" y="433621"/>
                                <a:ext cx="310551" cy="267419"/>
                              </a:xfrm>
                              <a:prstGeom prst="rect">
                                <a:avLst/>
                              </a:prstGeom>
                              <a:noFill/>
                              <a:ln w="6350">
                                <a:noFill/>
                              </a:ln>
                            </wps:spPr>
                            <wps:txbx>
                              <w:txbxContent>
                                <w:p w14:paraId="03C7D66C" w14:textId="11DB3D1A" w:rsidR="00B7136A" w:rsidRPr="00E62A1B" w:rsidRDefault="00B7136A">
                                  <w:pPr>
                                    <w:rPr>
                                      <w:i/>
                                      <w:sz w:val="20"/>
                                      <w:szCs w:val="20"/>
                                    </w:rPr>
                                  </w:pPr>
                                  <w:r w:rsidRPr="00E62A1B">
                                    <w:rPr>
                                      <w:i/>
                                      <w:sz w:val="20"/>
                                      <w:szCs w:val="20"/>
                                    </w:rPr>
                                    <w:t>L</w:t>
                                  </w:r>
                                  <w:r w:rsidRPr="00E62A1B">
                                    <w:rPr>
                                      <w:i/>
                                      <w:sz w:val="20"/>
                                      <w:szCs w:val="20"/>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0" y="974641"/>
                                <a:ext cx="310551" cy="267419"/>
                              </a:xfrm>
                              <a:prstGeom prst="rect">
                                <a:avLst/>
                              </a:prstGeom>
                              <a:noFill/>
                              <a:ln w="6350">
                                <a:noFill/>
                              </a:ln>
                            </wps:spPr>
                            <wps:txbx>
                              <w:txbxContent>
                                <w:p w14:paraId="65CBBFD9" w14:textId="4506B146" w:rsidR="00B7136A" w:rsidRPr="00E62A1B" w:rsidRDefault="00B7136A">
                                  <w:pPr>
                                    <w:rPr>
                                      <w:i/>
                                      <w:sz w:val="20"/>
                                      <w:szCs w:val="20"/>
                                    </w:rPr>
                                  </w:pPr>
                                  <w:r w:rsidRPr="00E62A1B">
                                    <w:rPr>
                                      <w:i/>
                                      <w:sz w:val="20"/>
                                      <w:szCs w:val="20"/>
                                    </w:rPr>
                                    <w:t>L</w:t>
                                  </w:r>
                                  <w:r w:rsidRPr="00E62A1B">
                                    <w:rPr>
                                      <w:i/>
                                      <w:sz w:val="20"/>
                                      <w:szCs w:val="20"/>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0" y="1532412"/>
                                <a:ext cx="310551" cy="267419"/>
                              </a:xfrm>
                              <a:prstGeom prst="rect">
                                <a:avLst/>
                              </a:prstGeom>
                              <a:noFill/>
                              <a:ln w="6350">
                                <a:noFill/>
                              </a:ln>
                            </wps:spPr>
                            <wps:txbx>
                              <w:txbxContent>
                                <w:p w14:paraId="10D5754F" w14:textId="132FA305" w:rsidR="00B7136A" w:rsidRPr="00E62A1B" w:rsidRDefault="00B7136A">
                                  <w:pPr>
                                    <w:rPr>
                                      <w:i/>
                                      <w:sz w:val="20"/>
                                      <w:szCs w:val="20"/>
                                    </w:rPr>
                                  </w:pPr>
                                  <w:r w:rsidRPr="00E62A1B">
                                    <w:rPr>
                                      <w:i/>
                                      <w:sz w:val="20"/>
                                      <w:szCs w:val="20"/>
                                    </w:rPr>
                                    <w:t>L</w:t>
                                  </w:r>
                                  <w:r w:rsidRPr="00E62A1B">
                                    <w:rPr>
                                      <w:i/>
                                      <w:sz w:val="20"/>
                                      <w:szCs w:val="20"/>
                                      <w:vertAlign w:val="sub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721980" y="2002922"/>
                                <a:ext cx="310515" cy="267335"/>
                              </a:xfrm>
                              <a:prstGeom prst="rect">
                                <a:avLst/>
                              </a:prstGeom>
                              <a:noFill/>
                              <a:ln w="6350">
                                <a:noFill/>
                              </a:ln>
                            </wps:spPr>
                            <wps:txbx>
                              <w:txbxContent>
                                <w:p w14:paraId="3D7C1AE1" w14:textId="0A5A1A91" w:rsidR="00B7136A" w:rsidRPr="00E62A1B" w:rsidRDefault="00B7136A">
                                  <w:pPr>
                                    <w:rPr>
                                      <w:i/>
                                      <w:sz w:val="20"/>
                                    </w:rPr>
                                  </w:pPr>
                                  <w:r w:rsidRPr="00E62A1B">
                                    <w:rPr>
                                      <w:i/>
                                      <w:sz w:val="20"/>
                                    </w:rPr>
                                    <w:t>L</w:t>
                                  </w:r>
                                  <w:r w:rsidRPr="00E62A1B">
                                    <w:rPr>
                                      <w:i/>
                                      <w:sz w:val="20"/>
                                      <w:vertAlign w:val="subscript"/>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1845564" y="2016876"/>
                                <a:ext cx="310515" cy="267335"/>
                              </a:xfrm>
                              <a:prstGeom prst="rect">
                                <a:avLst/>
                              </a:prstGeom>
                              <a:noFill/>
                              <a:ln w="6350">
                                <a:noFill/>
                              </a:ln>
                            </wps:spPr>
                            <wps:txbx>
                              <w:txbxContent>
                                <w:p w14:paraId="222562F1" w14:textId="61ECEA58" w:rsidR="00B7136A" w:rsidRPr="00E62A1B" w:rsidRDefault="00B7136A">
                                  <w:pPr>
                                    <w:rPr>
                                      <w:i/>
                                    </w:rPr>
                                  </w:pPr>
                                  <w:r w:rsidRPr="00E62A1B">
                                    <w:rPr>
                                      <w:i/>
                                    </w:rPr>
                                    <w:t>L</w:t>
                                  </w:r>
                                  <w:r w:rsidRPr="00E62A1B">
                                    <w:rPr>
                                      <w:i/>
                                      <w:vertAlign w:val="subscript"/>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45"/>
                            <wps:cNvSpPr txBox="1"/>
                            <wps:spPr>
                              <a:xfrm>
                                <a:off x="2569130" y="1354084"/>
                                <a:ext cx="394313" cy="273998"/>
                              </a:xfrm>
                              <a:prstGeom prst="rect">
                                <a:avLst/>
                              </a:prstGeom>
                              <a:noFill/>
                              <a:ln w="6350">
                                <a:noFill/>
                              </a:ln>
                            </wps:spPr>
                            <wps:txbx>
                              <w:txbxContent>
                                <w:p w14:paraId="1C5880E5" w14:textId="0B3BD102" w:rsidR="00B7136A" w:rsidRPr="00E62A1B" w:rsidRDefault="00B7136A">
                                  <w:pPr>
                                    <w:rPr>
                                      <w:i/>
                                      <w:sz w:val="20"/>
                                    </w:rPr>
                                  </w:pPr>
                                  <w:r w:rsidRPr="00E62A1B">
                                    <w:rPr>
                                      <w:i/>
                                      <w:sz w:val="20"/>
                                    </w:rPr>
                                    <w:t>AP</w:t>
                                  </w:r>
                                  <w:r w:rsidRPr="00E62A1B">
                                    <w:rPr>
                                      <w:i/>
                                      <w:sz w:val="20"/>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2647312" y="1663231"/>
                                <a:ext cx="316131" cy="243063"/>
                              </a:xfrm>
                              <a:prstGeom prst="rect">
                                <a:avLst/>
                              </a:prstGeom>
                              <a:noFill/>
                              <a:ln w="6350">
                                <a:noFill/>
                              </a:ln>
                            </wps:spPr>
                            <wps:txbx>
                              <w:txbxContent>
                                <w:p w14:paraId="3B9048D1" w14:textId="55E3E8D6" w:rsidR="00B7136A" w:rsidRPr="00E62A1B" w:rsidRDefault="00B7136A">
                                  <w:pPr>
                                    <w:rPr>
                                      <w:i/>
                                      <w:sz w:val="20"/>
                                    </w:rPr>
                                  </w:pPr>
                                  <w:r w:rsidRPr="00E62A1B">
                                    <w:rPr>
                                      <w:i/>
                                      <w:sz w:val="20"/>
                                    </w:rPr>
                                    <w:t>T</w:t>
                                  </w:r>
                                  <w:r w:rsidRPr="00E62A1B">
                                    <w:rPr>
                                      <w:i/>
                                      <w:sz w:val="20"/>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899573" y="25613"/>
                                <a:ext cx="342459" cy="267335"/>
                              </a:xfrm>
                              <a:prstGeom prst="rect">
                                <a:avLst/>
                              </a:prstGeom>
                              <a:noFill/>
                              <a:ln w="6350">
                                <a:noFill/>
                              </a:ln>
                            </wps:spPr>
                            <wps:txbx>
                              <w:txbxContent>
                                <w:p w14:paraId="17F84506" w14:textId="6BA46126" w:rsidR="00B7136A" w:rsidRPr="00E62A1B" w:rsidRDefault="00B7136A">
                                  <w:pPr>
                                    <w:rPr>
                                      <w:i/>
                                      <w:sz w:val="20"/>
                                    </w:rPr>
                                  </w:pPr>
                                  <w:r w:rsidRPr="00E62A1B">
                                    <w:rPr>
                                      <w:i/>
                                      <w:sz w:val="20"/>
                                    </w:rPr>
                                    <w:t>T</w:t>
                                  </w:r>
                                  <w:r w:rsidRPr="00E62A1B">
                                    <w:rPr>
                                      <w:i/>
                                      <w:sz w:val="20"/>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 name="Isosceles Triangle 7"/>
                        <wps:cNvSpPr/>
                        <wps:spPr>
                          <a:xfrm>
                            <a:off x="843564" y="195652"/>
                            <a:ext cx="94879" cy="85658"/>
                          </a:xfrm>
                          <a:prstGeom prst="triangle">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traight Arrow Connector 10"/>
                        <wps:cNvCnPr/>
                        <wps:spPr>
                          <a:xfrm flipV="1">
                            <a:off x="938377" y="296426"/>
                            <a:ext cx="9634" cy="744827"/>
                          </a:xfrm>
                          <a:prstGeom prst="straightConnector1">
                            <a:avLst/>
                          </a:prstGeom>
                          <a:ln w="12700">
                            <a:prstDash val="dashDot"/>
                            <a:tailEnd type="triangle"/>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1929225" y="1597687"/>
                            <a:ext cx="749069" cy="243"/>
                          </a:xfrm>
                          <a:prstGeom prst="line">
                            <a:avLst/>
                          </a:prstGeom>
                          <a:ln w="12700">
                            <a:prstDash val="dashDot"/>
                          </a:ln>
                        </wps:spPr>
                        <wps:style>
                          <a:lnRef idx="1">
                            <a:schemeClr val="accent1"/>
                          </a:lnRef>
                          <a:fillRef idx="0">
                            <a:schemeClr val="accent1"/>
                          </a:fillRef>
                          <a:effectRef idx="0">
                            <a:schemeClr val="accent1"/>
                          </a:effectRef>
                          <a:fontRef idx="minor">
                            <a:schemeClr val="tx1"/>
                          </a:fontRef>
                        </wps:style>
                        <wps:bodyPr/>
                      </wps:wsp>
                      <wps:wsp>
                        <wps:cNvPr id="56" name="Straight Connector 56"/>
                        <wps:cNvCnPr/>
                        <wps:spPr>
                          <a:xfrm>
                            <a:off x="948013" y="1041010"/>
                            <a:ext cx="981078" cy="243"/>
                          </a:xfrm>
                          <a:prstGeom prst="line">
                            <a:avLst/>
                          </a:prstGeom>
                          <a:ln w="12700">
                            <a:prstDash val="dashDot"/>
                          </a:ln>
                        </wps:spPr>
                        <wps:style>
                          <a:lnRef idx="1">
                            <a:schemeClr val="accent1"/>
                          </a:lnRef>
                          <a:fillRef idx="0">
                            <a:schemeClr val="accent1"/>
                          </a:fillRef>
                          <a:effectRef idx="0">
                            <a:schemeClr val="accent1"/>
                          </a:effectRef>
                          <a:fontRef idx="minor">
                            <a:schemeClr val="tx1"/>
                          </a:fontRef>
                        </wps:style>
                        <wps:bodyPr/>
                      </wps:wsp>
                      <wps:wsp>
                        <wps:cNvPr id="57" name="Straight Arrow Connector 57"/>
                        <wps:cNvCnPr/>
                        <wps:spPr>
                          <a:xfrm flipV="1">
                            <a:off x="1919389" y="1021999"/>
                            <a:ext cx="9634" cy="576000"/>
                          </a:xfrm>
                          <a:prstGeom prst="straightConnector1">
                            <a:avLst/>
                          </a:prstGeom>
                          <a:ln w="12700">
                            <a:prstDash val="dashDot"/>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2673EEC" id="Group 20" o:spid="_x0000_s1027" style="position:absolute;left:0;text-align:left;margin-left:118pt;margin-top:8.75pt;width:233.95pt;height:177.8pt;z-index:251658241" coordsize="29713,22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">
                <v:group id="Group 3" o:spid="_x0000_s1028" style="position:absolute;width:29713;height:22580" coordsize="29718,2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53" o:spid="_x0000_s1029" style="position:absolute;left:3145;top:512;width:24936;height:19881" coordorigin=",-1020" coordsize="16973,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line id="Straight Connector 29" o:spid="_x0000_s1030" style="position:absolute;visibility:visible;mso-wrap-style:square" from="288,2653" to="16973,2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" strokecolor="black [3200]" strokeweight="1.75pt">
                      <v:stroke joinstyle="miter"/>
                    </v:line>
                    <v:line id="Straight Connector 30" o:spid="_x0000_s1031" style="position:absolute;visibility:visible;mso-wrap-style:square" from="288,6403" to="16973,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" strokecolor="black [3200]" strokeweight="1.75pt">
                      <v:stroke joinstyle="miter"/>
                    </v:line>
                    <v:line id="Straight Connector 31" o:spid="_x0000_s1032" style="position:absolute;visibility:visible;mso-wrap-style:square" from="0,10182" to="16681,10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" strokecolor="black [3200]" strokeweight="1.75pt">
                      <v:stroke joinstyle="miter"/>
                    </v:line>
                    <v:line id="Straight Connector 35" o:spid="_x0000_s1033" style="position:absolute;visibility:visible;mso-wrap-style:square" from="3922,-1020" to="3922,13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" strokecolor="black [3200]" strokeweight="1.75pt">
                      <v:stroke joinstyle="miter"/>
                    </v:line>
                    <v:line id="Straight Connector 36" o:spid="_x0000_s1034" style="position:absolute;visibility:visible;mso-wrap-style:square" from="11268,-1020" to="11268,13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" strokecolor="black [3200]" strokeweight="1.75pt">
                      <v:stroke joinstyle="miter"/>
                    </v:lin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6" o:spid="_x0000_s1035" type="#_x0000_t34" style="position:absolute;left:5034;top:2334;width:11030;height:737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" adj="13035" strokecolor="red" strokeweight="1pt">
                      <v:stroke dashstyle="1 1"/>
                    </v:shape>
                    <v:line id="Straight Connector 47" o:spid="_x0000_s1036" style="position:absolute;flip:x y;visibility:visible;mso-wrap-style:square" from="4906,709" to="4907,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" strokecolor="red" strokeweight="1pt">
                      <v:stroke dashstyle="1 1" endarrow="block" joinstyle="miter"/>
                    </v:line>
                    <v:shape id="Elbow Connector 50" o:spid="_x0000_s1037" type="#_x0000_t34" style="position:absolute;left:3335;top:710;width:12810;height:9817;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" adj="21585" strokecolor="#00b050" strokeweight="1pt">
                      <v:stroke dashstyle="dash" endarrow="block"/>
                    </v:shape>
                    <v:oval id="Oval 51" o:spid="_x0000_s1038" style="position:absolute;left:16022;top:9930;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" fillcolor="red" strokecolor="red" strokeweight="1pt">
                      <v:stroke joinstyle="miter"/>
                    </v:oval>
                  </v:group>
                  <v:group id="Group 54" o:spid="_x0000_s1039" style="position:absolute;width:29718;height:22585" coordorigin="-95,256" coordsize="29730,2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Text Box 44" o:spid="_x0000_s1040" type="#_x0000_t202" style="position:absolute;left:4955;top:359;width:505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3077AD9D" w14:textId="427B4C6D" w:rsidR="00B7136A" w:rsidRPr="00E62A1B" w:rsidRDefault="00B7136A">
                            <w:pPr>
                              <w:rPr>
                                <w:i/>
                                <w:sz w:val="20"/>
                              </w:rPr>
                            </w:pPr>
                            <w:r w:rsidRPr="00E62A1B">
                              <w:rPr>
                                <w:i/>
                                <w:sz w:val="20"/>
                              </w:rPr>
                              <w:t>AP</w:t>
                            </w:r>
                            <w:r w:rsidRPr="00E62A1B">
                              <w:rPr>
                                <w:i/>
                                <w:sz w:val="20"/>
                                <w:vertAlign w:val="subscript"/>
                              </w:rPr>
                              <w:t>2</w:t>
                            </w:r>
                            <w:r>
                              <w:rPr>
                                <w:i/>
                                <w:sz w:val="20"/>
                                <w:vertAlign w:val="subscript"/>
                              </w:rPr>
                              <w:t xml:space="preserve">   </w:t>
                            </w:r>
                          </w:p>
                        </w:txbxContent>
                      </v:textbox>
                    </v:shape>
                    <v:shape id="Text Box 38" o:spid="_x0000_s1041" type="#_x0000_t202" style="position:absolute;left:-95;top:4336;width:3104;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03C7D66C" w14:textId="11DB3D1A" w:rsidR="00B7136A" w:rsidRPr="00E62A1B" w:rsidRDefault="00B7136A">
                            <w:pPr>
                              <w:rPr>
                                <w:i/>
                                <w:sz w:val="20"/>
                                <w:szCs w:val="20"/>
                              </w:rPr>
                            </w:pPr>
                            <w:r w:rsidRPr="00E62A1B">
                              <w:rPr>
                                <w:i/>
                                <w:sz w:val="20"/>
                                <w:szCs w:val="20"/>
                              </w:rPr>
                              <w:t>L</w:t>
                            </w:r>
                            <w:r w:rsidRPr="00E62A1B">
                              <w:rPr>
                                <w:i/>
                                <w:sz w:val="20"/>
                                <w:szCs w:val="20"/>
                                <w:vertAlign w:val="subscript"/>
                              </w:rPr>
                              <w:t>1</w:t>
                            </w:r>
                          </w:p>
                        </w:txbxContent>
                      </v:textbox>
                    </v:shape>
                    <v:shape id="Text Box 39" o:spid="_x0000_s1042" type="#_x0000_t202" style="position:absolute;top:9746;width:3105;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65CBBFD9" w14:textId="4506B146" w:rsidR="00B7136A" w:rsidRPr="00E62A1B" w:rsidRDefault="00B7136A">
                            <w:pPr>
                              <w:rPr>
                                <w:i/>
                                <w:sz w:val="20"/>
                                <w:szCs w:val="20"/>
                              </w:rPr>
                            </w:pPr>
                            <w:r w:rsidRPr="00E62A1B">
                              <w:rPr>
                                <w:i/>
                                <w:sz w:val="20"/>
                                <w:szCs w:val="20"/>
                              </w:rPr>
                              <w:t>L</w:t>
                            </w:r>
                            <w:r w:rsidRPr="00E62A1B">
                              <w:rPr>
                                <w:i/>
                                <w:sz w:val="20"/>
                                <w:szCs w:val="20"/>
                                <w:vertAlign w:val="subscript"/>
                              </w:rPr>
                              <w:t>2</w:t>
                            </w:r>
                          </w:p>
                        </w:txbxContent>
                      </v:textbox>
                    </v:shape>
                    <v:shape id="Text Box 40" o:spid="_x0000_s1043" type="#_x0000_t202" style="position:absolute;top:15324;width:3105;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10D5754F" w14:textId="132FA305" w:rsidR="00B7136A" w:rsidRPr="00E62A1B" w:rsidRDefault="00B7136A">
                            <w:pPr>
                              <w:rPr>
                                <w:i/>
                                <w:sz w:val="20"/>
                                <w:szCs w:val="20"/>
                              </w:rPr>
                            </w:pPr>
                            <w:r w:rsidRPr="00E62A1B">
                              <w:rPr>
                                <w:i/>
                                <w:sz w:val="20"/>
                                <w:szCs w:val="20"/>
                              </w:rPr>
                              <w:t>L</w:t>
                            </w:r>
                            <w:r w:rsidRPr="00E62A1B">
                              <w:rPr>
                                <w:i/>
                                <w:sz w:val="20"/>
                                <w:szCs w:val="20"/>
                                <w:vertAlign w:val="subscript"/>
                              </w:rPr>
                              <w:t>3</w:t>
                            </w:r>
                          </w:p>
                        </w:txbxContent>
                      </v:textbox>
                    </v:shape>
                    <v:shape id="Text Box 41" o:spid="_x0000_s1044" type="#_x0000_t202" style="position:absolute;left:7219;top:20029;width:3105;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3D7C1AE1" w14:textId="0A5A1A91" w:rsidR="00B7136A" w:rsidRPr="00E62A1B" w:rsidRDefault="00B7136A">
                            <w:pPr>
                              <w:rPr>
                                <w:i/>
                                <w:sz w:val="20"/>
                              </w:rPr>
                            </w:pPr>
                            <w:r w:rsidRPr="00E62A1B">
                              <w:rPr>
                                <w:i/>
                                <w:sz w:val="20"/>
                              </w:rPr>
                              <w:t>L</w:t>
                            </w:r>
                            <w:r w:rsidRPr="00E62A1B">
                              <w:rPr>
                                <w:i/>
                                <w:sz w:val="20"/>
                                <w:vertAlign w:val="subscript"/>
                              </w:rPr>
                              <w:t>4</w:t>
                            </w:r>
                          </w:p>
                        </w:txbxContent>
                      </v:textbox>
                    </v:shape>
                    <v:shape id="Text Box 42" o:spid="_x0000_s1045" type="#_x0000_t202" style="position:absolute;left:18455;top:20168;width:3105;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222562F1" w14:textId="61ECEA58" w:rsidR="00B7136A" w:rsidRPr="00E62A1B" w:rsidRDefault="00B7136A">
                            <w:pPr>
                              <w:rPr>
                                <w:i/>
                              </w:rPr>
                            </w:pPr>
                            <w:r w:rsidRPr="00E62A1B">
                              <w:rPr>
                                <w:i/>
                              </w:rPr>
                              <w:t>L</w:t>
                            </w:r>
                            <w:r w:rsidRPr="00E62A1B">
                              <w:rPr>
                                <w:i/>
                                <w:vertAlign w:val="subscript"/>
                              </w:rPr>
                              <w:t>5</w:t>
                            </w:r>
                          </w:p>
                        </w:txbxContent>
                      </v:textbox>
                    </v:shape>
                    <v:shape id="Text Box 45" o:spid="_x0000_s1046" type="#_x0000_t202" style="position:absolute;left:25691;top:13540;width:3943;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1C5880E5" w14:textId="0B3BD102" w:rsidR="00B7136A" w:rsidRPr="00E62A1B" w:rsidRDefault="00B7136A">
                            <w:pPr>
                              <w:rPr>
                                <w:i/>
                                <w:sz w:val="20"/>
                              </w:rPr>
                            </w:pPr>
                            <w:r w:rsidRPr="00E62A1B">
                              <w:rPr>
                                <w:i/>
                                <w:sz w:val="20"/>
                              </w:rPr>
                              <w:t>AP</w:t>
                            </w:r>
                            <w:r w:rsidRPr="00E62A1B">
                              <w:rPr>
                                <w:i/>
                                <w:sz w:val="20"/>
                                <w:vertAlign w:val="subscript"/>
                              </w:rPr>
                              <w:t>1</w:t>
                            </w:r>
                          </w:p>
                        </w:txbxContent>
                      </v:textbox>
                    </v:shape>
                    <v:shape id="Text Box 48" o:spid="_x0000_s1047" type="#_x0000_t202" style="position:absolute;left:26473;top:16632;width:3161;height:2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3B9048D1" w14:textId="55E3E8D6" w:rsidR="00B7136A" w:rsidRPr="00E62A1B" w:rsidRDefault="00B7136A">
                            <w:pPr>
                              <w:rPr>
                                <w:i/>
                                <w:sz w:val="20"/>
                              </w:rPr>
                            </w:pPr>
                            <w:r w:rsidRPr="00E62A1B">
                              <w:rPr>
                                <w:i/>
                                <w:sz w:val="20"/>
                              </w:rPr>
                              <w:t>T</w:t>
                            </w:r>
                            <w:r w:rsidRPr="00E62A1B">
                              <w:rPr>
                                <w:i/>
                                <w:sz w:val="20"/>
                                <w:vertAlign w:val="subscript"/>
                              </w:rPr>
                              <w:t>1</w:t>
                            </w:r>
                          </w:p>
                        </w:txbxContent>
                      </v:textbox>
                    </v:shape>
                    <v:shape id="Text Box 49" o:spid="_x0000_s1048" type="#_x0000_t202" style="position:absolute;left:8995;top:256;width:3425;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17F84506" w14:textId="6BA46126" w:rsidR="00B7136A" w:rsidRPr="00E62A1B" w:rsidRDefault="00B7136A">
                            <w:pPr>
                              <w:rPr>
                                <w:i/>
                                <w:sz w:val="20"/>
                              </w:rPr>
                            </w:pPr>
                            <w:r w:rsidRPr="00E62A1B">
                              <w:rPr>
                                <w:i/>
                                <w:sz w:val="20"/>
                              </w:rPr>
                              <w:t>T</w:t>
                            </w:r>
                            <w:r w:rsidRPr="00E62A1B">
                              <w:rPr>
                                <w:i/>
                                <w:sz w:val="20"/>
                                <w:vertAlign w:val="subscript"/>
                              </w:rPr>
                              <w:t>2</w:t>
                            </w:r>
                          </w:p>
                        </w:txbxContent>
                      </v:textbox>
                    </v:shape>
                  </v:group>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 o:spid="_x0000_s1049" type="#_x0000_t5" style="position:absolute;left:8435;top:1956;width:949;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" fillcolor="#00b050" strokecolor="#00b050" strokeweight="1pt"/>
                <v:shapetype id="_x0000_t32" coordsize="21600,21600" o:spt="32" o:oned="t" path="m,l21600,21600e" filled="f">
                  <v:path arrowok="t" fillok="f" o:connecttype="none"/>
                  <o:lock v:ext="edit" shapetype="t"/>
                </v:shapetype>
                <v:shape id="Straight Arrow Connector 10" o:spid="_x0000_s1050" type="#_x0000_t32" style="position:absolute;left:9383;top:2964;width:97;height:74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" strokecolor="#4472c4 [3204]" strokeweight="1pt">
                  <v:stroke dashstyle="dashDot" endarrow="block" joinstyle="miter"/>
                </v:shape>
                <v:line id="Straight Connector 11" o:spid="_x0000_s1051" style="position:absolute;visibility:visible;mso-wrap-style:square" from="19292,15976" to="26782,15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" strokecolor="#4472c4 [3204]" strokeweight="1pt">
                  <v:stroke dashstyle="dashDot" joinstyle="miter"/>
                </v:line>
                <v:line id="Straight Connector 56" o:spid="_x0000_s1052" style="position:absolute;visibility:visible;mso-wrap-style:square" from="9480,10410" to="19290,10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" strokecolor="#4472c4 [3204]" strokeweight="1pt">
                  <v:stroke dashstyle="dashDot" joinstyle="miter"/>
                </v:line>
                <v:shape id="Straight Arrow Connector 57" o:spid="_x0000_s1053" type="#_x0000_t32" style="position:absolute;left:19193;top:10219;width:97;height:57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" strokecolor="#4472c4 [3204]" strokeweight="1pt">
                  <v:stroke dashstyle="dashDot" joinstyle="miter"/>
                </v:shape>
              </v:group>
            </w:pict>
          </mc:Fallback>
        </mc:AlternateContent>
      </w:r>
    </w:p>
    <w:p w14:paraId="5856FF2C" w14:textId="3D334ED8" w:rsidR="00C65482" w:rsidRPr="0070060E" w:rsidRDefault="00C65482" w:rsidP="00333F40">
      <w:pPr>
        <w:spacing w:after="0" w:line="240" w:lineRule="auto"/>
        <w:jc w:val="both"/>
        <w:rPr>
          <w:rFonts w:ascii="Times New Roman" w:hAnsi="Times New Roman" w:cs="Times New Roman"/>
          <w:sz w:val="24"/>
        </w:rPr>
      </w:pPr>
    </w:p>
    <w:p w14:paraId="00EE250F" w14:textId="102081A0" w:rsidR="00C65482" w:rsidRPr="0070060E" w:rsidRDefault="00C65482" w:rsidP="00333F40">
      <w:pPr>
        <w:spacing w:after="0" w:line="240" w:lineRule="auto"/>
        <w:jc w:val="both"/>
        <w:rPr>
          <w:rFonts w:ascii="Times New Roman" w:hAnsi="Times New Roman" w:cs="Times New Roman"/>
          <w:sz w:val="24"/>
        </w:rPr>
      </w:pPr>
    </w:p>
    <w:p w14:paraId="17A07CAD" w14:textId="0666A9F2" w:rsidR="00C65482" w:rsidRPr="0070060E" w:rsidRDefault="00C65482" w:rsidP="00333F40">
      <w:pPr>
        <w:spacing w:after="0" w:line="240" w:lineRule="auto"/>
        <w:jc w:val="both"/>
        <w:rPr>
          <w:rFonts w:ascii="Times New Roman" w:hAnsi="Times New Roman" w:cs="Times New Roman"/>
          <w:sz w:val="24"/>
        </w:rPr>
      </w:pPr>
    </w:p>
    <w:p w14:paraId="4171C560" w14:textId="26768242" w:rsidR="00C65482" w:rsidRPr="0070060E" w:rsidRDefault="00C65482" w:rsidP="00333F40">
      <w:pPr>
        <w:spacing w:after="0" w:line="240" w:lineRule="auto"/>
        <w:jc w:val="both"/>
        <w:rPr>
          <w:rFonts w:ascii="Times New Roman" w:hAnsi="Times New Roman" w:cs="Times New Roman"/>
          <w:sz w:val="24"/>
        </w:rPr>
      </w:pPr>
    </w:p>
    <w:p w14:paraId="7C3F907C" w14:textId="55EFA93C" w:rsidR="00E606EB" w:rsidRPr="0070060E" w:rsidRDefault="00E606EB" w:rsidP="00333F40">
      <w:pPr>
        <w:spacing w:after="0" w:line="240" w:lineRule="auto"/>
        <w:jc w:val="both"/>
        <w:rPr>
          <w:rFonts w:ascii="Times New Roman" w:hAnsi="Times New Roman" w:cs="Times New Roman"/>
          <w:sz w:val="24"/>
        </w:rPr>
      </w:pPr>
    </w:p>
    <w:p w14:paraId="1BF3129F" w14:textId="2BAB80EC" w:rsidR="00CD37A0" w:rsidRPr="0070060E" w:rsidRDefault="00CD37A0" w:rsidP="00333F40">
      <w:pPr>
        <w:spacing w:after="0" w:line="240" w:lineRule="auto"/>
        <w:jc w:val="both"/>
        <w:rPr>
          <w:rFonts w:ascii="Times New Roman" w:hAnsi="Times New Roman" w:cs="Times New Roman"/>
          <w:sz w:val="24"/>
        </w:rPr>
      </w:pPr>
    </w:p>
    <w:p w14:paraId="53DF52F6" w14:textId="3D4ADC5C" w:rsidR="00C65482" w:rsidRPr="0070060E" w:rsidRDefault="00C65482" w:rsidP="00333F40">
      <w:pPr>
        <w:spacing w:after="0" w:line="240" w:lineRule="auto"/>
        <w:jc w:val="both"/>
        <w:rPr>
          <w:rFonts w:ascii="Times New Roman" w:hAnsi="Times New Roman" w:cs="Times New Roman"/>
          <w:sz w:val="24"/>
        </w:rPr>
      </w:pPr>
    </w:p>
    <w:p w14:paraId="7F8A5941" w14:textId="612AA8CA" w:rsidR="00E62A1B" w:rsidRPr="0070060E" w:rsidRDefault="00E62A1B" w:rsidP="00333F40">
      <w:pPr>
        <w:spacing w:after="0" w:line="240" w:lineRule="auto"/>
        <w:jc w:val="both"/>
        <w:rPr>
          <w:rFonts w:ascii="Times New Roman" w:hAnsi="Times New Roman" w:cs="Times New Roman"/>
          <w:sz w:val="24"/>
        </w:rPr>
      </w:pPr>
    </w:p>
    <w:p w14:paraId="441D32B4" w14:textId="75DD3D12" w:rsidR="00C65482" w:rsidRPr="0070060E" w:rsidRDefault="00C65482" w:rsidP="00333F40">
      <w:pPr>
        <w:spacing w:after="0" w:line="240" w:lineRule="auto"/>
        <w:jc w:val="both"/>
        <w:rPr>
          <w:rFonts w:ascii="Times New Roman" w:hAnsi="Times New Roman" w:cs="Times New Roman"/>
          <w:sz w:val="24"/>
        </w:rPr>
      </w:pPr>
    </w:p>
    <w:p w14:paraId="1E8008C7" w14:textId="77777777" w:rsidR="00C65482" w:rsidRPr="0070060E" w:rsidRDefault="00C65482" w:rsidP="00333F40">
      <w:pPr>
        <w:spacing w:after="0" w:line="240" w:lineRule="auto"/>
        <w:jc w:val="both"/>
        <w:rPr>
          <w:rFonts w:ascii="Times New Roman" w:hAnsi="Times New Roman" w:cs="Times New Roman"/>
          <w:sz w:val="24"/>
        </w:rPr>
      </w:pPr>
    </w:p>
    <w:p w14:paraId="39314D7A" w14:textId="77777777" w:rsidR="00BF2F50" w:rsidRPr="0070060E" w:rsidRDefault="00BF2F50" w:rsidP="00333F40">
      <w:pPr>
        <w:spacing w:after="0" w:line="240" w:lineRule="auto"/>
        <w:jc w:val="both"/>
        <w:rPr>
          <w:rFonts w:ascii="Times New Roman" w:hAnsi="Times New Roman" w:cs="Times New Roman"/>
          <w:sz w:val="24"/>
        </w:rPr>
      </w:pPr>
    </w:p>
    <w:p w14:paraId="59AC6FCF" w14:textId="77777777" w:rsidR="00BF2F50" w:rsidRPr="0070060E" w:rsidRDefault="00BF2F50" w:rsidP="00333F40">
      <w:pPr>
        <w:spacing w:after="0" w:line="240" w:lineRule="auto"/>
        <w:jc w:val="both"/>
        <w:rPr>
          <w:rFonts w:ascii="Times New Roman" w:hAnsi="Times New Roman" w:cs="Times New Roman"/>
          <w:sz w:val="24"/>
        </w:rPr>
      </w:pPr>
    </w:p>
    <w:p w14:paraId="2D4BBC1A" w14:textId="5740AB64" w:rsidR="00E606EB" w:rsidRPr="0070060E" w:rsidRDefault="00694F4D" w:rsidP="00117263">
      <w:pPr>
        <w:spacing w:after="0" w:line="240" w:lineRule="auto"/>
        <w:jc w:val="center"/>
        <w:rPr>
          <w:rFonts w:ascii="Times New Roman" w:hAnsi="Times New Roman" w:cs="Times New Roman"/>
          <w:sz w:val="24"/>
        </w:rPr>
      </w:pPr>
      <w:r w:rsidRPr="0070060E">
        <w:rPr>
          <w:rFonts w:ascii="Times New Roman" w:hAnsi="Times New Roman" w:cs="Times New Roman"/>
          <w:sz w:val="24"/>
          <w:szCs w:val="24"/>
        </w:rPr>
        <w:t>Figure S</w:t>
      </w:r>
      <w:r w:rsidR="00CE6689" w:rsidRPr="0070060E">
        <w:rPr>
          <w:rFonts w:ascii="Times New Roman" w:hAnsi="Times New Roman" w:cs="Times New Roman"/>
          <w:sz w:val="24"/>
        </w:rPr>
        <w:t>2</w:t>
      </w:r>
      <w:r w:rsidR="00E606EB" w:rsidRPr="0070060E">
        <w:rPr>
          <w:rFonts w:ascii="Times New Roman" w:hAnsi="Times New Roman" w:cs="Times New Roman"/>
          <w:sz w:val="24"/>
        </w:rPr>
        <w:t xml:space="preserve">. Estimation of </w:t>
      </w:r>
      <w:r w:rsidR="008B4943" w:rsidRPr="00F31CEB">
        <w:rPr>
          <w:rFonts w:ascii="Times New Roman" w:hAnsi="Times New Roman" w:cs="Times New Roman"/>
          <w:color w:val="000000" w:themeColor="text1"/>
          <w:sz w:val="24"/>
        </w:rPr>
        <w:t>route-</w:t>
      </w:r>
      <w:r w:rsidR="008B4943" w:rsidRPr="00854D86">
        <w:rPr>
          <w:rFonts w:ascii="Times New Roman" w:hAnsi="Times New Roman" w:cs="Times New Roman"/>
          <w:color w:val="000000" w:themeColor="text1"/>
          <w:sz w:val="24"/>
        </w:rPr>
        <w:t xml:space="preserve">based </w:t>
      </w:r>
      <w:r w:rsidR="00252A06" w:rsidRPr="00854D86">
        <w:rPr>
          <w:rFonts w:ascii="Times New Roman" w:hAnsi="Times New Roman" w:cs="Times New Roman"/>
          <w:color w:val="000000" w:themeColor="text1"/>
          <w:sz w:val="24"/>
        </w:rPr>
        <w:t xml:space="preserve">pedestrian </w:t>
      </w:r>
      <w:r w:rsidR="00E606EB" w:rsidRPr="00854D86">
        <w:rPr>
          <w:rFonts w:ascii="Times New Roman" w:hAnsi="Times New Roman" w:cs="Times New Roman"/>
          <w:color w:val="000000" w:themeColor="text1"/>
          <w:sz w:val="24"/>
        </w:rPr>
        <w:t>flow</w:t>
      </w:r>
      <w:r w:rsidR="00E606EB" w:rsidRPr="00F31CEB">
        <w:rPr>
          <w:rFonts w:ascii="Times New Roman" w:hAnsi="Times New Roman" w:cs="Times New Roman"/>
          <w:color w:val="000000" w:themeColor="text1"/>
          <w:sz w:val="24"/>
        </w:rPr>
        <w:t xml:space="preserve"> </w:t>
      </w:r>
      <w:r w:rsidR="00E606EB" w:rsidRPr="0070060E">
        <w:rPr>
          <w:rFonts w:ascii="Times New Roman" w:hAnsi="Times New Roman" w:cs="Times New Roman"/>
          <w:sz w:val="24"/>
        </w:rPr>
        <w:t xml:space="preserve">in spatial network using Dijkstra algorithm. The geometrically and topologically shortest path between </w:t>
      </w:r>
      <w:r w:rsidR="00E606EB" w:rsidRPr="0070060E">
        <w:rPr>
          <w:rFonts w:ascii="Times New Roman" w:hAnsi="Times New Roman" w:cs="Times New Roman"/>
          <w:i/>
          <w:sz w:val="24"/>
        </w:rPr>
        <w:t>AP</w:t>
      </w:r>
      <w:r w:rsidR="00E606EB" w:rsidRPr="0070060E">
        <w:rPr>
          <w:rFonts w:ascii="Times New Roman" w:hAnsi="Times New Roman" w:cs="Times New Roman"/>
          <w:i/>
          <w:sz w:val="24"/>
          <w:vertAlign w:val="subscript"/>
        </w:rPr>
        <w:t>1</w:t>
      </w:r>
      <w:r w:rsidR="00E606EB" w:rsidRPr="0070060E">
        <w:rPr>
          <w:rFonts w:ascii="Times New Roman" w:hAnsi="Times New Roman" w:cs="Times New Roman"/>
          <w:sz w:val="24"/>
        </w:rPr>
        <w:t xml:space="preserve"> and </w:t>
      </w:r>
      <w:r w:rsidR="00E606EB" w:rsidRPr="0070060E">
        <w:rPr>
          <w:rFonts w:ascii="Times New Roman" w:hAnsi="Times New Roman" w:cs="Times New Roman"/>
          <w:i/>
          <w:sz w:val="24"/>
        </w:rPr>
        <w:t>AP</w:t>
      </w:r>
      <w:r w:rsidR="004E1D10" w:rsidRPr="0070060E">
        <w:rPr>
          <w:rFonts w:ascii="Times New Roman" w:hAnsi="Times New Roman" w:cs="Times New Roman"/>
          <w:i/>
          <w:sz w:val="24"/>
          <w:vertAlign w:val="subscript"/>
        </w:rPr>
        <w:t>2</w:t>
      </w:r>
      <w:r w:rsidR="00E606EB" w:rsidRPr="0070060E">
        <w:rPr>
          <w:rFonts w:ascii="Times New Roman" w:hAnsi="Times New Roman" w:cs="Times New Roman"/>
          <w:sz w:val="24"/>
        </w:rPr>
        <w:t xml:space="preserve"> is the dashed path</w:t>
      </w:r>
      <w:r w:rsidR="00252A06" w:rsidRPr="0070060E">
        <w:rPr>
          <w:rFonts w:ascii="Times New Roman" w:hAnsi="Times New Roman" w:cs="Times New Roman"/>
          <w:sz w:val="24"/>
        </w:rPr>
        <w:t xml:space="preserve"> in green.</w:t>
      </w:r>
    </w:p>
    <w:p w14:paraId="6A673429" w14:textId="77777777" w:rsidR="00117263" w:rsidRPr="0070060E" w:rsidRDefault="00117263" w:rsidP="00117263">
      <w:pPr>
        <w:spacing w:after="0" w:line="240" w:lineRule="auto"/>
        <w:jc w:val="center"/>
        <w:rPr>
          <w:rFonts w:ascii="Times New Roman" w:hAnsi="Times New Roman" w:cs="Times New Roma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7"/>
        <w:gridCol w:w="5834"/>
      </w:tblGrid>
      <w:tr w:rsidR="0070060E" w:rsidRPr="0070060E" w14:paraId="3E7FD1EE" w14:textId="77777777" w:rsidTr="002E3152">
        <w:tc>
          <w:tcPr>
            <w:tcW w:w="3517" w:type="dxa"/>
            <w:vAlign w:val="center"/>
            <w:hideMark/>
          </w:tcPr>
          <w:p w14:paraId="632400F4" w14:textId="62D931F0" w:rsidR="00412BB6" w:rsidRPr="0070060E" w:rsidRDefault="00412BB6" w:rsidP="00117263">
            <w:pPr>
              <w:spacing w:before="240"/>
              <w:jc w:val="both"/>
              <w:rPr>
                <w:rFonts w:ascii="Times New Roman" w:eastAsia="KaiTi_GB2312" w:hAnsi="Times New Roman" w:cs="Times New Roman"/>
                <w:sz w:val="24"/>
              </w:rPr>
            </w:pPr>
            <w:r w:rsidRPr="0070060E">
              <w:rPr>
                <w:rFonts w:ascii="Times New Roman" w:eastAsia="Times New Roman" w:hAnsi="Times New Roman" w:cs="Times New Roman"/>
                <w:noProof/>
                <w:w w:val="1"/>
                <w:sz w:val="2"/>
                <w:szCs w:val="2"/>
                <w:bdr w:val="none" w:sz="0" w:space="0" w:color="auto" w:frame="1"/>
                <w:shd w:val="clear" w:color="auto" w:fill="000000"/>
                <w:lang w:eastAsia="en-US"/>
              </w:rPr>
              <w:drawing>
                <wp:inline distT="0" distB="0" distL="0" distR="0" wp14:anchorId="6CAC38E9" wp14:editId="0C452F78">
                  <wp:extent cx="2096135" cy="1612900"/>
                  <wp:effectExtent l="0" t="0" r="0" b="635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l="4735" r="993"/>
                          <a:stretch>
                            <a:fillRect/>
                          </a:stretch>
                        </pic:blipFill>
                        <pic:spPr bwMode="auto">
                          <a:xfrm>
                            <a:off x="0" y="0"/>
                            <a:ext cx="2096135" cy="1612900"/>
                          </a:xfrm>
                          <a:prstGeom prst="rect">
                            <a:avLst/>
                          </a:prstGeom>
                          <a:noFill/>
                          <a:ln>
                            <a:noFill/>
                          </a:ln>
                        </pic:spPr>
                      </pic:pic>
                    </a:graphicData>
                  </a:graphic>
                </wp:inline>
              </w:drawing>
            </w:r>
          </w:p>
        </w:tc>
        <w:tc>
          <w:tcPr>
            <w:tcW w:w="5834" w:type="dxa"/>
            <w:hideMark/>
          </w:tcPr>
          <w:p w14:paraId="774573FE" w14:textId="7626ED7D" w:rsidR="00412BB6" w:rsidRPr="0070060E" w:rsidRDefault="00412BB6" w:rsidP="00117263">
            <w:pPr>
              <w:spacing w:before="240"/>
              <w:jc w:val="both"/>
              <w:rPr>
                <w:rFonts w:ascii="Times New Roman" w:eastAsia="KaiTi_GB2312" w:hAnsi="Times New Roman" w:cs="Times New Roman"/>
                <w:sz w:val="24"/>
              </w:rPr>
            </w:pPr>
            <w:r w:rsidRPr="0070060E">
              <w:rPr>
                <w:noProof/>
                <w:lang w:eastAsia="en-US"/>
              </w:rPr>
              <mc:AlternateContent>
                <mc:Choice Requires="wpg">
                  <w:drawing>
                    <wp:anchor distT="0" distB="0" distL="114300" distR="114300" simplePos="0" relativeHeight="251658242" behindDoc="0" locked="0" layoutInCell="1" allowOverlap="1" wp14:anchorId="35F75608" wp14:editId="0168A865">
                      <wp:simplePos x="0" y="0"/>
                      <wp:positionH relativeFrom="column">
                        <wp:posOffset>220980</wp:posOffset>
                      </wp:positionH>
                      <wp:positionV relativeFrom="paragraph">
                        <wp:posOffset>79375</wp:posOffset>
                      </wp:positionV>
                      <wp:extent cx="730250" cy="777875"/>
                      <wp:effectExtent l="0" t="0" r="0" b="3175"/>
                      <wp:wrapNone/>
                      <wp:docPr id="79889" name="Group 79889"/>
                      <wp:cNvGraphicFramePr/>
                      <a:graphic xmlns:a="http://schemas.openxmlformats.org/drawingml/2006/main">
                        <a:graphicData uri="http://schemas.microsoft.com/office/word/2010/wordprocessingGroup">
                          <wpg:wgp>
                            <wpg:cNvGrpSpPr/>
                            <wpg:grpSpPr>
                              <a:xfrm>
                                <a:off x="0" y="0"/>
                                <a:ext cx="730250" cy="777240"/>
                                <a:chOff x="0" y="0"/>
                                <a:chExt cx="1202547" cy="708025"/>
                              </a:xfrm>
                            </wpg:grpSpPr>
                            <wps:wsp>
                              <wps:cNvPr id="43" name="Text Box 15"/>
                              <wps:cNvSpPr txBox="1"/>
                              <wps:spPr>
                                <a:xfrm>
                                  <a:off x="0" y="0"/>
                                  <a:ext cx="1202547" cy="708025"/>
                                </a:xfrm>
                                <a:prstGeom prst="rect">
                                  <a:avLst/>
                                </a:prstGeom>
                                <a:noFill/>
                                <a:ln w="6350">
                                  <a:noFill/>
                                </a:ln>
                              </wps:spPr>
                              <wps:txbx>
                                <w:txbxContent>
                                  <w:p w14:paraId="76828236" w14:textId="109C10EB" w:rsidR="00412BB6" w:rsidRDefault="00412BB6" w:rsidP="00412BB6">
                                    <w:r>
                                      <w:rPr>
                                        <w:noProof/>
                                        <w:sz w:val="20"/>
                                        <w:szCs w:val="20"/>
                                        <w:lang w:eastAsia="en-US"/>
                                      </w:rPr>
                                      <w:drawing>
                                        <wp:inline distT="0" distB="0" distL="0" distR="0" wp14:anchorId="580C9A26" wp14:editId="78A5EDAD">
                                          <wp:extent cx="543560" cy="42291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560" cy="422910"/>
                                                  </a:xfrm>
                                                  <a:prstGeom prst="rect">
                                                    <a:avLst/>
                                                  </a:prstGeom>
                                                  <a:noFill/>
                                                  <a:ln>
                                                    <a:noFill/>
                                                  </a:ln>
                                                </pic:spPr>
                                              </pic:pic>
                                            </a:graphicData>
                                          </a:graphic>
                                        </wp:inline>
                                      </w:drawing>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2" name="Text Box 79888"/>
                              <wps:cNvSpPr txBox="1"/>
                              <wps:spPr>
                                <a:xfrm>
                                  <a:off x="234393" y="394056"/>
                                  <a:ext cx="874039" cy="215763"/>
                                </a:xfrm>
                                <a:prstGeom prst="rect">
                                  <a:avLst/>
                                </a:prstGeom>
                                <a:noFill/>
                                <a:ln w="6350">
                                  <a:noFill/>
                                </a:ln>
                              </wps:spPr>
                              <wps:txbx>
                                <w:txbxContent>
                                  <w:p w14:paraId="76EE3FD4" w14:textId="77777777" w:rsidR="00412BB6" w:rsidRDefault="00412BB6" w:rsidP="00412BB6">
                                    <w:pPr>
                                      <w:snapToGrid w:val="0"/>
                                      <w:spacing w:after="0" w:line="240" w:lineRule="auto"/>
                                      <w:rPr>
                                        <w:sz w:val="16"/>
                                        <w:szCs w:val="18"/>
                                      </w:rPr>
                                    </w:pPr>
                                    <w:r>
                                      <w:rPr>
                                        <w:sz w:val="16"/>
                                        <w:szCs w:val="18"/>
                                      </w:rPr>
                                      <w:t xml:space="preserve">Low       high </w:t>
                                    </w:r>
                                  </w:p>
                                </w:txbxContent>
                              </wps:txbx>
                              <wps:bodyPr rot="0" spcFirstLastPara="0"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F75608" id="Group 79889" o:spid="_x0000_s1054" style="position:absolute;left:0;text-align:left;margin-left:17.4pt;margin-top:6.25pt;width:57.5pt;height:61.25pt;z-index:251658242;mso-width-relative:margin;mso-height-relative:margin" coordsize="12025,7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">
                      <v:shape id="Text Box 15" o:spid="_x0000_s1055" type="#_x0000_t202" style="position:absolute;width:12025;height:7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76828236" w14:textId="109C10EB" w:rsidR="00412BB6" w:rsidRDefault="00412BB6" w:rsidP="00412BB6">
                              <w:r>
                                <w:rPr>
                                  <w:noProof/>
                                  <w:sz w:val="20"/>
                                  <w:szCs w:val="20"/>
                                  <w:lang w:eastAsia="en-US"/>
                                </w:rPr>
                                <w:drawing>
                                  <wp:inline distT="0" distB="0" distL="0" distR="0" wp14:anchorId="580C9A26" wp14:editId="78A5EDAD">
                                    <wp:extent cx="543560" cy="42291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560" cy="422910"/>
                                            </a:xfrm>
                                            <a:prstGeom prst="rect">
                                              <a:avLst/>
                                            </a:prstGeom>
                                            <a:noFill/>
                                            <a:ln>
                                              <a:noFill/>
                                            </a:ln>
                                          </pic:spPr>
                                        </pic:pic>
                                      </a:graphicData>
                                    </a:graphic>
                                  </wp:inline>
                                </w:drawing>
                              </w:r>
                            </w:p>
                          </w:txbxContent>
                        </v:textbox>
                      </v:shape>
                      <v:shape id="Text Box 79888" o:spid="_x0000_s1056" type="#_x0000_t202" style="position:absolute;left:2343;top:3940;width:8741;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" filled="f" stroked="f" strokeweight=".5pt">
                        <v:textbox inset="0,,0">
                          <w:txbxContent>
                            <w:p w14:paraId="76EE3FD4" w14:textId="77777777" w:rsidR="00412BB6" w:rsidRDefault="00412BB6" w:rsidP="00412BB6">
                              <w:pPr>
                                <w:snapToGrid w:val="0"/>
                                <w:spacing w:after="0" w:line="240" w:lineRule="auto"/>
                                <w:rPr>
                                  <w:sz w:val="16"/>
                                  <w:szCs w:val="18"/>
                                </w:rPr>
                              </w:pPr>
                              <w:r>
                                <w:rPr>
                                  <w:sz w:val="16"/>
                                  <w:szCs w:val="18"/>
                                </w:rPr>
                                <w:t xml:space="preserve">Low       high </w:t>
                              </w:r>
                            </w:p>
                          </w:txbxContent>
                        </v:textbox>
                      </v:shape>
                    </v:group>
                  </w:pict>
                </mc:Fallback>
              </mc:AlternateContent>
            </w:r>
            <w:r w:rsidRPr="0070060E">
              <w:rPr>
                <w:rFonts w:ascii="Times New Roman" w:eastAsia="KaiTi_GB2312" w:hAnsi="Times New Roman" w:cs="Times New Roman"/>
                <w:noProof/>
                <w:sz w:val="24"/>
                <w:lang w:eastAsia="en-US"/>
              </w:rPr>
              <w:drawing>
                <wp:inline distT="0" distB="0" distL="0" distR="0" wp14:anchorId="26103D4E" wp14:editId="09DF780A">
                  <wp:extent cx="3433445" cy="1932305"/>
                  <wp:effectExtent l="0" t="0" r="0" b="0"/>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3445" cy="1932305"/>
                          </a:xfrm>
                          <a:prstGeom prst="rect">
                            <a:avLst/>
                          </a:prstGeom>
                          <a:noFill/>
                          <a:ln>
                            <a:noFill/>
                          </a:ln>
                        </pic:spPr>
                      </pic:pic>
                    </a:graphicData>
                  </a:graphic>
                </wp:inline>
              </w:drawing>
            </w:r>
          </w:p>
        </w:tc>
      </w:tr>
      <w:tr w:rsidR="0070060E" w:rsidRPr="0070060E" w14:paraId="0D0E3C7D" w14:textId="77777777" w:rsidTr="002E3152">
        <w:tc>
          <w:tcPr>
            <w:tcW w:w="3517" w:type="dxa"/>
            <w:vAlign w:val="center"/>
          </w:tcPr>
          <w:p w14:paraId="4AF118DD" w14:textId="753D5D0B" w:rsidR="002E3152" w:rsidRPr="0070060E" w:rsidRDefault="002E3152" w:rsidP="00117263">
            <w:pPr>
              <w:jc w:val="center"/>
              <w:rPr>
                <w:rFonts w:ascii="Times New Roman" w:hAnsi="Times New Roman" w:cs="Times New Roman"/>
                <w:sz w:val="24"/>
              </w:rPr>
            </w:pPr>
            <w:r w:rsidRPr="0070060E">
              <w:rPr>
                <w:rFonts w:ascii="Times New Roman" w:hAnsi="Times New Roman" w:cs="Times New Roman"/>
                <w:sz w:val="24"/>
              </w:rPr>
              <w:t>(a)</w:t>
            </w:r>
          </w:p>
        </w:tc>
        <w:tc>
          <w:tcPr>
            <w:tcW w:w="5834" w:type="dxa"/>
          </w:tcPr>
          <w:p w14:paraId="1E53B9DE" w14:textId="327E1140" w:rsidR="002E3152" w:rsidRPr="0070060E" w:rsidRDefault="002E3152" w:rsidP="00117263">
            <w:pPr>
              <w:jc w:val="center"/>
              <w:rPr>
                <w:rFonts w:ascii="Times New Roman" w:hAnsi="Times New Roman" w:cs="Times New Roman"/>
                <w:sz w:val="24"/>
              </w:rPr>
            </w:pPr>
            <w:r w:rsidRPr="0070060E">
              <w:rPr>
                <w:rFonts w:ascii="Times New Roman" w:hAnsi="Times New Roman" w:cs="Times New Roman"/>
                <w:sz w:val="24"/>
              </w:rPr>
              <w:t>(b)</w:t>
            </w:r>
          </w:p>
        </w:tc>
      </w:tr>
    </w:tbl>
    <w:p w14:paraId="48A57EA3" w14:textId="58CA916E" w:rsidR="00412BB6" w:rsidRPr="0070060E" w:rsidRDefault="00694F4D" w:rsidP="00412BB6">
      <w:pPr>
        <w:spacing w:line="240" w:lineRule="auto"/>
        <w:jc w:val="center"/>
        <w:rPr>
          <w:rFonts w:ascii="Times New Roman" w:hAnsi="Times New Roman" w:cs="Times New Roman"/>
          <w:sz w:val="28"/>
        </w:rPr>
      </w:pPr>
      <w:r w:rsidRPr="0070060E">
        <w:rPr>
          <w:rFonts w:ascii="Times New Roman" w:hAnsi="Times New Roman" w:cs="Times New Roman"/>
          <w:sz w:val="24"/>
          <w:szCs w:val="24"/>
        </w:rPr>
        <w:t>Figure S</w:t>
      </w:r>
      <w:r w:rsidR="00412BB6" w:rsidRPr="0070060E">
        <w:rPr>
          <w:rFonts w:ascii="Times New Roman" w:eastAsia="KaiTi_GB2312" w:hAnsi="Times New Roman" w:cs="Times New Roman"/>
          <w:sz w:val="24"/>
        </w:rPr>
        <w:t xml:space="preserve">3. </w:t>
      </w:r>
      <w:r w:rsidR="00C115BF">
        <w:rPr>
          <w:rFonts w:ascii="Times New Roman" w:eastAsia="KaiTi_GB2312" w:hAnsi="Times New Roman" w:cs="Times New Roman"/>
          <w:sz w:val="24"/>
        </w:rPr>
        <w:t>Study Area: (a) 3D Visualization of the University Campus</w:t>
      </w:r>
      <w:r w:rsidR="008F01A8">
        <w:rPr>
          <w:rFonts w:ascii="Times New Roman" w:eastAsia="KaiTi_GB2312" w:hAnsi="Times New Roman" w:cs="Times New Roman"/>
          <w:sz w:val="24"/>
        </w:rPr>
        <w:t>; (b)</w:t>
      </w:r>
      <w:r w:rsidR="00C115BF">
        <w:rPr>
          <w:rFonts w:ascii="Times New Roman" w:eastAsia="KaiTi_GB2312" w:hAnsi="Times New Roman" w:cs="Times New Roman"/>
          <w:sz w:val="24"/>
        </w:rPr>
        <w:t xml:space="preserve"> </w:t>
      </w:r>
      <w:r w:rsidR="00412BB6" w:rsidRPr="0070060E">
        <w:rPr>
          <w:rFonts w:ascii="Times New Roman" w:eastAsia="KaiTi_GB2312" w:hAnsi="Times New Roman" w:cs="Times New Roman"/>
          <w:sz w:val="24"/>
        </w:rPr>
        <w:t>Over 2,000 axial lines in 3D space</w:t>
      </w:r>
      <w:r w:rsidR="008F01A8">
        <w:rPr>
          <w:rFonts w:ascii="Times New Roman" w:eastAsia="KaiTi_GB2312" w:hAnsi="Times New Roman" w:cs="Times New Roman"/>
          <w:sz w:val="24"/>
        </w:rPr>
        <w:t>.</w:t>
      </w:r>
      <w:r w:rsidR="00ED5F24">
        <w:rPr>
          <w:rFonts w:ascii="Times New Roman" w:eastAsia="KaiTi_GB2312" w:hAnsi="Times New Roman" w:cs="Times New Roman"/>
          <w:sz w:val="24"/>
        </w:rPr>
        <w:t xml:space="preserve"> Note that the blue colors represent the elevations</w:t>
      </w:r>
      <w:r w:rsidR="002C1F51">
        <w:rPr>
          <w:rFonts w:ascii="Times New Roman" w:eastAsia="KaiTi_GB2312" w:hAnsi="Times New Roman" w:cs="Times New Roman"/>
          <w:sz w:val="24"/>
        </w:rPr>
        <w:t xml:space="preserve"> and red dots represent the Wi-Fi Access Points (Routers). The distribution of APs is n</w:t>
      </w:r>
      <w:r w:rsidR="00CB74DE">
        <w:rPr>
          <w:rFonts w:ascii="Times New Roman" w:eastAsia="KaiTi_GB2312" w:hAnsi="Times New Roman" w:cs="Times New Roman"/>
          <w:sz w:val="24"/>
        </w:rPr>
        <w:t xml:space="preserve">ot depicting </w:t>
      </w:r>
      <w:r w:rsidR="00E605CF">
        <w:rPr>
          <w:rFonts w:ascii="Times New Roman" w:eastAsia="KaiTi_GB2312" w:hAnsi="Times New Roman" w:cs="Times New Roman"/>
          <w:sz w:val="24"/>
        </w:rPr>
        <w:t>human</w:t>
      </w:r>
      <w:r w:rsidR="00CB74DE">
        <w:rPr>
          <w:rFonts w:ascii="Times New Roman" w:eastAsia="KaiTi_GB2312" w:hAnsi="Times New Roman" w:cs="Times New Roman"/>
          <w:sz w:val="24"/>
        </w:rPr>
        <w:t xml:space="preserve"> flows</w:t>
      </w:r>
      <w:r w:rsidR="00E605CF">
        <w:rPr>
          <w:rFonts w:ascii="Times New Roman" w:eastAsia="KaiTi_GB2312" w:hAnsi="Times New Roman" w:cs="Times New Roman"/>
          <w:sz w:val="24"/>
        </w:rPr>
        <w:t>. The flows are visualized in Figure 2.</w:t>
      </w:r>
    </w:p>
    <w:p w14:paraId="6E6C8269" w14:textId="77777777" w:rsidR="005F28E9" w:rsidRPr="0070060E" w:rsidRDefault="005F28E9" w:rsidP="00D6375B">
      <w:pPr>
        <w:spacing w:line="240" w:lineRule="auto"/>
        <w:jc w:val="center"/>
        <w:rPr>
          <w:rFonts w:ascii="Times New Roman" w:hAnsi="Times New Roman" w:cs="Times New Roma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0060E" w:rsidRPr="0070060E" w14:paraId="26134F96" w14:textId="77777777" w:rsidTr="00D6375B">
        <w:tc>
          <w:tcPr>
            <w:tcW w:w="4675" w:type="dxa"/>
          </w:tcPr>
          <w:p w14:paraId="5D6D817F" w14:textId="277DB719" w:rsidR="00D6375B" w:rsidRPr="0070060E" w:rsidRDefault="00D6375B" w:rsidP="004E6BF6">
            <w:pPr>
              <w:jc w:val="center"/>
              <w:rPr>
                <w:rFonts w:ascii="Times New Roman" w:hAnsi="Times New Roman" w:cs="Times New Roman"/>
                <w:sz w:val="24"/>
              </w:rPr>
            </w:pPr>
            <w:r w:rsidRPr="0070060E">
              <w:rPr>
                <w:rFonts w:ascii="Times New Roman" w:hAnsi="Times New Roman" w:cs="Times New Roman"/>
                <w:noProof/>
                <w:sz w:val="24"/>
                <w:lang w:eastAsia="en-US"/>
              </w:rPr>
              <w:drawing>
                <wp:inline distT="0" distB="0" distL="0" distR="0" wp14:anchorId="79F48395" wp14:editId="53EA1D54">
                  <wp:extent cx="2719014" cy="2343150"/>
                  <wp:effectExtent l="0" t="0" r="5715" b="0"/>
                  <wp:docPr id="1" name="Picture 1" descr="C:\Users\LSXTLI~1.LSG\AppData\Local\Temp\WeChat Files\588948a876bb5416174fdaac584b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SXTLI~1.LSG\AppData\Local\Temp\WeChat Files\588948a876bb5416174fdaac584b453.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22484" cy="2346140"/>
                          </a:xfrm>
                          <a:prstGeom prst="rect">
                            <a:avLst/>
                          </a:prstGeom>
                          <a:noFill/>
                          <a:ln>
                            <a:noFill/>
                          </a:ln>
                        </pic:spPr>
                      </pic:pic>
                    </a:graphicData>
                  </a:graphic>
                </wp:inline>
              </w:drawing>
            </w:r>
          </w:p>
        </w:tc>
        <w:tc>
          <w:tcPr>
            <w:tcW w:w="4675" w:type="dxa"/>
          </w:tcPr>
          <w:p w14:paraId="4D0DD0E2" w14:textId="527CDB9F" w:rsidR="00D6375B" w:rsidRPr="0070060E" w:rsidRDefault="00D6375B" w:rsidP="004E6BF6">
            <w:pPr>
              <w:jc w:val="center"/>
              <w:rPr>
                <w:rFonts w:ascii="Times New Roman" w:hAnsi="Times New Roman" w:cs="Times New Roman"/>
                <w:sz w:val="24"/>
              </w:rPr>
            </w:pPr>
            <w:r w:rsidRPr="0070060E">
              <w:rPr>
                <w:rFonts w:ascii="Times New Roman" w:hAnsi="Times New Roman" w:cs="Times New Roman"/>
                <w:noProof/>
                <w:sz w:val="24"/>
                <w:lang w:eastAsia="en-US"/>
              </w:rPr>
              <w:drawing>
                <wp:inline distT="0" distB="0" distL="0" distR="0" wp14:anchorId="6B5B01B1" wp14:editId="309B8357">
                  <wp:extent cx="2726952" cy="2370681"/>
                  <wp:effectExtent l="0" t="0" r="0" b="0"/>
                  <wp:docPr id="4" name="Picture 4" descr="C:\Users\LSXTLI~1.LSG\AppData\Local\Temp\WeChat Files\f73e6c9c579831fbc24566383e4a4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SXTLI~1.LSG\AppData\Local\Temp\WeChat Files\f73e6c9c579831fbc24566383e4a4d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31011" cy="2374210"/>
                          </a:xfrm>
                          <a:prstGeom prst="rect">
                            <a:avLst/>
                          </a:prstGeom>
                          <a:noFill/>
                          <a:ln>
                            <a:noFill/>
                          </a:ln>
                        </pic:spPr>
                      </pic:pic>
                    </a:graphicData>
                  </a:graphic>
                </wp:inline>
              </w:drawing>
            </w:r>
          </w:p>
        </w:tc>
      </w:tr>
      <w:tr w:rsidR="0070060E" w:rsidRPr="0070060E" w14:paraId="0CCCDFFE" w14:textId="77777777" w:rsidTr="00D6375B">
        <w:tc>
          <w:tcPr>
            <w:tcW w:w="4675" w:type="dxa"/>
          </w:tcPr>
          <w:p w14:paraId="4DE0ED08" w14:textId="6792BB3C" w:rsidR="00D6375B" w:rsidRPr="0070060E" w:rsidRDefault="00D6375B" w:rsidP="004E6BF6">
            <w:pPr>
              <w:jc w:val="center"/>
              <w:rPr>
                <w:rFonts w:ascii="Times New Roman" w:hAnsi="Times New Roman" w:cs="Times New Roman"/>
                <w:sz w:val="24"/>
              </w:rPr>
            </w:pPr>
            <w:r w:rsidRPr="0070060E">
              <w:rPr>
                <w:rFonts w:ascii="Times New Roman" w:hAnsi="Times New Roman" w:cs="Times New Roman"/>
                <w:sz w:val="24"/>
              </w:rPr>
              <w:t>(a)</w:t>
            </w:r>
          </w:p>
        </w:tc>
        <w:tc>
          <w:tcPr>
            <w:tcW w:w="4675" w:type="dxa"/>
          </w:tcPr>
          <w:p w14:paraId="48F226F2" w14:textId="0514E134" w:rsidR="00D6375B" w:rsidRPr="0070060E" w:rsidRDefault="00D6375B" w:rsidP="004E6BF6">
            <w:pPr>
              <w:jc w:val="center"/>
              <w:rPr>
                <w:rFonts w:ascii="Times New Roman" w:hAnsi="Times New Roman" w:cs="Times New Roman"/>
                <w:sz w:val="24"/>
              </w:rPr>
            </w:pPr>
            <w:r w:rsidRPr="0070060E">
              <w:rPr>
                <w:rFonts w:ascii="Times New Roman" w:hAnsi="Times New Roman" w:cs="Times New Roman"/>
                <w:sz w:val="24"/>
              </w:rPr>
              <w:t>(b)</w:t>
            </w:r>
          </w:p>
        </w:tc>
      </w:tr>
    </w:tbl>
    <w:p w14:paraId="1065BF0D" w14:textId="59CC417D" w:rsidR="00AE1C56" w:rsidRPr="0070060E" w:rsidRDefault="00694F4D" w:rsidP="00117263">
      <w:pPr>
        <w:spacing w:line="240" w:lineRule="auto"/>
        <w:jc w:val="center"/>
        <w:rPr>
          <w:rFonts w:ascii="Times New Roman" w:hAnsi="Times New Roman" w:cs="Times New Roman"/>
          <w:sz w:val="24"/>
        </w:rPr>
      </w:pPr>
      <w:r w:rsidRPr="0070060E">
        <w:rPr>
          <w:rFonts w:ascii="Times New Roman" w:hAnsi="Times New Roman" w:cs="Times New Roman"/>
          <w:sz w:val="24"/>
          <w:szCs w:val="24"/>
        </w:rPr>
        <w:t>Figure S</w:t>
      </w:r>
      <w:r w:rsidR="00412BB6" w:rsidRPr="0070060E">
        <w:rPr>
          <w:rFonts w:ascii="Times New Roman" w:hAnsi="Times New Roman" w:cs="Times New Roman"/>
          <w:sz w:val="24"/>
        </w:rPr>
        <w:t>4</w:t>
      </w:r>
      <w:r w:rsidR="00D75E92" w:rsidRPr="0070060E">
        <w:rPr>
          <w:rFonts w:ascii="Times New Roman" w:hAnsi="Times New Roman" w:cs="Times New Roman"/>
          <w:sz w:val="24"/>
        </w:rPr>
        <w:t xml:space="preserve">. </w:t>
      </w:r>
      <w:r w:rsidR="00245B4E" w:rsidRPr="0070060E">
        <w:rPr>
          <w:rFonts w:ascii="Times New Roman" w:hAnsi="Times New Roman" w:cs="Times New Roman"/>
          <w:sz w:val="24"/>
        </w:rPr>
        <w:t xml:space="preserve">The relationships between </w:t>
      </w:r>
      <w:r w:rsidR="00D076AF" w:rsidRPr="0070060E">
        <w:rPr>
          <w:rFonts w:ascii="Times New Roman" w:hAnsi="Times New Roman" w:cs="Times New Roman"/>
          <w:sz w:val="24"/>
        </w:rPr>
        <w:t xml:space="preserve">network topological measures and </w:t>
      </w:r>
      <w:r w:rsidR="008B4943" w:rsidRPr="00F31CEB">
        <w:rPr>
          <w:rFonts w:ascii="Times New Roman" w:hAnsi="Times New Roman" w:cs="Times New Roman"/>
          <w:color w:val="000000" w:themeColor="text1"/>
          <w:sz w:val="24"/>
        </w:rPr>
        <w:t>route-based pedestrian flow</w:t>
      </w:r>
      <w:r w:rsidR="008B4943" w:rsidRPr="008B4943">
        <w:rPr>
          <w:rFonts w:ascii="Times New Roman" w:hAnsi="Times New Roman" w:cs="Times New Roman"/>
          <w:color w:val="FF0000"/>
          <w:sz w:val="24"/>
        </w:rPr>
        <w:t xml:space="preserve"> </w:t>
      </w:r>
      <w:r w:rsidR="00D076AF" w:rsidRPr="0070060E">
        <w:rPr>
          <w:rFonts w:ascii="Times New Roman" w:hAnsi="Times New Roman" w:cs="Times New Roman"/>
          <w:sz w:val="24"/>
        </w:rPr>
        <w:t>(a) betwee</w:t>
      </w:r>
      <w:r w:rsidR="00111C70" w:rsidRPr="0070060E">
        <w:rPr>
          <w:rFonts w:ascii="Times New Roman" w:hAnsi="Times New Roman" w:cs="Times New Roman"/>
          <w:sz w:val="24"/>
        </w:rPr>
        <w:t>n</w:t>
      </w:r>
      <w:r w:rsidR="00D076AF" w:rsidRPr="0070060E">
        <w:rPr>
          <w:rFonts w:ascii="Times New Roman" w:hAnsi="Times New Roman" w:cs="Times New Roman"/>
          <w:sz w:val="24"/>
        </w:rPr>
        <w:t>ness,</w:t>
      </w:r>
      <w:r w:rsidR="00245B4E" w:rsidRPr="0070060E">
        <w:rPr>
          <w:rFonts w:ascii="Times New Roman" w:hAnsi="Times New Roman" w:cs="Times New Roman"/>
          <w:sz w:val="24"/>
        </w:rPr>
        <w:t xml:space="preserve"> and </w:t>
      </w:r>
      <w:r w:rsidR="00D076AF" w:rsidRPr="0070060E">
        <w:rPr>
          <w:rFonts w:ascii="Times New Roman" w:hAnsi="Times New Roman" w:cs="Times New Roman"/>
          <w:sz w:val="24"/>
        </w:rPr>
        <w:t>(b) local integration.</w:t>
      </w:r>
    </w:p>
    <w:p w14:paraId="13D7D9BF" w14:textId="77777777" w:rsidR="00117263" w:rsidRPr="0070060E" w:rsidRDefault="00117263" w:rsidP="00117263">
      <w:pPr>
        <w:spacing w:line="240" w:lineRule="auto"/>
        <w:rPr>
          <w:rFonts w:ascii="Times New Roman" w:hAnsi="Times New Roman" w:cs="Times New Roman"/>
          <w:sz w:val="24"/>
        </w:rPr>
      </w:pPr>
    </w:p>
    <w:p w14:paraId="536CE257" w14:textId="4D6668ED" w:rsidR="00117263" w:rsidRPr="0070060E" w:rsidRDefault="00117263" w:rsidP="00117263">
      <w:pPr>
        <w:spacing w:after="0" w:line="240" w:lineRule="auto"/>
        <w:jc w:val="center"/>
        <w:rPr>
          <w:rFonts w:ascii="Times New Roman" w:hAnsi="Times New Roman" w:cs="Times New Roman"/>
          <w:sz w:val="24"/>
          <w:szCs w:val="24"/>
        </w:rPr>
      </w:pPr>
      <w:r w:rsidRPr="0070060E">
        <w:rPr>
          <w:rFonts w:ascii="Times New Roman" w:hAnsi="Times New Roman" w:cs="Times New Roman"/>
          <w:noProof/>
          <w:sz w:val="24"/>
          <w:szCs w:val="24"/>
          <w:lang w:eastAsia="en-US"/>
        </w:rPr>
        <w:drawing>
          <wp:inline distT="0" distB="0" distL="0" distR="0" wp14:anchorId="7C3D36D1" wp14:editId="314D654A">
            <wp:extent cx="2587625" cy="2225675"/>
            <wp:effectExtent l="0" t="0" r="3175" b="0"/>
            <wp:docPr id="15" name="Picture 1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graphical user interface&#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r="1411"/>
                    <a:stretch>
                      <a:fillRect/>
                    </a:stretch>
                  </pic:blipFill>
                  <pic:spPr bwMode="auto">
                    <a:xfrm>
                      <a:off x="0" y="0"/>
                      <a:ext cx="2587625" cy="2225675"/>
                    </a:xfrm>
                    <a:prstGeom prst="rect">
                      <a:avLst/>
                    </a:prstGeom>
                    <a:noFill/>
                    <a:ln>
                      <a:noFill/>
                    </a:ln>
                  </pic:spPr>
                </pic:pic>
              </a:graphicData>
            </a:graphic>
          </wp:inline>
        </w:drawing>
      </w:r>
    </w:p>
    <w:p w14:paraId="13340B89" w14:textId="3A7A4EA2" w:rsidR="00117263" w:rsidRPr="0070060E" w:rsidRDefault="00694F4D" w:rsidP="00117263">
      <w:pPr>
        <w:spacing w:line="240" w:lineRule="auto"/>
        <w:jc w:val="center"/>
        <w:rPr>
          <w:rFonts w:ascii="Times New Roman" w:hAnsi="Times New Roman" w:cs="Times New Roman"/>
          <w:sz w:val="24"/>
          <w:szCs w:val="24"/>
        </w:rPr>
      </w:pPr>
      <w:r w:rsidRPr="0070060E">
        <w:rPr>
          <w:rFonts w:ascii="Times New Roman" w:hAnsi="Times New Roman" w:cs="Times New Roman"/>
          <w:sz w:val="24"/>
          <w:szCs w:val="24"/>
        </w:rPr>
        <w:t>Figure S</w:t>
      </w:r>
      <w:r w:rsidR="00117263" w:rsidRPr="0070060E">
        <w:rPr>
          <w:rFonts w:ascii="Times New Roman" w:hAnsi="Times New Roman" w:cs="Times New Roman"/>
          <w:sz w:val="24"/>
        </w:rPr>
        <w:t>5</w:t>
      </w:r>
      <w:r w:rsidR="00117263" w:rsidRPr="0070060E">
        <w:rPr>
          <w:rFonts w:ascii="Times New Roman" w:hAnsi="Times New Roman" w:cs="Times New Roman"/>
          <w:sz w:val="24"/>
          <w:szCs w:val="24"/>
        </w:rPr>
        <w:t>. The relationships between observed pedestrian flow and estimated pedestrian flow.</w:t>
      </w:r>
    </w:p>
    <w:p w14:paraId="4068F214" w14:textId="727B92BC" w:rsidR="00D75E92" w:rsidRPr="0070060E" w:rsidRDefault="00D076AF" w:rsidP="00D6375B">
      <w:pPr>
        <w:spacing w:after="0" w:line="240" w:lineRule="auto"/>
        <w:jc w:val="center"/>
        <w:rPr>
          <w:rFonts w:ascii="Times New Roman" w:hAnsi="Times New Roman" w:cs="Times New Roman"/>
          <w:sz w:val="24"/>
        </w:rPr>
      </w:pPr>
      <w:r w:rsidRPr="0070060E">
        <w:rPr>
          <w:rFonts w:ascii="Times New Roman" w:hAnsi="Times New Roman" w:cs="Times New Roman"/>
          <w:sz w:val="24"/>
        </w:rPr>
        <w:t xml:space="preserve"> </w:t>
      </w:r>
    </w:p>
    <w:p w14:paraId="09B92651" w14:textId="77777777" w:rsidR="00117263" w:rsidRPr="0070060E" w:rsidRDefault="00117263" w:rsidP="00D6375B">
      <w:pPr>
        <w:spacing w:after="0" w:line="240" w:lineRule="auto"/>
        <w:jc w:val="center"/>
        <w:rPr>
          <w:rFonts w:ascii="Times New Roman" w:hAnsi="Times New Roman" w:cs="Times New Roma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0060E" w:rsidRPr="0070060E" w14:paraId="1A5CCBFE" w14:textId="77777777" w:rsidTr="00201812">
        <w:tc>
          <w:tcPr>
            <w:tcW w:w="4675" w:type="dxa"/>
          </w:tcPr>
          <w:p w14:paraId="583DE208" w14:textId="168639CC" w:rsidR="00D52A77" w:rsidRPr="0070060E" w:rsidRDefault="0019505E" w:rsidP="009A005F">
            <w:pPr>
              <w:jc w:val="center"/>
              <w:rPr>
                <w:rFonts w:ascii="Times New Roman" w:hAnsi="Times New Roman" w:cs="Times New Roman"/>
                <w:sz w:val="24"/>
              </w:rPr>
            </w:pPr>
            <w:r w:rsidRPr="0070060E">
              <w:rPr>
                <w:noProof/>
                <w:lang w:eastAsia="en-US"/>
              </w:rPr>
              <w:lastRenderedPageBreak/>
              <w:drawing>
                <wp:inline distT="0" distB="0" distL="0" distR="0" wp14:anchorId="0BED0F24" wp14:editId="7FCA6BED">
                  <wp:extent cx="2557386" cy="233198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66803" cy="2340573"/>
                          </a:xfrm>
                          <a:prstGeom prst="rect">
                            <a:avLst/>
                          </a:prstGeom>
                        </pic:spPr>
                      </pic:pic>
                    </a:graphicData>
                  </a:graphic>
                </wp:inline>
              </w:drawing>
            </w:r>
          </w:p>
        </w:tc>
        <w:tc>
          <w:tcPr>
            <w:tcW w:w="4675" w:type="dxa"/>
          </w:tcPr>
          <w:p w14:paraId="59151F40" w14:textId="3E52B3CE" w:rsidR="00D52A77" w:rsidRPr="0070060E" w:rsidRDefault="00D52A77" w:rsidP="009A005F">
            <w:pPr>
              <w:jc w:val="center"/>
              <w:rPr>
                <w:rFonts w:ascii="Times New Roman" w:hAnsi="Times New Roman" w:cs="Times New Roman"/>
                <w:sz w:val="24"/>
              </w:rPr>
            </w:pPr>
            <w:r w:rsidRPr="0070060E">
              <w:rPr>
                <w:noProof/>
                <w:lang w:eastAsia="en-US"/>
              </w:rPr>
              <w:drawing>
                <wp:inline distT="0" distB="0" distL="0" distR="0" wp14:anchorId="4D53D212" wp14:editId="3ADC9333">
                  <wp:extent cx="2508488" cy="231420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25653" cy="2330036"/>
                          </a:xfrm>
                          <a:prstGeom prst="rect">
                            <a:avLst/>
                          </a:prstGeom>
                        </pic:spPr>
                      </pic:pic>
                    </a:graphicData>
                  </a:graphic>
                </wp:inline>
              </w:drawing>
            </w:r>
          </w:p>
        </w:tc>
      </w:tr>
      <w:tr w:rsidR="0070060E" w:rsidRPr="0070060E" w14:paraId="7EFA61A6" w14:textId="77777777" w:rsidTr="00201812">
        <w:tc>
          <w:tcPr>
            <w:tcW w:w="4675" w:type="dxa"/>
          </w:tcPr>
          <w:p w14:paraId="53853177" w14:textId="2FAC622F" w:rsidR="009A005F" w:rsidRPr="0070060E" w:rsidRDefault="009A005F" w:rsidP="009A005F">
            <w:pPr>
              <w:jc w:val="center"/>
              <w:rPr>
                <w:rFonts w:ascii="Times New Roman" w:hAnsi="Times New Roman" w:cs="Times New Roman"/>
                <w:sz w:val="24"/>
              </w:rPr>
            </w:pPr>
            <w:r w:rsidRPr="0070060E">
              <w:rPr>
                <w:rFonts w:ascii="Times New Roman" w:hAnsi="Times New Roman" w:cs="Times New Roman"/>
                <w:sz w:val="24"/>
              </w:rPr>
              <w:t>(a)</w:t>
            </w:r>
          </w:p>
        </w:tc>
        <w:tc>
          <w:tcPr>
            <w:tcW w:w="4675" w:type="dxa"/>
          </w:tcPr>
          <w:p w14:paraId="37C7970B" w14:textId="11982D30" w:rsidR="009A005F" w:rsidRPr="0070060E" w:rsidRDefault="009A005F" w:rsidP="004E6BF6">
            <w:pPr>
              <w:jc w:val="center"/>
              <w:rPr>
                <w:noProof/>
              </w:rPr>
            </w:pPr>
            <w:r w:rsidRPr="0070060E">
              <w:rPr>
                <w:rFonts w:ascii="Times New Roman" w:hAnsi="Times New Roman" w:cs="Times New Roman"/>
                <w:sz w:val="24"/>
              </w:rPr>
              <w:t>(b)</w:t>
            </w:r>
          </w:p>
        </w:tc>
      </w:tr>
    </w:tbl>
    <w:p w14:paraId="02521BCF" w14:textId="749AF0E9" w:rsidR="00D52A77" w:rsidRPr="0070060E" w:rsidRDefault="00694F4D" w:rsidP="00D6375B">
      <w:pPr>
        <w:spacing w:line="240" w:lineRule="auto"/>
        <w:jc w:val="center"/>
        <w:rPr>
          <w:rFonts w:ascii="Times New Roman" w:hAnsi="Times New Roman" w:cs="Times New Roman"/>
          <w:sz w:val="24"/>
          <w:szCs w:val="24"/>
        </w:rPr>
      </w:pPr>
      <w:r w:rsidRPr="0070060E">
        <w:rPr>
          <w:rFonts w:ascii="Times New Roman" w:hAnsi="Times New Roman" w:cs="Times New Roman"/>
          <w:sz w:val="24"/>
          <w:szCs w:val="24"/>
        </w:rPr>
        <w:t>Figure S</w:t>
      </w:r>
      <w:r w:rsidR="00117263" w:rsidRPr="0070060E">
        <w:rPr>
          <w:rFonts w:ascii="Times New Roman" w:hAnsi="Times New Roman" w:cs="Times New Roman"/>
          <w:sz w:val="24"/>
          <w:szCs w:val="24"/>
        </w:rPr>
        <w:t>6</w:t>
      </w:r>
      <w:r w:rsidR="00D52A77" w:rsidRPr="0070060E">
        <w:rPr>
          <w:rFonts w:ascii="Times New Roman" w:hAnsi="Times New Roman" w:cs="Times New Roman"/>
          <w:sz w:val="24"/>
          <w:szCs w:val="24"/>
        </w:rPr>
        <w:t xml:space="preserve">. The distribution of the residuals in </w:t>
      </w:r>
      <w:r w:rsidR="009A005F" w:rsidRPr="0070060E">
        <w:rPr>
          <w:rFonts w:ascii="Times New Roman" w:hAnsi="Times New Roman" w:cs="Times New Roman"/>
          <w:sz w:val="24"/>
          <w:szCs w:val="24"/>
        </w:rPr>
        <w:t xml:space="preserve">(a) </w:t>
      </w:r>
      <w:r w:rsidR="00D52A77" w:rsidRPr="0070060E">
        <w:rPr>
          <w:rFonts w:ascii="Times New Roman" w:hAnsi="Times New Roman" w:cs="Times New Roman"/>
          <w:sz w:val="24"/>
          <w:szCs w:val="24"/>
        </w:rPr>
        <w:t xml:space="preserve">Model 1 and </w:t>
      </w:r>
      <w:r w:rsidR="009A005F" w:rsidRPr="0070060E">
        <w:rPr>
          <w:rFonts w:ascii="Times New Roman" w:hAnsi="Times New Roman" w:cs="Times New Roman"/>
          <w:sz w:val="24"/>
          <w:szCs w:val="24"/>
        </w:rPr>
        <w:t xml:space="preserve">(b) </w:t>
      </w:r>
      <w:r w:rsidR="00D52A77" w:rsidRPr="0070060E">
        <w:rPr>
          <w:rFonts w:ascii="Times New Roman" w:hAnsi="Times New Roman" w:cs="Times New Roman"/>
          <w:sz w:val="24"/>
          <w:szCs w:val="24"/>
        </w:rPr>
        <w:t>Model 2 of Table 4.</w:t>
      </w:r>
    </w:p>
    <w:p w14:paraId="4D760392" w14:textId="77777777" w:rsidR="00117263" w:rsidRPr="0070060E" w:rsidRDefault="00117263" w:rsidP="00117263">
      <w:pPr>
        <w:spacing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330"/>
        <w:gridCol w:w="3060"/>
      </w:tblGrid>
      <w:tr w:rsidR="0070060E" w:rsidRPr="0070060E" w14:paraId="2E954D62" w14:textId="7D727368" w:rsidTr="00BF7D8D">
        <w:tc>
          <w:tcPr>
            <w:tcW w:w="9360" w:type="dxa"/>
            <w:gridSpan w:val="3"/>
          </w:tcPr>
          <w:p w14:paraId="2AC2630E" w14:textId="6BB05D3F" w:rsidR="005B1DBC" w:rsidRPr="0070060E" w:rsidRDefault="005D1617" w:rsidP="00D6375B">
            <w:pPr>
              <w:jc w:val="center"/>
              <w:rPr>
                <w:rFonts w:ascii="Times New Roman" w:hAnsi="Times New Roman" w:cs="Times New Roman"/>
                <w:sz w:val="24"/>
                <w:szCs w:val="24"/>
              </w:rPr>
            </w:pPr>
            <w:r w:rsidRPr="0070060E">
              <w:rPr>
                <w:rFonts w:ascii="Times New Roman" w:hAnsi="Times New Roman" w:cs="Times New Roman"/>
                <w:noProof/>
                <w:sz w:val="24"/>
                <w:szCs w:val="24"/>
                <w:lang w:eastAsia="en-US"/>
              </w:rPr>
              <w:drawing>
                <wp:inline distT="0" distB="0" distL="0" distR="0" wp14:anchorId="0FFE8A5C" wp14:editId="60021EFE">
                  <wp:extent cx="5772150" cy="3843783"/>
                  <wp:effectExtent l="0" t="0" r="0" b="4445"/>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73203" cy="3844484"/>
                          </a:xfrm>
                          <a:prstGeom prst="rect">
                            <a:avLst/>
                          </a:prstGeom>
                        </pic:spPr>
                      </pic:pic>
                    </a:graphicData>
                  </a:graphic>
                </wp:inline>
              </w:drawing>
            </w:r>
          </w:p>
        </w:tc>
      </w:tr>
      <w:tr w:rsidR="0070060E" w:rsidRPr="0070060E" w14:paraId="76B749E2" w14:textId="03774D1A" w:rsidTr="005B1DBC">
        <w:tc>
          <w:tcPr>
            <w:tcW w:w="2970" w:type="dxa"/>
          </w:tcPr>
          <w:p w14:paraId="30C6727B" w14:textId="24004E93" w:rsidR="005B1DBC" w:rsidRPr="0070060E" w:rsidRDefault="005B1DBC" w:rsidP="00D6375B">
            <w:pPr>
              <w:jc w:val="center"/>
              <w:rPr>
                <w:rFonts w:ascii="Times New Roman" w:hAnsi="Times New Roman" w:cs="Times New Roman"/>
                <w:sz w:val="24"/>
                <w:szCs w:val="24"/>
              </w:rPr>
            </w:pPr>
            <w:r w:rsidRPr="0070060E">
              <w:rPr>
                <w:rFonts w:ascii="Times New Roman" w:hAnsi="Times New Roman" w:cs="Times New Roman"/>
                <w:sz w:val="24"/>
                <w:szCs w:val="24"/>
              </w:rPr>
              <w:t>(a)</w:t>
            </w:r>
          </w:p>
        </w:tc>
        <w:tc>
          <w:tcPr>
            <w:tcW w:w="3330" w:type="dxa"/>
          </w:tcPr>
          <w:p w14:paraId="4822B645" w14:textId="6604BE68" w:rsidR="005B1DBC" w:rsidRPr="0070060E" w:rsidRDefault="005B1DBC" w:rsidP="00D6375B">
            <w:pPr>
              <w:jc w:val="center"/>
              <w:rPr>
                <w:rFonts w:ascii="Times New Roman" w:hAnsi="Times New Roman" w:cs="Times New Roman"/>
                <w:sz w:val="24"/>
                <w:szCs w:val="24"/>
              </w:rPr>
            </w:pPr>
            <w:r w:rsidRPr="0070060E">
              <w:rPr>
                <w:rFonts w:ascii="Times New Roman" w:hAnsi="Times New Roman" w:cs="Times New Roman"/>
                <w:sz w:val="24"/>
                <w:szCs w:val="24"/>
              </w:rPr>
              <w:t>(b)</w:t>
            </w:r>
          </w:p>
        </w:tc>
        <w:tc>
          <w:tcPr>
            <w:tcW w:w="3060" w:type="dxa"/>
          </w:tcPr>
          <w:p w14:paraId="12D58111" w14:textId="0A3C971F" w:rsidR="005B1DBC" w:rsidRPr="0070060E" w:rsidRDefault="005B1DBC" w:rsidP="00D6375B">
            <w:pPr>
              <w:jc w:val="center"/>
              <w:rPr>
                <w:rFonts w:ascii="Times New Roman" w:hAnsi="Times New Roman" w:cs="Times New Roman"/>
                <w:sz w:val="24"/>
                <w:szCs w:val="24"/>
              </w:rPr>
            </w:pPr>
            <w:r w:rsidRPr="0070060E">
              <w:rPr>
                <w:rFonts w:ascii="Times New Roman" w:hAnsi="Times New Roman" w:cs="Times New Roman"/>
                <w:sz w:val="24"/>
                <w:szCs w:val="24"/>
              </w:rPr>
              <w:t>(</w:t>
            </w:r>
            <w:r w:rsidR="00FB3AF3" w:rsidRPr="0070060E">
              <w:rPr>
                <w:rFonts w:ascii="Times New Roman" w:hAnsi="Times New Roman" w:cs="Times New Roman"/>
                <w:sz w:val="24"/>
                <w:szCs w:val="24"/>
              </w:rPr>
              <w:t>c)</w:t>
            </w:r>
          </w:p>
        </w:tc>
      </w:tr>
    </w:tbl>
    <w:p w14:paraId="20A4C489" w14:textId="12D14DBE" w:rsidR="00D86A62" w:rsidRPr="0070060E" w:rsidRDefault="00694F4D" w:rsidP="00111BF8">
      <w:pPr>
        <w:spacing w:line="240" w:lineRule="auto"/>
        <w:jc w:val="center"/>
        <w:rPr>
          <w:rFonts w:ascii="Times New Roman" w:hAnsi="Times New Roman" w:cs="Times New Roman"/>
          <w:sz w:val="24"/>
          <w:szCs w:val="24"/>
        </w:rPr>
      </w:pPr>
      <w:r w:rsidRPr="0070060E">
        <w:rPr>
          <w:rFonts w:ascii="Times New Roman" w:hAnsi="Times New Roman" w:cs="Times New Roman"/>
          <w:sz w:val="24"/>
          <w:szCs w:val="24"/>
        </w:rPr>
        <w:t>Figure S</w:t>
      </w:r>
      <w:r w:rsidR="00117263" w:rsidRPr="0070060E">
        <w:rPr>
          <w:rFonts w:ascii="Times New Roman" w:hAnsi="Times New Roman" w:cs="Times New Roman"/>
          <w:sz w:val="24"/>
          <w:szCs w:val="24"/>
        </w:rPr>
        <w:t>7</w:t>
      </w:r>
      <w:r w:rsidR="00111BF8" w:rsidRPr="0070060E">
        <w:rPr>
          <w:rFonts w:ascii="Times New Roman" w:hAnsi="Times New Roman" w:cs="Times New Roman"/>
          <w:sz w:val="24"/>
          <w:szCs w:val="24"/>
        </w:rPr>
        <w:t xml:space="preserve">. The </w:t>
      </w:r>
      <w:r w:rsidR="00CA46DC" w:rsidRPr="0070060E">
        <w:rPr>
          <w:rFonts w:ascii="Times New Roman" w:hAnsi="Times New Roman" w:cs="Times New Roman"/>
          <w:sz w:val="24"/>
          <w:szCs w:val="24"/>
        </w:rPr>
        <w:t xml:space="preserve">spatial distribution of betweenness </w:t>
      </w:r>
      <w:r w:rsidR="00CF6C72" w:rsidRPr="0070060E">
        <w:rPr>
          <w:rFonts w:ascii="Times New Roman" w:hAnsi="Times New Roman" w:cs="Times New Roman"/>
          <w:sz w:val="24"/>
          <w:szCs w:val="24"/>
        </w:rPr>
        <w:t xml:space="preserve">centrality </w:t>
      </w:r>
      <w:r w:rsidR="00335CE6" w:rsidRPr="0070060E">
        <w:rPr>
          <w:rFonts w:ascii="Times New Roman" w:hAnsi="Times New Roman" w:cs="Times New Roman"/>
          <w:sz w:val="24"/>
          <w:szCs w:val="24"/>
        </w:rPr>
        <w:t>in terms of</w:t>
      </w:r>
      <w:r w:rsidR="00AE481B" w:rsidRPr="0070060E">
        <w:rPr>
          <w:rFonts w:ascii="Times New Roman" w:hAnsi="Times New Roman" w:cs="Times New Roman"/>
          <w:sz w:val="24"/>
          <w:szCs w:val="24"/>
        </w:rPr>
        <w:t xml:space="preserve"> </w:t>
      </w:r>
      <w:r w:rsidR="00170D02">
        <w:rPr>
          <w:rFonts w:ascii="Times New Roman" w:hAnsi="Times New Roman" w:cs="Times New Roman"/>
          <w:sz w:val="24"/>
          <w:szCs w:val="24"/>
        </w:rPr>
        <w:t xml:space="preserve">(a) </w:t>
      </w:r>
      <w:r w:rsidR="00335CE6" w:rsidRPr="0070060E">
        <w:rPr>
          <w:rFonts w:ascii="Times New Roman" w:hAnsi="Times New Roman" w:cs="Times New Roman"/>
          <w:sz w:val="24"/>
          <w:szCs w:val="24"/>
        </w:rPr>
        <w:t>topological</w:t>
      </w:r>
      <w:r w:rsidR="00321FA7" w:rsidRPr="0070060E">
        <w:rPr>
          <w:rFonts w:ascii="Times New Roman" w:hAnsi="Times New Roman" w:cs="Times New Roman"/>
          <w:sz w:val="24"/>
          <w:szCs w:val="24"/>
        </w:rPr>
        <w:t xml:space="preserve"> </w:t>
      </w:r>
      <w:r w:rsidR="00335CE6" w:rsidRPr="0070060E">
        <w:rPr>
          <w:rFonts w:ascii="Times New Roman" w:hAnsi="Times New Roman" w:cs="Times New Roman"/>
          <w:sz w:val="24"/>
          <w:szCs w:val="24"/>
        </w:rPr>
        <w:t xml:space="preserve">view, </w:t>
      </w:r>
      <w:r w:rsidR="00170D02">
        <w:rPr>
          <w:rFonts w:ascii="Times New Roman" w:hAnsi="Times New Roman" w:cs="Times New Roman"/>
          <w:sz w:val="24"/>
          <w:szCs w:val="24"/>
        </w:rPr>
        <w:t xml:space="preserve">(b) </w:t>
      </w:r>
      <w:r w:rsidR="00B01D69" w:rsidRPr="0070060E">
        <w:rPr>
          <w:rFonts w:ascii="Times New Roman" w:hAnsi="Times New Roman" w:cs="Times New Roman"/>
          <w:sz w:val="24"/>
          <w:szCs w:val="24"/>
        </w:rPr>
        <w:t>angular view</w:t>
      </w:r>
      <w:r w:rsidR="00170D02">
        <w:rPr>
          <w:rFonts w:ascii="Times New Roman" w:hAnsi="Times New Roman" w:cs="Times New Roman"/>
          <w:sz w:val="24"/>
          <w:szCs w:val="24"/>
        </w:rPr>
        <w:t>,</w:t>
      </w:r>
      <w:r w:rsidR="00603E17" w:rsidRPr="0070060E">
        <w:rPr>
          <w:rFonts w:ascii="Times New Roman" w:hAnsi="Times New Roman" w:cs="Times New Roman"/>
          <w:sz w:val="24"/>
          <w:szCs w:val="24"/>
        </w:rPr>
        <w:t xml:space="preserve"> and </w:t>
      </w:r>
      <w:r w:rsidR="00170D02">
        <w:rPr>
          <w:rFonts w:ascii="Times New Roman" w:hAnsi="Times New Roman" w:cs="Times New Roman"/>
          <w:sz w:val="24"/>
          <w:szCs w:val="24"/>
        </w:rPr>
        <w:t xml:space="preserve">(c) </w:t>
      </w:r>
      <w:r w:rsidR="00603E17" w:rsidRPr="0070060E">
        <w:rPr>
          <w:rFonts w:ascii="Times New Roman" w:hAnsi="Times New Roman" w:cs="Times New Roman"/>
          <w:sz w:val="24"/>
          <w:szCs w:val="24"/>
        </w:rPr>
        <w:t>the spatial distribution of</w:t>
      </w:r>
      <w:r w:rsidR="00170D02" w:rsidRPr="00170D02">
        <w:rPr>
          <w:rFonts w:ascii="Times New Roman" w:hAnsi="Times New Roman" w:cs="Times New Roman"/>
          <w:color w:val="FF0000"/>
          <w:sz w:val="24"/>
        </w:rPr>
        <w:t xml:space="preserve"> </w:t>
      </w:r>
      <w:r w:rsidR="00170D02" w:rsidRPr="00F31CEB">
        <w:rPr>
          <w:rFonts w:ascii="Times New Roman" w:hAnsi="Times New Roman" w:cs="Times New Roman"/>
          <w:color w:val="000000" w:themeColor="text1"/>
          <w:sz w:val="24"/>
        </w:rPr>
        <w:t>route-based pedestrian flow</w:t>
      </w:r>
      <w:r w:rsidR="00111BF8" w:rsidRPr="0070060E">
        <w:rPr>
          <w:rFonts w:ascii="Times New Roman" w:hAnsi="Times New Roman" w:cs="Times New Roman"/>
          <w:sz w:val="24"/>
          <w:szCs w:val="24"/>
        </w:rPr>
        <w:t>.</w:t>
      </w:r>
    </w:p>
    <w:p w14:paraId="66FBA319" w14:textId="31DBC904" w:rsidR="00AB5A59" w:rsidRPr="0070060E" w:rsidRDefault="00AB5A59" w:rsidP="0091045A">
      <w:pPr>
        <w:spacing w:after="0" w:line="240" w:lineRule="auto"/>
        <w:ind w:left="480" w:hangingChars="200" w:hanging="480"/>
        <w:jc w:val="both"/>
        <w:rPr>
          <w:rFonts w:ascii="Times New Roman" w:hAnsi="Times New Roman" w:cs="Times New Roman"/>
          <w:sz w:val="24"/>
          <w:szCs w:val="24"/>
          <w:shd w:val="clear" w:color="auto" w:fill="FFFFFF"/>
        </w:rPr>
      </w:pPr>
    </w:p>
    <w:sectPr w:rsidR="00AB5A59" w:rsidRPr="0070060E" w:rsidSect="00DD23B7">
      <w:footerReference w:type="default" r:id="rId2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7C893" w14:textId="77777777" w:rsidR="00DF7D2A" w:rsidRDefault="00DF7D2A" w:rsidP="00BE72C0">
      <w:pPr>
        <w:spacing w:after="0" w:line="240" w:lineRule="auto"/>
      </w:pPr>
      <w:r>
        <w:separator/>
      </w:r>
    </w:p>
  </w:endnote>
  <w:endnote w:type="continuationSeparator" w:id="0">
    <w:p w14:paraId="7B1BCC63" w14:textId="77777777" w:rsidR="00DF7D2A" w:rsidRDefault="00DF7D2A" w:rsidP="00BE72C0">
      <w:pPr>
        <w:spacing w:after="0" w:line="240" w:lineRule="auto"/>
      </w:pPr>
      <w:r>
        <w:continuationSeparator/>
      </w:r>
    </w:p>
  </w:endnote>
  <w:endnote w:type="continuationNotice" w:id="1">
    <w:p w14:paraId="779FB629" w14:textId="77777777" w:rsidR="00DF7D2A" w:rsidRDefault="00DF7D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SimSun"/>
    <w:panose1 w:val="02010600030101010101"/>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Segoe UI">
    <w:altName w:val="Sylfaen"/>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KaiTi_GB2312">
    <w:altName w:val="楷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011419"/>
      <w:docPartObj>
        <w:docPartGallery w:val="Page Numbers (Bottom of Page)"/>
        <w:docPartUnique/>
      </w:docPartObj>
    </w:sdtPr>
    <w:sdtEndPr>
      <w:rPr>
        <w:noProof/>
      </w:rPr>
    </w:sdtEndPr>
    <w:sdtContent>
      <w:p w14:paraId="1978F8C3" w14:textId="21104655" w:rsidR="00B7136A" w:rsidRDefault="00B7136A">
        <w:pPr>
          <w:pStyle w:val="Footer"/>
          <w:jc w:val="center"/>
        </w:pPr>
        <w:r>
          <w:fldChar w:fldCharType="begin"/>
        </w:r>
        <w:r>
          <w:instrText xml:space="preserve"> PAGE   \* MERGEFORMAT </w:instrText>
        </w:r>
        <w:r>
          <w:fldChar w:fldCharType="separate"/>
        </w:r>
        <w:r w:rsidR="00854D86">
          <w:rPr>
            <w:noProof/>
          </w:rPr>
          <w:t>9</w:t>
        </w:r>
        <w:r>
          <w:rPr>
            <w:noProof/>
          </w:rPr>
          <w:fldChar w:fldCharType="end"/>
        </w:r>
      </w:p>
    </w:sdtContent>
  </w:sdt>
  <w:p w14:paraId="248ACE15" w14:textId="77777777" w:rsidR="00B7136A" w:rsidRDefault="00B71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42C44D" w14:textId="77777777" w:rsidR="00DF7D2A" w:rsidRDefault="00DF7D2A" w:rsidP="00BE72C0">
      <w:pPr>
        <w:spacing w:after="0" w:line="240" w:lineRule="auto"/>
      </w:pPr>
      <w:r>
        <w:separator/>
      </w:r>
    </w:p>
  </w:footnote>
  <w:footnote w:type="continuationSeparator" w:id="0">
    <w:p w14:paraId="7D844A27" w14:textId="77777777" w:rsidR="00DF7D2A" w:rsidRDefault="00DF7D2A" w:rsidP="00BE72C0">
      <w:pPr>
        <w:spacing w:after="0" w:line="240" w:lineRule="auto"/>
      </w:pPr>
      <w:r>
        <w:continuationSeparator/>
      </w:r>
    </w:p>
  </w:footnote>
  <w:footnote w:type="continuationNotice" w:id="1">
    <w:p w14:paraId="275EC479" w14:textId="77777777" w:rsidR="00DF7D2A" w:rsidRDefault="00DF7D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C65B4"/>
    <w:multiLevelType w:val="hybridMultilevel"/>
    <w:tmpl w:val="47CE10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780647"/>
    <w:multiLevelType w:val="hybridMultilevel"/>
    <w:tmpl w:val="E6806D8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F872BB1"/>
    <w:multiLevelType w:val="multilevel"/>
    <w:tmpl w:val="CC544CF8"/>
    <w:lvl w:ilvl="0">
      <w:start w:val="1"/>
      <w:numFmt w:val="bullet"/>
      <w:lvlText w:val=""/>
      <w:lvlJc w:val="left"/>
      <w:pPr>
        <w:ind w:left="360" w:hanging="360"/>
      </w:pPr>
      <w:rPr>
        <w:rFonts w:ascii="Symbol" w:hAnsi="Symbol" w:hint="default"/>
      </w:rPr>
    </w:lvl>
    <w:lvl w:ilvl="1">
      <w:start w:val="1"/>
      <w:numFmt w:val="decimal"/>
      <w:isLgl/>
      <w:lvlText w:val="%1.%2."/>
      <w:lvlJc w:val="left"/>
      <w:pPr>
        <w:ind w:left="540" w:hanging="540"/>
      </w:pPr>
      <w:rPr>
        <w:rFonts w:hint="default"/>
        <w:b/>
        <w:color w:val="000000" w:themeColor="text1"/>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9804CE3"/>
    <w:multiLevelType w:val="hybridMultilevel"/>
    <w:tmpl w:val="060657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4104A8"/>
    <w:multiLevelType w:val="hybridMultilevel"/>
    <w:tmpl w:val="20A23B8E"/>
    <w:lvl w:ilvl="0" w:tplc="B92430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D934443"/>
    <w:multiLevelType w:val="hybridMultilevel"/>
    <w:tmpl w:val="0C24326C"/>
    <w:lvl w:ilvl="0" w:tplc="9A3ECB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yMjAwNbKwMLI0tzRV0lEKTi0uzszPAykwMqsFAJEIy/AtAAAA"/>
  </w:docVars>
  <w:rsids>
    <w:rsidRoot w:val="0024045A"/>
    <w:rsid w:val="0000024E"/>
    <w:rsid w:val="0000120D"/>
    <w:rsid w:val="00001ECE"/>
    <w:rsid w:val="0000227B"/>
    <w:rsid w:val="00003BBD"/>
    <w:rsid w:val="00003C41"/>
    <w:rsid w:val="00004398"/>
    <w:rsid w:val="00004614"/>
    <w:rsid w:val="00004912"/>
    <w:rsid w:val="00004D28"/>
    <w:rsid w:val="00004FE6"/>
    <w:rsid w:val="000050AC"/>
    <w:rsid w:val="00005ED9"/>
    <w:rsid w:val="00007261"/>
    <w:rsid w:val="00007323"/>
    <w:rsid w:val="000102D2"/>
    <w:rsid w:val="000102E9"/>
    <w:rsid w:val="000106CF"/>
    <w:rsid w:val="00011189"/>
    <w:rsid w:val="00011239"/>
    <w:rsid w:val="0001187B"/>
    <w:rsid w:val="0001372F"/>
    <w:rsid w:val="00013861"/>
    <w:rsid w:val="00013ED6"/>
    <w:rsid w:val="00014104"/>
    <w:rsid w:val="00014377"/>
    <w:rsid w:val="00016308"/>
    <w:rsid w:val="00017605"/>
    <w:rsid w:val="00021A7F"/>
    <w:rsid w:val="00021E50"/>
    <w:rsid w:val="00021E90"/>
    <w:rsid w:val="00021F69"/>
    <w:rsid w:val="00022117"/>
    <w:rsid w:val="000228E8"/>
    <w:rsid w:val="000236A4"/>
    <w:rsid w:val="000236A8"/>
    <w:rsid w:val="000238FF"/>
    <w:rsid w:val="00024641"/>
    <w:rsid w:val="0002580A"/>
    <w:rsid w:val="000267DD"/>
    <w:rsid w:val="000304DF"/>
    <w:rsid w:val="000307A8"/>
    <w:rsid w:val="00031952"/>
    <w:rsid w:val="00031B9C"/>
    <w:rsid w:val="00032A6A"/>
    <w:rsid w:val="00032CEB"/>
    <w:rsid w:val="00034061"/>
    <w:rsid w:val="00034B97"/>
    <w:rsid w:val="0003521B"/>
    <w:rsid w:val="0003539A"/>
    <w:rsid w:val="000355D6"/>
    <w:rsid w:val="00035903"/>
    <w:rsid w:val="00040369"/>
    <w:rsid w:val="00042672"/>
    <w:rsid w:val="00042793"/>
    <w:rsid w:val="00042B99"/>
    <w:rsid w:val="00043EE6"/>
    <w:rsid w:val="00045053"/>
    <w:rsid w:val="000450D0"/>
    <w:rsid w:val="0004676B"/>
    <w:rsid w:val="0004687D"/>
    <w:rsid w:val="000477D0"/>
    <w:rsid w:val="00047930"/>
    <w:rsid w:val="00047A42"/>
    <w:rsid w:val="00047B59"/>
    <w:rsid w:val="00047E5D"/>
    <w:rsid w:val="00050359"/>
    <w:rsid w:val="000517F5"/>
    <w:rsid w:val="00051CE6"/>
    <w:rsid w:val="000521A4"/>
    <w:rsid w:val="000527F7"/>
    <w:rsid w:val="00054433"/>
    <w:rsid w:val="00054680"/>
    <w:rsid w:val="00054D5A"/>
    <w:rsid w:val="00055892"/>
    <w:rsid w:val="00055AF0"/>
    <w:rsid w:val="000563B2"/>
    <w:rsid w:val="00056FE7"/>
    <w:rsid w:val="00057388"/>
    <w:rsid w:val="00060C0A"/>
    <w:rsid w:val="00060D63"/>
    <w:rsid w:val="000623F5"/>
    <w:rsid w:val="00062CC7"/>
    <w:rsid w:val="000649FD"/>
    <w:rsid w:val="00065574"/>
    <w:rsid w:val="00066032"/>
    <w:rsid w:val="0006610A"/>
    <w:rsid w:val="0006691F"/>
    <w:rsid w:val="00070A3C"/>
    <w:rsid w:val="000711F9"/>
    <w:rsid w:val="000728BF"/>
    <w:rsid w:val="00072956"/>
    <w:rsid w:val="000755D8"/>
    <w:rsid w:val="000759E9"/>
    <w:rsid w:val="00076045"/>
    <w:rsid w:val="00077BAE"/>
    <w:rsid w:val="00077DD8"/>
    <w:rsid w:val="00080116"/>
    <w:rsid w:val="00080683"/>
    <w:rsid w:val="0008262B"/>
    <w:rsid w:val="00082885"/>
    <w:rsid w:val="0008296F"/>
    <w:rsid w:val="00082A69"/>
    <w:rsid w:val="00082B0B"/>
    <w:rsid w:val="00083613"/>
    <w:rsid w:val="00084048"/>
    <w:rsid w:val="00085BA4"/>
    <w:rsid w:val="00085FC1"/>
    <w:rsid w:val="00086779"/>
    <w:rsid w:val="00087764"/>
    <w:rsid w:val="00087887"/>
    <w:rsid w:val="00093BC2"/>
    <w:rsid w:val="0009474F"/>
    <w:rsid w:val="00094767"/>
    <w:rsid w:val="00094D9E"/>
    <w:rsid w:val="00094FA8"/>
    <w:rsid w:val="0009512D"/>
    <w:rsid w:val="0009687F"/>
    <w:rsid w:val="000968AE"/>
    <w:rsid w:val="000968F0"/>
    <w:rsid w:val="000A00F5"/>
    <w:rsid w:val="000A11D4"/>
    <w:rsid w:val="000A1308"/>
    <w:rsid w:val="000A1C03"/>
    <w:rsid w:val="000A2226"/>
    <w:rsid w:val="000A2AEA"/>
    <w:rsid w:val="000A2D44"/>
    <w:rsid w:val="000A34A8"/>
    <w:rsid w:val="000A3A2B"/>
    <w:rsid w:val="000A3AF5"/>
    <w:rsid w:val="000A4063"/>
    <w:rsid w:val="000A4372"/>
    <w:rsid w:val="000A48A5"/>
    <w:rsid w:val="000A4D8A"/>
    <w:rsid w:val="000A54C0"/>
    <w:rsid w:val="000A5EAC"/>
    <w:rsid w:val="000A6315"/>
    <w:rsid w:val="000A645D"/>
    <w:rsid w:val="000A6ED2"/>
    <w:rsid w:val="000A7901"/>
    <w:rsid w:val="000B22AA"/>
    <w:rsid w:val="000B2A68"/>
    <w:rsid w:val="000B376C"/>
    <w:rsid w:val="000B43F4"/>
    <w:rsid w:val="000B4B7F"/>
    <w:rsid w:val="000B5EEA"/>
    <w:rsid w:val="000B649D"/>
    <w:rsid w:val="000B6D3B"/>
    <w:rsid w:val="000B7A2B"/>
    <w:rsid w:val="000B7E98"/>
    <w:rsid w:val="000C1188"/>
    <w:rsid w:val="000C1964"/>
    <w:rsid w:val="000C1B85"/>
    <w:rsid w:val="000C2F9E"/>
    <w:rsid w:val="000C307F"/>
    <w:rsid w:val="000C5575"/>
    <w:rsid w:val="000C55A2"/>
    <w:rsid w:val="000C5D21"/>
    <w:rsid w:val="000C69D4"/>
    <w:rsid w:val="000C6F80"/>
    <w:rsid w:val="000C743A"/>
    <w:rsid w:val="000C7B70"/>
    <w:rsid w:val="000D0D64"/>
    <w:rsid w:val="000D1B85"/>
    <w:rsid w:val="000D1FF8"/>
    <w:rsid w:val="000D280F"/>
    <w:rsid w:val="000D3D84"/>
    <w:rsid w:val="000D3F68"/>
    <w:rsid w:val="000D44D4"/>
    <w:rsid w:val="000D4886"/>
    <w:rsid w:val="000D58BD"/>
    <w:rsid w:val="000D6334"/>
    <w:rsid w:val="000D7290"/>
    <w:rsid w:val="000D7C5A"/>
    <w:rsid w:val="000E02DC"/>
    <w:rsid w:val="000E0ABB"/>
    <w:rsid w:val="000E0BAF"/>
    <w:rsid w:val="000E0CD9"/>
    <w:rsid w:val="000E228B"/>
    <w:rsid w:val="000E3263"/>
    <w:rsid w:val="000E4758"/>
    <w:rsid w:val="000E6C00"/>
    <w:rsid w:val="000E6F2C"/>
    <w:rsid w:val="000E6FE2"/>
    <w:rsid w:val="000F166F"/>
    <w:rsid w:val="000F1C97"/>
    <w:rsid w:val="000F1E85"/>
    <w:rsid w:val="000F2503"/>
    <w:rsid w:val="000F3DF7"/>
    <w:rsid w:val="000F4131"/>
    <w:rsid w:val="000F4B90"/>
    <w:rsid w:val="000F5A96"/>
    <w:rsid w:val="000F6AE7"/>
    <w:rsid w:val="000F6F4E"/>
    <w:rsid w:val="000F794C"/>
    <w:rsid w:val="001012F2"/>
    <w:rsid w:val="001017D4"/>
    <w:rsid w:val="0010285D"/>
    <w:rsid w:val="001033FF"/>
    <w:rsid w:val="00103C44"/>
    <w:rsid w:val="00103ECB"/>
    <w:rsid w:val="0010498A"/>
    <w:rsid w:val="00105D88"/>
    <w:rsid w:val="0010641F"/>
    <w:rsid w:val="0010727A"/>
    <w:rsid w:val="00111274"/>
    <w:rsid w:val="00111BF8"/>
    <w:rsid w:val="00111C70"/>
    <w:rsid w:val="00113350"/>
    <w:rsid w:val="00113EB6"/>
    <w:rsid w:val="001140C3"/>
    <w:rsid w:val="00115D03"/>
    <w:rsid w:val="00115DCA"/>
    <w:rsid w:val="00116F61"/>
    <w:rsid w:val="00117263"/>
    <w:rsid w:val="00117709"/>
    <w:rsid w:val="00120085"/>
    <w:rsid w:val="00121DC4"/>
    <w:rsid w:val="00123202"/>
    <w:rsid w:val="00124E9E"/>
    <w:rsid w:val="00125FC8"/>
    <w:rsid w:val="00126338"/>
    <w:rsid w:val="001266A1"/>
    <w:rsid w:val="00127184"/>
    <w:rsid w:val="0013063A"/>
    <w:rsid w:val="001308DE"/>
    <w:rsid w:val="001309B2"/>
    <w:rsid w:val="00130C2F"/>
    <w:rsid w:val="00130EEC"/>
    <w:rsid w:val="00131828"/>
    <w:rsid w:val="00132444"/>
    <w:rsid w:val="001329A8"/>
    <w:rsid w:val="00133710"/>
    <w:rsid w:val="001339E3"/>
    <w:rsid w:val="00134550"/>
    <w:rsid w:val="00135121"/>
    <w:rsid w:val="00135367"/>
    <w:rsid w:val="00135E55"/>
    <w:rsid w:val="00135EC2"/>
    <w:rsid w:val="001363E1"/>
    <w:rsid w:val="00136695"/>
    <w:rsid w:val="00137B8D"/>
    <w:rsid w:val="00140611"/>
    <w:rsid w:val="001429CE"/>
    <w:rsid w:val="001438D6"/>
    <w:rsid w:val="001440FD"/>
    <w:rsid w:val="00144A52"/>
    <w:rsid w:val="00145007"/>
    <w:rsid w:val="001454A3"/>
    <w:rsid w:val="00146FB6"/>
    <w:rsid w:val="00147239"/>
    <w:rsid w:val="0015257F"/>
    <w:rsid w:val="0015259D"/>
    <w:rsid w:val="00153238"/>
    <w:rsid w:val="00153444"/>
    <w:rsid w:val="0015404B"/>
    <w:rsid w:val="00154C5A"/>
    <w:rsid w:val="001552E4"/>
    <w:rsid w:val="00155B86"/>
    <w:rsid w:val="00155CDD"/>
    <w:rsid w:val="001561E6"/>
    <w:rsid w:val="001577E0"/>
    <w:rsid w:val="00160658"/>
    <w:rsid w:val="00161412"/>
    <w:rsid w:val="00161BC7"/>
    <w:rsid w:val="0016237A"/>
    <w:rsid w:val="001626AD"/>
    <w:rsid w:val="00162B7E"/>
    <w:rsid w:val="001632AD"/>
    <w:rsid w:val="001640D6"/>
    <w:rsid w:val="00164C74"/>
    <w:rsid w:val="0016511D"/>
    <w:rsid w:val="001654D7"/>
    <w:rsid w:val="00166804"/>
    <w:rsid w:val="00167460"/>
    <w:rsid w:val="00167EE5"/>
    <w:rsid w:val="00170D02"/>
    <w:rsid w:val="00170E29"/>
    <w:rsid w:val="00171388"/>
    <w:rsid w:val="001727EC"/>
    <w:rsid w:val="00172CD3"/>
    <w:rsid w:val="0017300D"/>
    <w:rsid w:val="00174365"/>
    <w:rsid w:val="00174825"/>
    <w:rsid w:val="00174C32"/>
    <w:rsid w:val="00175E24"/>
    <w:rsid w:val="00175FFD"/>
    <w:rsid w:val="00177F5D"/>
    <w:rsid w:val="001816B7"/>
    <w:rsid w:val="00181A1C"/>
    <w:rsid w:val="00182BB4"/>
    <w:rsid w:val="0018444A"/>
    <w:rsid w:val="0018456F"/>
    <w:rsid w:val="001855AA"/>
    <w:rsid w:val="00186891"/>
    <w:rsid w:val="001872AA"/>
    <w:rsid w:val="00187A18"/>
    <w:rsid w:val="00190D11"/>
    <w:rsid w:val="001917BD"/>
    <w:rsid w:val="00192B07"/>
    <w:rsid w:val="00194E85"/>
    <w:rsid w:val="0019505E"/>
    <w:rsid w:val="00195122"/>
    <w:rsid w:val="0019676E"/>
    <w:rsid w:val="00196AE9"/>
    <w:rsid w:val="001979E4"/>
    <w:rsid w:val="001A06BE"/>
    <w:rsid w:val="001A0EA0"/>
    <w:rsid w:val="001A0F34"/>
    <w:rsid w:val="001A290F"/>
    <w:rsid w:val="001A2A5D"/>
    <w:rsid w:val="001A5293"/>
    <w:rsid w:val="001A5A46"/>
    <w:rsid w:val="001A62E2"/>
    <w:rsid w:val="001A6AC8"/>
    <w:rsid w:val="001A6F5F"/>
    <w:rsid w:val="001A739F"/>
    <w:rsid w:val="001B0C0F"/>
    <w:rsid w:val="001B0D6B"/>
    <w:rsid w:val="001B180D"/>
    <w:rsid w:val="001B1CE9"/>
    <w:rsid w:val="001B1E4A"/>
    <w:rsid w:val="001B2A64"/>
    <w:rsid w:val="001B47C6"/>
    <w:rsid w:val="001B61A3"/>
    <w:rsid w:val="001B649D"/>
    <w:rsid w:val="001B7D5F"/>
    <w:rsid w:val="001B7E2F"/>
    <w:rsid w:val="001C1462"/>
    <w:rsid w:val="001C2862"/>
    <w:rsid w:val="001C2F3F"/>
    <w:rsid w:val="001C3A96"/>
    <w:rsid w:val="001C3DA0"/>
    <w:rsid w:val="001C4028"/>
    <w:rsid w:val="001C41C3"/>
    <w:rsid w:val="001C5F6D"/>
    <w:rsid w:val="001C682D"/>
    <w:rsid w:val="001C69DA"/>
    <w:rsid w:val="001D0559"/>
    <w:rsid w:val="001D1370"/>
    <w:rsid w:val="001D18CD"/>
    <w:rsid w:val="001D30E5"/>
    <w:rsid w:val="001D3F59"/>
    <w:rsid w:val="001D4779"/>
    <w:rsid w:val="001D4E48"/>
    <w:rsid w:val="001D528B"/>
    <w:rsid w:val="001D585B"/>
    <w:rsid w:val="001D58C3"/>
    <w:rsid w:val="001D7128"/>
    <w:rsid w:val="001E1129"/>
    <w:rsid w:val="001E240A"/>
    <w:rsid w:val="001E40F7"/>
    <w:rsid w:val="001E512D"/>
    <w:rsid w:val="001E6123"/>
    <w:rsid w:val="001E69FB"/>
    <w:rsid w:val="001E6A9C"/>
    <w:rsid w:val="001F0CB4"/>
    <w:rsid w:val="001F1152"/>
    <w:rsid w:val="001F135B"/>
    <w:rsid w:val="001F1FD2"/>
    <w:rsid w:val="001F237C"/>
    <w:rsid w:val="001F46A1"/>
    <w:rsid w:val="001F5746"/>
    <w:rsid w:val="001F6893"/>
    <w:rsid w:val="001F68FA"/>
    <w:rsid w:val="001F69A3"/>
    <w:rsid w:val="001F79B5"/>
    <w:rsid w:val="001F7A46"/>
    <w:rsid w:val="00201812"/>
    <w:rsid w:val="00201C74"/>
    <w:rsid w:val="00201D17"/>
    <w:rsid w:val="00201EAD"/>
    <w:rsid w:val="00203F47"/>
    <w:rsid w:val="00204856"/>
    <w:rsid w:val="00204A5E"/>
    <w:rsid w:val="00204F41"/>
    <w:rsid w:val="00206BFD"/>
    <w:rsid w:val="00206C8F"/>
    <w:rsid w:val="00206DF1"/>
    <w:rsid w:val="00210D6D"/>
    <w:rsid w:val="00211592"/>
    <w:rsid w:val="00211E8D"/>
    <w:rsid w:val="00212B06"/>
    <w:rsid w:val="0021325E"/>
    <w:rsid w:val="00213D9C"/>
    <w:rsid w:val="00213E68"/>
    <w:rsid w:val="002143ED"/>
    <w:rsid w:val="0021466A"/>
    <w:rsid w:val="002146C1"/>
    <w:rsid w:val="00214CB2"/>
    <w:rsid w:val="00215858"/>
    <w:rsid w:val="00215A9E"/>
    <w:rsid w:val="002167A4"/>
    <w:rsid w:val="002177A7"/>
    <w:rsid w:val="0022036B"/>
    <w:rsid w:val="002206D4"/>
    <w:rsid w:val="00220B79"/>
    <w:rsid w:val="00220F03"/>
    <w:rsid w:val="00220FC7"/>
    <w:rsid w:val="002232F0"/>
    <w:rsid w:val="002235E0"/>
    <w:rsid w:val="00223A20"/>
    <w:rsid w:val="0022482E"/>
    <w:rsid w:val="00224C44"/>
    <w:rsid w:val="00224DED"/>
    <w:rsid w:val="002254B9"/>
    <w:rsid w:val="0022608F"/>
    <w:rsid w:val="0022671A"/>
    <w:rsid w:val="002269D3"/>
    <w:rsid w:val="0022723F"/>
    <w:rsid w:val="0022759E"/>
    <w:rsid w:val="0022791B"/>
    <w:rsid w:val="00230517"/>
    <w:rsid w:val="0023053E"/>
    <w:rsid w:val="00231E31"/>
    <w:rsid w:val="0023268D"/>
    <w:rsid w:val="00232B99"/>
    <w:rsid w:val="00232FCC"/>
    <w:rsid w:val="002338B2"/>
    <w:rsid w:val="0023517D"/>
    <w:rsid w:val="002360BA"/>
    <w:rsid w:val="00236C29"/>
    <w:rsid w:val="00236FAB"/>
    <w:rsid w:val="002401C3"/>
    <w:rsid w:val="00240371"/>
    <w:rsid w:val="0024045A"/>
    <w:rsid w:val="00240803"/>
    <w:rsid w:val="00241C9B"/>
    <w:rsid w:val="002426FC"/>
    <w:rsid w:val="002437B4"/>
    <w:rsid w:val="00243B09"/>
    <w:rsid w:val="00243C7D"/>
    <w:rsid w:val="00245689"/>
    <w:rsid w:val="00245B4E"/>
    <w:rsid w:val="00245BDB"/>
    <w:rsid w:val="00246ED8"/>
    <w:rsid w:val="002471EC"/>
    <w:rsid w:val="00250AD4"/>
    <w:rsid w:val="002522A2"/>
    <w:rsid w:val="00252A06"/>
    <w:rsid w:val="00252A27"/>
    <w:rsid w:val="002537B2"/>
    <w:rsid w:val="00254EFA"/>
    <w:rsid w:val="00255142"/>
    <w:rsid w:val="002566B8"/>
    <w:rsid w:val="0025679A"/>
    <w:rsid w:val="00256E3F"/>
    <w:rsid w:val="00257224"/>
    <w:rsid w:val="00260822"/>
    <w:rsid w:val="00260E2C"/>
    <w:rsid w:val="0026182A"/>
    <w:rsid w:val="00261CD3"/>
    <w:rsid w:val="00262325"/>
    <w:rsid w:val="00263077"/>
    <w:rsid w:val="002632B0"/>
    <w:rsid w:val="0026336B"/>
    <w:rsid w:val="00264FA8"/>
    <w:rsid w:val="00265224"/>
    <w:rsid w:val="00265495"/>
    <w:rsid w:val="00265AE8"/>
    <w:rsid w:val="00265CED"/>
    <w:rsid w:val="00266C4F"/>
    <w:rsid w:val="002673BD"/>
    <w:rsid w:val="002674F8"/>
    <w:rsid w:val="0027257D"/>
    <w:rsid w:val="002725B6"/>
    <w:rsid w:val="002731D7"/>
    <w:rsid w:val="0027323F"/>
    <w:rsid w:val="002732D2"/>
    <w:rsid w:val="00273E26"/>
    <w:rsid w:val="00275529"/>
    <w:rsid w:val="00275B5E"/>
    <w:rsid w:val="002760E5"/>
    <w:rsid w:val="0028010C"/>
    <w:rsid w:val="00282C90"/>
    <w:rsid w:val="00282E0F"/>
    <w:rsid w:val="00282EC7"/>
    <w:rsid w:val="00283F6B"/>
    <w:rsid w:val="002848CE"/>
    <w:rsid w:val="00285B72"/>
    <w:rsid w:val="002864D6"/>
    <w:rsid w:val="00287293"/>
    <w:rsid w:val="00291CC6"/>
    <w:rsid w:val="00292D4E"/>
    <w:rsid w:val="0029307E"/>
    <w:rsid w:val="0029339D"/>
    <w:rsid w:val="00296E70"/>
    <w:rsid w:val="00297DEE"/>
    <w:rsid w:val="002A116E"/>
    <w:rsid w:val="002A1C29"/>
    <w:rsid w:val="002A1F02"/>
    <w:rsid w:val="002A2CA3"/>
    <w:rsid w:val="002A34BA"/>
    <w:rsid w:val="002A4010"/>
    <w:rsid w:val="002A43C5"/>
    <w:rsid w:val="002A463E"/>
    <w:rsid w:val="002A54EE"/>
    <w:rsid w:val="002A6B68"/>
    <w:rsid w:val="002B0F74"/>
    <w:rsid w:val="002B135D"/>
    <w:rsid w:val="002B14E5"/>
    <w:rsid w:val="002B1E00"/>
    <w:rsid w:val="002B1F3C"/>
    <w:rsid w:val="002B250C"/>
    <w:rsid w:val="002B29D1"/>
    <w:rsid w:val="002B4B18"/>
    <w:rsid w:val="002B565E"/>
    <w:rsid w:val="002B5990"/>
    <w:rsid w:val="002B610C"/>
    <w:rsid w:val="002B61C3"/>
    <w:rsid w:val="002B6BCA"/>
    <w:rsid w:val="002B7297"/>
    <w:rsid w:val="002C0275"/>
    <w:rsid w:val="002C028D"/>
    <w:rsid w:val="002C03FF"/>
    <w:rsid w:val="002C074E"/>
    <w:rsid w:val="002C0B80"/>
    <w:rsid w:val="002C13C5"/>
    <w:rsid w:val="002C1A4E"/>
    <w:rsid w:val="002C1C13"/>
    <w:rsid w:val="002C1F1E"/>
    <w:rsid w:val="002C1F51"/>
    <w:rsid w:val="002C27E4"/>
    <w:rsid w:val="002C2879"/>
    <w:rsid w:val="002C2B18"/>
    <w:rsid w:val="002C6203"/>
    <w:rsid w:val="002C6EDF"/>
    <w:rsid w:val="002C764F"/>
    <w:rsid w:val="002C7761"/>
    <w:rsid w:val="002D0B05"/>
    <w:rsid w:val="002D10D2"/>
    <w:rsid w:val="002D12F0"/>
    <w:rsid w:val="002D1763"/>
    <w:rsid w:val="002D1A3D"/>
    <w:rsid w:val="002D2514"/>
    <w:rsid w:val="002D30D3"/>
    <w:rsid w:val="002D49F1"/>
    <w:rsid w:val="002D4FC8"/>
    <w:rsid w:val="002D7336"/>
    <w:rsid w:val="002E018E"/>
    <w:rsid w:val="002E0502"/>
    <w:rsid w:val="002E0E15"/>
    <w:rsid w:val="002E1007"/>
    <w:rsid w:val="002E15BE"/>
    <w:rsid w:val="002E235E"/>
    <w:rsid w:val="002E23DA"/>
    <w:rsid w:val="002E3054"/>
    <w:rsid w:val="002E3152"/>
    <w:rsid w:val="002E3AB2"/>
    <w:rsid w:val="002E6D28"/>
    <w:rsid w:val="002E73BC"/>
    <w:rsid w:val="002F05A5"/>
    <w:rsid w:val="002F0F85"/>
    <w:rsid w:val="002F1FAB"/>
    <w:rsid w:val="002F3128"/>
    <w:rsid w:val="002F56C6"/>
    <w:rsid w:val="002F69D3"/>
    <w:rsid w:val="002F6C89"/>
    <w:rsid w:val="002F791A"/>
    <w:rsid w:val="00300BA5"/>
    <w:rsid w:val="00300E69"/>
    <w:rsid w:val="00301196"/>
    <w:rsid w:val="00301EC3"/>
    <w:rsid w:val="003029F0"/>
    <w:rsid w:val="00302F65"/>
    <w:rsid w:val="00303AB1"/>
    <w:rsid w:val="00303B47"/>
    <w:rsid w:val="003048C9"/>
    <w:rsid w:val="00305A2B"/>
    <w:rsid w:val="00305CCD"/>
    <w:rsid w:val="003061BB"/>
    <w:rsid w:val="00307146"/>
    <w:rsid w:val="00307844"/>
    <w:rsid w:val="003110C0"/>
    <w:rsid w:val="00311112"/>
    <w:rsid w:val="00311878"/>
    <w:rsid w:val="003126A3"/>
    <w:rsid w:val="00312AD7"/>
    <w:rsid w:val="00314EB9"/>
    <w:rsid w:val="003157F4"/>
    <w:rsid w:val="00315873"/>
    <w:rsid w:val="003207B7"/>
    <w:rsid w:val="00320929"/>
    <w:rsid w:val="00321280"/>
    <w:rsid w:val="00321A1E"/>
    <w:rsid w:val="00321FA7"/>
    <w:rsid w:val="0032232F"/>
    <w:rsid w:val="003227C5"/>
    <w:rsid w:val="00323E4E"/>
    <w:rsid w:val="00324321"/>
    <w:rsid w:val="00324CBA"/>
    <w:rsid w:val="00325DB3"/>
    <w:rsid w:val="00326EA6"/>
    <w:rsid w:val="0033068A"/>
    <w:rsid w:val="003309B6"/>
    <w:rsid w:val="003321A9"/>
    <w:rsid w:val="003326B0"/>
    <w:rsid w:val="00332B25"/>
    <w:rsid w:val="00332E5E"/>
    <w:rsid w:val="00332F0B"/>
    <w:rsid w:val="0033302A"/>
    <w:rsid w:val="00333368"/>
    <w:rsid w:val="0033340F"/>
    <w:rsid w:val="00333569"/>
    <w:rsid w:val="0033382D"/>
    <w:rsid w:val="00333EE6"/>
    <w:rsid w:val="00333F40"/>
    <w:rsid w:val="0033412D"/>
    <w:rsid w:val="003346C3"/>
    <w:rsid w:val="00334C29"/>
    <w:rsid w:val="0033589F"/>
    <w:rsid w:val="00335A09"/>
    <w:rsid w:val="00335CE6"/>
    <w:rsid w:val="0033617B"/>
    <w:rsid w:val="0033707B"/>
    <w:rsid w:val="00340378"/>
    <w:rsid w:val="00341490"/>
    <w:rsid w:val="0034330C"/>
    <w:rsid w:val="00343AE6"/>
    <w:rsid w:val="00347EA3"/>
    <w:rsid w:val="003500BD"/>
    <w:rsid w:val="00350412"/>
    <w:rsid w:val="00350463"/>
    <w:rsid w:val="00352538"/>
    <w:rsid w:val="00352A61"/>
    <w:rsid w:val="00353205"/>
    <w:rsid w:val="003542EC"/>
    <w:rsid w:val="00355805"/>
    <w:rsid w:val="003565AF"/>
    <w:rsid w:val="00357AF5"/>
    <w:rsid w:val="00357BCB"/>
    <w:rsid w:val="00357C7A"/>
    <w:rsid w:val="00362004"/>
    <w:rsid w:val="0036317B"/>
    <w:rsid w:val="00364182"/>
    <w:rsid w:val="00364F13"/>
    <w:rsid w:val="00365580"/>
    <w:rsid w:val="0036799E"/>
    <w:rsid w:val="00367A4A"/>
    <w:rsid w:val="00367FA9"/>
    <w:rsid w:val="00370262"/>
    <w:rsid w:val="0037263C"/>
    <w:rsid w:val="00372E85"/>
    <w:rsid w:val="00374755"/>
    <w:rsid w:val="00374D52"/>
    <w:rsid w:val="003750E5"/>
    <w:rsid w:val="00375546"/>
    <w:rsid w:val="003760E2"/>
    <w:rsid w:val="003767BE"/>
    <w:rsid w:val="00380238"/>
    <w:rsid w:val="00380D7B"/>
    <w:rsid w:val="003811B3"/>
    <w:rsid w:val="00381A1A"/>
    <w:rsid w:val="00381A42"/>
    <w:rsid w:val="00382167"/>
    <w:rsid w:val="003823EF"/>
    <w:rsid w:val="003839BC"/>
    <w:rsid w:val="00384081"/>
    <w:rsid w:val="00384202"/>
    <w:rsid w:val="00384358"/>
    <w:rsid w:val="00385032"/>
    <w:rsid w:val="00385984"/>
    <w:rsid w:val="003904FD"/>
    <w:rsid w:val="003912CA"/>
    <w:rsid w:val="00391623"/>
    <w:rsid w:val="00391DE5"/>
    <w:rsid w:val="00392BA4"/>
    <w:rsid w:val="00392DB5"/>
    <w:rsid w:val="0039382A"/>
    <w:rsid w:val="00393A07"/>
    <w:rsid w:val="00395297"/>
    <w:rsid w:val="003953CD"/>
    <w:rsid w:val="0039547C"/>
    <w:rsid w:val="003954E9"/>
    <w:rsid w:val="00396F29"/>
    <w:rsid w:val="003970D4"/>
    <w:rsid w:val="00397662"/>
    <w:rsid w:val="003978C3"/>
    <w:rsid w:val="00397A3B"/>
    <w:rsid w:val="00397DC5"/>
    <w:rsid w:val="003A1404"/>
    <w:rsid w:val="003A3E5D"/>
    <w:rsid w:val="003A3E94"/>
    <w:rsid w:val="003A53E3"/>
    <w:rsid w:val="003A5F05"/>
    <w:rsid w:val="003A5FFF"/>
    <w:rsid w:val="003A7B9F"/>
    <w:rsid w:val="003B0329"/>
    <w:rsid w:val="003B0642"/>
    <w:rsid w:val="003B0917"/>
    <w:rsid w:val="003B0BE5"/>
    <w:rsid w:val="003B1A3E"/>
    <w:rsid w:val="003B1ABF"/>
    <w:rsid w:val="003B286D"/>
    <w:rsid w:val="003B2C69"/>
    <w:rsid w:val="003B321D"/>
    <w:rsid w:val="003B3461"/>
    <w:rsid w:val="003B40BB"/>
    <w:rsid w:val="003B5D94"/>
    <w:rsid w:val="003B6CFC"/>
    <w:rsid w:val="003B735E"/>
    <w:rsid w:val="003B78F8"/>
    <w:rsid w:val="003B7D02"/>
    <w:rsid w:val="003C03D7"/>
    <w:rsid w:val="003C12BA"/>
    <w:rsid w:val="003C1610"/>
    <w:rsid w:val="003C2511"/>
    <w:rsid w:val="003C292B"/>
    <w:rsid w:val="003C3832"/>
    <w:rsid w:val="003C40EB"/>
    <w:rsid w:val="003C44A6"/>
    <w:rsid w:val="003C47C3"/>
    <w:rsid w:val="003C50C0"/>
    <w:rsid w:val="003C600B"/>
    <w:rsid w:val="003C6250"/>
    <w:rsid w:val="003C7BD8"/>
    <w:rsid w:val="003D055C"/>
    <w:rsid w:val="003D112D"/>
    <w:rsid w:val="003D1E1D"/>
    <w:rsid w:val="003D2A48"/>
    <w:rsid w:val="003D308F"/>
    <w:rsid w:val="003D3148"/>
    <w:rsid w:val="003D483B"/>
    <w:rsid w:val="003D7692"/>
    <w:rsid w:val="003E0620"/>
    <w:rsid w:val="003E109B"/>
    <w:rsid w:val="003E1309"/>
    <w:rsid w:val="003E181A"/>
    <w:rsid w:val="003E2735"/>
    <w:rsid w:val="003E2790"/>
    <w:rsid w:val="003E2D51"/>
    <w:rsid w:val="003E3B21"/>
    <w:rsid w:val="003E3B48"/>
    <w:rsid w:val="003E3BE8"/>
    <w:rsid w:val="003E3F80"/>
    <w:rsid w:val="003E42ED"/>
    <w:rsid w:val="003E5764"/>
    <w:rsid w:val="003E5C65"/>
    <w:rsid w:val="003E5E37"/>
    <w:rsid w:val="003E7CEC"/>
    <w:rsid w:val="003E7E2E"/>
    <w:rsid w:val="003F01AA"/>
    <w:rsid w:val="003F0C02"/>
    <w:rsid w:val="003F117A"/>
    <w:rsid w:val="003F1A0C"/>
    <w:rsid w:val="003F28EF"/>
    <w:rsid w:val="003F3453"/>
    <w:rsid w:val="003F4281"/>
    <w:rsid w:val="003F4B04"/>
    <w:rsid w:val="003F624D"/>
    <w:rsid w:val="003F6269"/>
    <w:rsid w:val="003F6948"/>
    <w:rsid w:val="003F7E4E"/>
    <w:rsid w:val="003F7E61"/>
    <w:rsid w:val="00400C97"/>
    <w:rsid w:val="004019A0"/>
    <w:rsid w:val="004023A7"/>
    <w:rsid w:val="004035A2"/>
    <w:rsid w:val="00403667"/>
    <w:rsid w:val="00406647"/>
    <w:rsid w:val="00406916"/>
    <w:rsid w:val="004073A8"/>
    <w:rsid w:val="00407EAF"/>
    <w:rsid w:val="00411095"/>
    <w:rsid w:val="00411395"/>
    <w:rsid w:val="00412687"/>
    <w:rsid w:val="00412BB6"/>
    <w:rsid w:val="0041332A"/>
    <w:rsid w:val="00413726"/>
    <w:rsid w:val="00413EFA"/>
    <w:rsid w:val="00414996"/>
    <w:rsid w:val="00415B5A"/>
    <w:rsid w:val="00415F95"/>
    <w:rsid w:val="00416055"/>
    <w:rsid w:val="0042092C"/>
    <w:rsid w:val="004211BE"/>
    <w:rsid w:val="00421760"/>
    <w:rsid w:val="00422DB5"/>
    <w:rsid w:val="00423772"/>
    <w:rsid w:val="004245EC"/>
    <w:rsid w:val="004267EB"/>
    <w:rsid w:val="004274C9"/>
    <w:rsid w:val="00430050"/>
    <w:rsid w:val="00430D13"/>
    <w:rsid w:val="00431368"/>
    <w:rsid w:val="00433073"/>
    <w:rsid w:val="004337B4"/>
    <w:rsid w:val="00433A51"/>
    <w:rsid w:val="0043427B"/>
    <w:rsid w:val="00436C6B"/>
    <w:rsid w:val="00436F39"/>
    <w:rsid w:val="004373D2"/>
    <w:rsid w:val="00437831"/>
    <w:rsid w:val="00437D25"/>
    <w:rsid w:val="00440EB9"/>
    <w:rsid w:val="00442A3E"/>
    <w:rsid w:val="00442F0E"/>
    <w:rsid w:val="0044338B"/>
    <w:rsid w:val="00443AB1"/>
    <w:rsid w:val="00443E3D"/>
    <w:rsid w:val="004447AE"/>
    <w:rsid w:val="0044568A"/>
    <w:rsid w:val="0044638A"/>
    <w:rsid w:val="004514D0"/>
    <w:rsid w:val="0045178B"/>
    <w:rsid w:val="00451AED"/>
    <w:rsid w:val="00451C0A"/>
    <w:rsid w:val="0045251B"/>
    <w:rsid w:val="00453B3A"/>
    <w:rsid w:val="00453BD4"/>
    <w:rsid w:val="0045468B"/>
    <w:rsid w:val="004560CB"/>
    <w:rsid w:val="0045632E"/>
    <w:rsid w:val="00456ABE"/>
    <w:rsid w:val="00456D7E"/>
    <w:rsid w:val="00457E11"/>
    <w:rsid w:val="00460128"/>
    <w:rsid w:val="00460629"/>
    <w:rsid w:val="00461E18"/>
    <w:rsid w:val="004623D1"/>
    <w:rsid w:val="00462920"/>
    <w:rsid w:val="00462A79"/>
    <w:rsid w:val="004631EA"/>
    <w:rsid w:val="0046335B"/>
    <w:rsid w:val="004644B1"/>
    <w:rsid w:val="00464BD5"/>
    <w:rsid w:val="004652A9"/>
    <w:rsid w:val="00467039"/>
    <w:rsid w:val="004678B0"/>
    <w:rsid w:val="004713C3"/>
    <w:rsid w:val="00471ACF"/>
    <w:rsid w:val="00472D99"/>
    <w:rsid w:val="00473438"/>
    <w:rsid w:val="00473A7E"/>
    <w:rsid w:val="004748C1"/>
    <w:rsid w:val="00475695"/>
    <w:rsid w:val="00475CFE"/>
    <w:rsid w:val="00476899"/>
    <w:rsid w:val="00476D71"/>
    <w:rsid w:val="004775F8"/>
    <w:rsid w:val="004776C2"/>
    <w:rsid w:val="00477715"/>
    <w:rsid w:val="00477AED"/>
    <w:rsid w:val="00477BD4"/>
    <w:rsid w:val="00477CB9"/>
    <w:rsid w:val="00477E2B"/>
    <w:rsid w:val="004807B2"/>
    <w:rsid w:val="00484398"/>
    <w:rsid w:val="004843B6"/>
    <w:rsid w:val="00484D73"/>
    <w:rsid w:val="004859B7"/>
    <w:rsid w:val="004869D4"/>
    <w:rsid w:val="00486FB5"/>
    <w:rsid w:val="00487939"/>
    <w:rsid w:val="00490525"/>
    <w:rsid w:val="004912FC"/>
    <w:rsid w:val="00491DA4"/>
    <w:rsid w:val="004926C7"/>
    <w:rsid w:val="004926E9"/>
    <w:rsid w:val="00492FF3"/>
    <w:rsid w:val="00493D5B"/>
    <w:rsid w:val="004949B2"/>
    <w:rsid w:val="004952E2"/>
    <w:rsid w:val="0049587A"/>
    <w:rsid w:val="0049632F"/>
    <w:rsid w:val="0049690A"/>
    <w:rsid w:val="00497E8C"/>
    <w:rsid w:val="004A02D3"/>
    <w:rsid w:val="004A036D"/>
    <w:rsid w:val="004A056B"/>
    <w:rsid w:val="004A282E"/>
    <w:rsid w:val="004A34A7"/>
    <w:rsid w:val="004A3626"/>
    <w:rsid w:val="004A49FB"/>
    <w:rsid w:val="004A4BE5"/>
    <w:rsid w:val="004A6434"/>
    <w:rsid w:val="004B08B3"/>
    <w:rsid w:val="004B12B4"/>
    <w:rsid w:val="004B1435"/>
    <w:rsid w:val="004B17BD"/>
    <w:rsid w:val="004B1AF5"/>
    <w:rsid w:val="004B1EF4"/>
    <w:rsid w:val="004B2DFD"/>
    <w:rsid w:val="004B2F9D"/>
    <w:rsid w:val="004B340B"/>
    <w:rsid w:val="004B474F"/>
    <w:rsid w:val="004B4A3D"/>
    <w:rsid w:val="004B4E77"/>
    <w:rsid w:val="004B53A2"/>
    <w:rsid w:val="004B7601"/>
    <w:rsid w:val="004B7D63"/>
    <w:rsid w:val="004C1DEB"/>
    <w:rsid w:val="004C1F77"/>
    <w:rsid w:val="004C348B"/>
    <w:rsid w:val="004C40BE"/>
    <w:rsid w:val="004C452A"/>
    <w:rsid w:val="004C4EAF"/>
    <w:rsid w:val="004D028F"/>
    <w:rsid w:val="004D0F1A"/>
    <w:rsid w:val="004D10B6"/>
    <w:rsid w:val="004D1539"/>
    <w:rsid w:val="004D1BE7"/>
    <w:rsid w:val="004D2284"/>
    <w:rsid w:val="004D33EB"/>
    <w:rsid w:val="004D4246"/>
    <w:rsid w:val="004D49C0"/>
    <w:rsid w:val="004D72B9"/>
    <w:rsid w:val="004D74D9"/>
    <w:rsid w:val="004E0065"/>
    <w:rsid w:val="004E13FE"/>
    <w:rsid w:val="004E1434"/>
    <w:rsid w:val="004E1CE0"/>
    <w:rsid w:val="004E1D10"/>
    <w:rsid w:val="004E2175"/>
    <w:rsid w:val="004E432D"/>
    <w:rsid w:val="004E5CA4"/>
    <w:rsid w:val="004E6BF6"/>
    <w:rsid w:val="004E6D89"/>
    <w:rsid w:val="004E71C2"/>
    <w:rsid w:val="004F177C"/>
    <w:rsid w:val="004F1F07"/>
    <w:rsid w:val="004F2E47"/>
    <w:rsid w:val="004F313E"/>
    <w:rsid w:val="004F3C0A"/>
    <w:rsid w:val="004F403B"/>
    <w:rsid w:val="004F4546"/>
    <w:rsid w:val="004F4E9F"/>
    <w:rsid w:val="004F7425"/>
    <w:rsid w:val="004F78DB"/>
    <w:rsid w:val="004F7EE5"/>
    <w:rsid w:val="004F7FFC"/>
    <w:rsid w:val="00500748"/>
    <w:rsid w:val="005008E0"/>
    <w:rsid w:val="00500C4F"/>
    <w:rsid w:val="00500CEE"/>
    <w:rsid w:val="00505848"/>
    <w:rsid w:val="00507FA6"/>
    <w:rsid w:val="0051070F"/>
    <w:rsid w:val="00511945"/>
    <w:rsid w:val="00511A69"/>
    <w:rsid w:val="00513A6D"/>
    <w:rsid w:val="00513AE4"/>
    <w:rsid w:val="005146EB"/>
    <w:rsid w:val="005153DE"/>
    <w:rsid w:val="005160D8"/>
    <w:rsid w:val="00516624"/>
    <w:rsid w:val="00516B86"/>
    <w:rsid w:val="0052256B"/>
    <w:rsid w:val="0052258B"/>
    <w:rsid w:val="005231A0"/>
    <w:rsid w:val="00523F79"/>
    <w:rsid w:val="00524897"/>
    <w:rsid w:val="005250D5"/>
    <w:rsid w:val="005250E3"/>
    <w:rsid w:val="00526459"/>
    <w:rsid w:val="005313E9"/>
    <w:rsid w:val="0053278E"/>
    <w:rsid w:val="00532BC9"/>
    <w:rsid w:val="00532D9F"/>
    <w:rsid w:val="005330D9"/>
    <w:rsid w:val="00533991"/>
    <w:rsid w:val="00533A5C"/>
    <w:rsid w:val="005348F3"/>
    <w:rsid w:val="005357B1"/>
    <w:rsid w:val="00535EED"/>
    <w:rsid w:val="00536A1B"/>
    <w:rsid w:val="00537163"/>
    <w:rsid w:val="00537BCF"/>
    <w:rsid w:val="0054017D"/>
    <w:rsid w:val="005401D7"/>
    <w:rsid w:val="00540E6A"/>
    <w:rsid w:val="00542EBF"/>
    <w:rsid w:val="00542FA3"/>
    <w:rsid w:val="00543082"/>
    <w:rsid w:val="00544098"/>
    <w:rsid w:val="00544226"/>
    <w:rsid w:val="00545DB9"/>
    <w:rsid w:val="00546985"/>
    <w:rsid w:val="00546F77"/>
    <w:rsid w:val="00547754"/>
    <w:rsid w:val="00547786"/>
    <w:rsid w:val="00547AA7"/>
    <w:rsid w:val="00550356"/>
    <w:rsid w:val="00551090"/>
    <w:rsid w:val="00551713"/>
    <w:rsid w:val="00551874"/>
    <w:rsid w:val="005519BB"/>
    <w:rsid w:val="0055244E"/>
    <w:rsid w:val="00553D40"/>
    <w:rsid w:val="005540D6"/>
    <w:rsid w:val="00554275"/>
    <w:rsid w:val="005542D2"/>
    <w:rsid w:val="005550C8"/>
    <w:rsid w:val="00555E1D"/>
    <w:rsid w:val="0055668D"/>
    <w:rsid w:val="00561BCC"/>
    <w:rsid w:val="00562437"/>
    <w:rsid w:val="00562444"/>
    <w:rsid w:val="005631C5"/>
    <w:rsid w:val="00563A47"/>
    <w:rsid w:val="00565E55"/>
    <w:rsid w:val="00566880"/>
    <w:rsid w:val="005668BF"/>
    <w:rsid w:val="0056698A"/>
    <w:rsid w:val="005669B3"/>
    <w:rsid w:val="005671ED"/>
    <w:rsid w:val="00567A2D"/>
    <w:rsid w:val="00567B28"/>
    <w:rsid w:val="005705CE"/>
    <w:rsid w:val="005709B2"/>
    <w:rsid w:val="00571924"/>
    <w:rsid w:val="00571C0B"/>
    <w:rsid w:val="005722E8"/>
    <w:rsid w:val="005726C2"/>
    <w:rsid w:val="0057282C"/>
    <w:rsid w:val="00573483"/>
    <w:rsid w:val="0057406D"/>
    <w:rsid w:val="0057571E"/>
    <w:rsid w:val="00575BCC"/>
    <w:rsid w:val="00576AAC"/>
    <w:rsid w:val="00576D29"/>
    <w:rsid w:val="00580967"/>
    <w:rsid w:val="00580A74"/>
    <w:rsid w:val="00581FCE"/>
    <w:rsid w:val="00582BC7"/>
    <w:rsid w:val="00583536"/>
    <w:rsid w:val="00583D6F"/>
    <w:rsid w:val="00584818"/>
    <w:rsid w:val="00585012"/>
    <w:rsid w:val="005851A2"/>
    <w:rsid w:val="0058595F"/>
    <w:rsid w:val="005864B9"/>
    <w:rsid w:val="005867A4"/>
    <w:rsid w:val="00586DC6"/>
    <w:rsid w:val="005901FA"/>
    <w:rsid w:val="00590C8D"/>
    <w:rsid w:val="00591160"/>
    <w:rsid w:val="00593395"/>
    <w:rsid w:val="005938E0"/>
    <w:rsid w:val="00594BFE"/>
    <w:rsid w:val="00597837"/>
    <w:rsid w:val="00597907"/>
    <w:rsid w:val="00597962"/>
    <w:rsid w:val="005A1115"/>
    <w:rsid w:val="005A13DB"/>
    <w:rsid w:val="005A239F"/>
    <w:rsid w:val="005A2D9D"/>
    <w:rsid w:val="005A37C5"/>
    <w:rsid w:val="005A3A59"/>
    <w:rsid w:val="005A470E"/>
    <w:rsid w:val="005A49D8"/>
    <w:rsid w:val="005A4B0F"/>
    <w:rsid w:val="005A63ED"/>
    <w:rsid w:val="005B1368"/>
    <w:rsid w:val="005B1DBC"/>
    <w:rsid w:val="005B207E"/>
    <w:rsid w:val="005B21C6"/>
    <w:rsid w:val="005B368D"/>
    <w:rsid w:val="005B46C6"/>
    <w:rsid w:val="005B5CAA"/>
    <w:rsid w:val="005C078A"/>
    <w:rsid w:val="005C08B9"/>
    <w:rsid w:val="005C151F"/>
    <w:rsid w:val="005C1595"/>
    <w:rsid w:val="005C3776"/>
    <w:rsid w:val="005C466D"/>
    <w:rsid w:val="005C6583"/>
    <w:rsid w:val="005C6A9F"/>
    <w:rsid w:val="005C7282"/>
    <w:rsid w:val="005D0436"/>
    <w:rsid w:val="005D057C"/>
    <w:rsid w:val="005D1402"/>
    <w:rsid w:val="005D1617"/>
    <w:rsid w:val="005D25FD"/>
    <w:rsid w:val="005D3FFF"/>
    <w:rsid w:val="005D4BBB"/>
    <w:rsid w:val="005D5243"/>
    <w:rsid w:val="005D646C"/>
    <w:rsid w:val="005D7C78"/>
    <w:rsid w:val="005D7E4B"/>
    <w:rsid w:val="005E257A"/>
    <w:rsid w:val="005E26D5"/>
    <w:rsid w:val="005E3B36"/>
    <w:rsid w:val="005E5291"/>
    <w:rsid w:val="005E5521"/>
    <w:rsid w:val="005E61E5"/>
    <w:rsid w:val="005E6C36"/>
    <w:rsid w:val="005E7BBB"/>
    <w:rsid w:val="005F09A4"/>
    <w:rsid w:val="005F14E7"/>
    <w:rsid w:val="005F1718"/>
    <w:rsid w:val="005F17E4"/>
    <w:rsid w:val="005F22ED"/>
    <w:rsid w:val="005F28E9"/>
    <w:rsid w:val="005F58E0"/>
    <w:rsid w:val="005F643B"/>
    <w:rsid w:val="005F6571"/>
    <w:rsid w:val="005F74A7"/>
    <w:rsid w:val="005F75B9"/>
    <w:rsid w:val="00600BE0"/>
    <w:rsid w:val="006013DD"/>
    <w:rsid w:val="00601B38"/>
    <w:rsid w:val="00601F95"/>
    <w:rsid w:val="00602D1B"/>
    <w:rsid w:val="00603426"/>
    <w:rsid w:val="00603758"/>
    <w:rsid w:val="00603C71"/>
    <w:rsid w:val="00603E17"/>
    <w:rsid w:val="00603ED2"/>
    <w:rsid w:val="006045FE"/>
    <w:rsid w:val="00604843"/>
    <w:rsid w:val="00604AFE"/>
    <w:rsid w:val="00605D84"/>
    <w:rsid w:val="006069AA"/>
    <w:rsid w:val="00606C26"/>
    <w:rsid w:val="00610144"/>
    <w:rsid w:val="00610812"/>
    <w:rsid w:val="00610F37"/>
    <w:rsid w:val="006113E3"/>
    <w:rsid w:val="00611E61"/>
    <w:rsid w:val="00611E78"/>
    <w:rsid w:val="006123D9"/>
    <w:rsid w:val="0061265A"/>
    <w:rsid w:val="00612D46"/>
    <w:rsid w:val="00612DAB"/>
    <w:rsid w:val="0061408F"/>
    <w:rsid w:val="0061484D"/>
    <w:rsid w:val="00614F1F"/>
    <w:rsid w:val="0061566F"/>
    <w:rsid w:val="00615E6A"/>
    <w:rsid w:val="006201C7"/>
    <w:rsid w:val="0062066B"/>
    <w:rsid w:val="00621E39"/>
    <w:rsid w:val="00623374"/>
    <w:rsid w:val="00623608"/>
    <w:rsid w:val="006240DA"/>
    <w:rsid w:val="00625F55"/>
    <w:rsid w:val="0062638C"/>
    <w:rsid w:val="00626E09"/>
    <w:rsid w:val="00627E43"/>
    <w:rsid w:val="006300A9"/>
    <w:rsid w:val="006304E1"/>
    <w:rsid w:val="00632213"/>
    <w:rsid w:val="00632228"/>
    <w:rsid w:val="00633500"/>
    <w:rsid w:val="00633F75"/>
    <w:rsid w:val="006354A7"/>
    <w:rsid w:val="00635E8B"/>
    <w:rsid w:val="00637CC0"/>
    <w:rsid w:val="006401F4"/>
    <w:rsid w:val="006403ED"/>
    <w:rsid w:val="006419A6"/>
    <w:rsid w:val="00643705"/>
    <w:rsid w:val="00644773"/>
    <w:rsid w:val="006450B8"/>
    <w:rsid w:val="006456A4"/>
    <w:rsid w:val="006461DB"/>
    <w:rsid w:val="00646696"/>
    <w:rsid w:val="00647523"/>
    <w:rsid w:val="00647615"/>
    <w:rsid w:val="0064791A"/>
    <w:rsid w:val="006505D2"/>
    <w:rsid w:val="00650B6E"/>
    <w:rsid w:val="00652169"/>
    <w:rsid w:val="00652171"/>
    <w:rsid w:val="006523FB"/>
    <w:rsid w:val="006530E2"/>
    <w:rsid w:val="00653AA3"/>
    <w:rsid w:val="00654840"/>
    <w:rsid w:val="00655B22"/>
    <w:rsid w:val="00655E36"/>
    <w:rsid w:val="006575B3"/>
    <w:rsid w:val="006611AD"/>
    <w:rsid w:val="00661BF6"/>
    <w:rsid w:val="006640C7"/>
    <w:rsid w:val="00664FF0"/>
    <w:rsid w:val="0066598A"/>
    <w:rsid w:val="00665D18"/>
    <w:rsid w:val="00667F12"/>
    <w:rsid w:val="006700C4"/>
    <w:rsid w:val="0067013D"/>
    <w:rsid w:val="00671269"/>
    <w:rsid w:val="00671E56"/>
    <w:rsid w:val="00672481"/>
    <w:rsid w:val="00673430"/>
    <w:rsid w:val="00674D80"/>
    <w:rsid w:val="00674DA1"/>
    <w:rsid w:val="00675BAB"/>
    <w:rsid w:val="00675C00"/>
    <w:rsid w:val="00676ED4"/>
    <w:rsid w:val="0067777E"/>
    <w:rsid w:val="006779A4"/>
    <w:rsid w:val="00677F6C"/>
    <w:rsid w:val="006804AC"/>
    <w:rsid w:val="0068116B"/>
    <w:rsid w:val="00681A31"/>
    <w:rsid w:val="00681C6F"/>
    <w:rsid w:val="00681E6E"/>
    <w:rsid w:val="006821D9"/>
    <w:rsid w:val="00682908"/>
    <w:rsid w:val="00683641"/>
    <w:rsid w:val="00683FB3"/>
    <w:rsid w:val="00685425"/>
    <w:rsid w:val="006862EF"/>
    <w:rsid w:val="0068722A"/>
    <w:rsid w:val="00690007"/>
    <w:rsid w:val="00692F93"/>
    <w:rsid w:val="00693473"/>
    <w:rsid w:val="00693625"/>
    <w:rsid w:val="00694F4D"/>
    <w:rsid w:val="00696B38"/>
    <w:rsid w:val="006A0205"/>
    <w:rsid w:val="006A028B"/>
    <w:rsid w:val="006A1585"/>
    <w:rsid w:val="006A39A2"/>
    <w:rsid w:val="006A3B13"/>
    <w:rsid w:val="006A3DD7"/>
    <w:rsid w:val="006A4547"/>
    <w:rsid w:val="006A487F"/>
    <w:rsid w:val="006A54B5"/>
    <w:rsid w:val="006A5942"/>
    <w:rsid w:val="006A6EBE"/>
    <w:rsid w:val="006A73D8"/>
    <w:rsid w:val="006A7884"/>
    <w:rsid w:val="006A792B"/>
    <w:rsid w:val="006A795D"/>
    <w:rsid w:val="006A7F2C"/>
    <w:rsid w:val="006B008B"/>
    <w:rsid w:val="006B1AA6"/>
    <w:rsid w:val="006B2A88"/>
    <w:rsid w:val="006B2C5F"/>
    <w:rsid w:val="006B3F69"/>
    <w:rsid w:val="006B4229"/>
    <w:rsid w:val="006B4805"/>
    <w:rsid w:val="006B6F58"/>
    <w:rsid w:val="006C099C"/>
    <w:rsid w:val="006C0A1D"/>
    <w:rsid w:val="006C0D94"/>
    <w:rsid w:val="006C18D2"/>
    <w:rsid w:val="006C1F9E"/>
    <w:rsid w:val="006C37B5"/>
    <w:rsid w:val="006C3A50"/>
    <w:rsid w:val="006C3ADE"/>
    <w:rsid w:val="006C3C8E"/>
    <w:rsid w:val="006C4043"/>
    <w:rsid w:val="006C450F"/>
    <w:rsid w:val="006C5061"/>
    <w:rsid w:val="006C5141"/>
    <w:rsid w:val="006C5B3A"/>
    <w:rsid w:val="006C62B4"/>
    <w:rsid w:val="006C6F19"/>
    <w:rsid w:val="006D10CC"/>
    <w:rsid w:val="006D19F8"/>
    <w:rsid w:val="006D2AA8"/>
    <w:rsid w:val="006D392B"/>
    <w:rsid w:val="006D40E7"/>
    <w:rsid w:val="006D5DD2"/>
    <w:rsid w:val="006D63D3"/>
    <w:rsid w:val="006D63FE"/>
    <w:rsid w:val="006D6E83"/>
    <w:rsid w:val="006E1496"/>
    <w:rsid w:val="006E1FB3"/>
    <w:rsid w:val="006E3FAE"/>
    <w:rsid w:val="006E468E"/>
    <w:rsid w:val="006E4FBC"/>
    <w:rsid w:val="006E5736"/>
    <w:rsid w:val="006E666C"/>
    <w:rsid w:val="006E6697"/>
    <w:rsid w:val="006E7062"/>
    <w:rsid w:val="006E70C4"/>
    <w:rsid w:val="006F1015"/>
    <w:rsid w:val="006F11F6"/>
    <w:rsid w:val="006F18A2"/>
    <w:rsid w:val="006F2C91"/>
    <w:rsid w:val="006F42FC"/>
    <w:rsid w:val="006F4D4F"/>
    <w:rsid w:val="006F5EC2"/>
    <w:rsid w:val="006F67EF"/>
    <w:rsid w:val="006F73A7"/>
    <w:rsid w:val="006F7F33"/>
    <w:rsid w:val="00700191"/>
    <w:rsid w:val="0070035A"/>
    <w:rsid w:val="0070060E"/>
    <w:rsid w:val="00700901"/>
    <w:rsid w:val="00701DD4"/>
    <w:rsid w:val="0070264D"/>
    <w:rsid w:val="0070299E"/>
    <w:rsid w:val="00702D57"/>
    <w:rsid w:val="0070388C"/>
    <w:rsid w:val="00703F44"/>
    <w:rsid w:val="0070683A"/>
    <w:rsid w:val="00706E6A"/>
    <w:rsid w:val="0071040A"/>
    <w:rsid w:val="00710737"/>
    <w:rsid w:val="007108F9"/>
    <w:rsid w:val="00711D69"/>
    <w:rsid w:val="00712479"/>
    <w:rsid w:val="007134AF"/>
    <w:rsid w:val="007139B2"/>
    <w:rsid w:val="00713EB8"/>
    <w:rsid w:val="00713F92"/>
    <w:rsid w:val="007145F4"/>
    <w:rsid w:val="00716D9F"/>
    <w:rsid w:val="007171F2"/>
    <w:rsid w:val="007207CA"/>
    <w:rsid w:val="00721469"/>
    <w:rsid w:val="007215B3"/>
    <w:rsid w:val="00721620"/>
    <w:rsid w:val="007218D0"/>
    <w:rsid w:val="00721C7C"/>
    <w:rsid w:val="00722776"/>
    <w:rsid w:val="00723169"/>
    <w:rsid w:val="00723A93"/>
    <w:rsid w:val="00724D8B"/>
    <w:rsid w:val="007259A7"/>
    <w:rsid w:val="00725B01"/>
    <w:rsid w:val="0072664A"/>
    <w:rsid w:val="00726E35"/>
    <w:rsid w:val="007314A8"/>
    <w:rsid w:val="00731A2D"/>
    <w:rsid w:val="00731A34"/>
    <w:rsid w:val="00731E66"/>
    <w:rsid w:val="00732239"/>
    <w:rsid w:val="00733775"/>
    <w:rsid w:val="00734890"/>
    <w:rsid w:val="007350B4"/>
    <w:rsid w:val="00735F59"/>
    <w:rsid w:val="00737C10"/>
    <w:rsid w:val="00740A95"/>
    <w:rsid w:val="00740DEE"/>
    <w:rsid w:val="007419DD"/>
    <w:rsid w:val="0074284F"/>
    <w:rsid w:val="00743B2C"/>
    <w:rsid w:val="00744999"/>
    <w:rsid w:val="00744EE4"/>
    <w:rsid w:val="00744EEF"/>
    <w:rsid w:val="0074583D"/>
    <w:rsid w:val="00747670"/>
    <w:rsid w:val="00750D6A"/>
    <w:rsid w:val="007557EE"/>
    <w:rsid w:val="00757562"/>
    <w:rsid w:val="00757B01"/>
    <w:rsid w:val="00763463"/>
    <w:rsid w:val="00763716"/>
    <w:rsid w:val="00764228"/>
    <w:rsid w:val="00766416"/>
    <w:rsid w:val="00766A9D"/>
    <w:rsid w:val="0076778A"/>
    <w:rsid w:val="00772322"/>
    <w:rsid w:val="0077344B"/>
    <w:rsid w:val="00774FA3"/>
    <w:rsid w:val="00775F0E"/>
    <w:rsid w:val="00776342"/>
    <w:rsid w:val="00777525"/>
    <w:rsid w:val="00777989"/>
    <w:rsid w:val="00777C15"/>
    <w:rsid w:val="00777D22"/>
    <w:rsid w:val="00780E20"/>
    <w:rsid w:val="0078324E"/>
    <w:rsid w:val="00783E3F"/>
    <w:rsid w:val="007845AF"/>
    <w:rsid w:val="007850A1"/>
    <w:rsid w:val="007850B5"/>
    <w:rsid w:val="0078602D"/>
    <w:rsid w:val="007864A7"/>
    <w:rsid w:val="00786F1D"/>
    <w:rsid w:val="00786F5C"/>
    <w:rsid w:val="0079019C"/>
    <w:rsid w:val="00790361"/>
    <w:rsid w:val="0079081D"/>
    <w:rsid w:val="00793899"/>
    <w:rsid w:val="00794262"/>
    <w:rsid w:val="00794A96"/>
    <w:rsid w:val="00794CE2"/>
    <w:rsid w:val="00796415"/>
    <w:rsid w:val="00797178"/>
    <w:rsid w:val="00797A72"/>
    <w:rsid w:val="007A0D6D"/>
    <w:rsid w:val="007A224E"/>
    <w:rsid w:val="007A2451"/>
    <w:rsid w:val="007A24A5"/>
    <w:rsid w:val="007A2614"/>
    <w:rsid w:val="007A2C91"/>
    <w:rsid w:val="007A3558"/>
    <w:rsid w:val="007A4FA3"/>
    <w:rsid w:val="007A5D4B"/>
    <w:rsid w:val="007A6346"/>
    <w:rsid w:val="007B0263"/>
    <w:rsid w:val="007B0C1F"/>
    <w:rsid w:val="007B11BB"/>
    <w:rsid w:val="007B1553"/>
    <w:rsid w:val="007B2A19"/>
    <w:rsid w:val="007B3218"/>
    <w:rsid w:val="007B3DAD"/>
    <w:rsid w:val="007B436A"/>
    <w:rsid w:val="007B4592"/>
    <w:rsid w:val="007B6333"/>
    <w:rsid w:val="007B66FB"/>
    <w:rsid w:val="007B75EE"/>
    <w:rsid w:val="007C18FB"/>
    <w:rsid w:val="007C1D85"/>
    <w:rsid w:val="007C4B23"/>
    <w:rsid w:val="007C58F3"/>
    <w:rsid w:val="007C629A"/>
    <w:rsid w:val="007C6A6C"/>
    <w:rsid w:val="007C6BE7"/>
    <w:rsid w:val="007C6C10"/>
    <w:rsid w:val="007C6F87"/>
    <w:rsid w:val="007C797F"/>
    <w:rsid w:val="007D074A"/>
    <w:rsid w:val="007D2682"/>
    <w:rsid w:val="007D42C0"/>
    <w:rsid w:val="007D4C42"/>
    <w:rsid w:val="007D63F5"/>
    <w:rsid w:val="007E0052"/>
    <w:rsid w:val="007E0210"/>
    <w:rsid w:val="007E0D0B"/>
    <w:rsid w:val="007E1ECF"/>
    <w:rsid w:val="007E2EB4"/>
    <w:rsid w:val="007E30A6"/>
    <w:rsid w:val="007E38BD"/>
    <w:rsid w:val="007E43A3"/>
    <w:rsid w:val="007E65F8"/>
    <w:rsid w:val="007E7470"/>
    <w:rsid w:val="007F03F9"/>
    <w:rsid w:val="007F16F2"/>
    <w:rsid w:val="007F1BAE"/>
    <w:rsid w:val="007F28B4"/>
    <w:rsid w:val="007F3293"/>
    <w:rsid w:val="007F4000"/>
    <w:rsid w:val="007F4B6E"/>
    <w:rsid w:val="007F52D7"/>
    <w:rsid w:val="007F64E7"/>
    <w:rsid w:val="007F714E"/>
    <w:rsid w:val="007F7BC5"/>
    <w:rsid w:val="0080096E"/>
    <w:rsid w:val="00800F7F"/>
    <w:rsid w:val="00801298"/>
    <w:rsid w:val="00801938"/>
    <w:rsid w:val="008019D8"/>
    <w:rsid w:val="00801BF0"/>
    <w:rsid w:val="00801C62"/>
    <w:rsid w:val="0080340A"/>
    <w:rsid w:val="0080347A"/>
    <w:rsid w:val="00804F0D"/>
    <w:rsid w:val="00805C86"/>
    <w:rsid w:val="00806E03"/>
    <w:rsid w:val="008105A1"/>
    <w:rsid w:val="00810EAB"/>
    <w:rsid w:val="00811CF0"/>
    <w:rsid w:val="0081218F"/>
    <w:rsid w:val="00812540"/>
    <w:rsid w:val="00812602"/>
    <w:rsid w:val="00812F15"/>
    <w:rsid w:val="00814B3D"/>
    <w:rsid w:val="0081500B"/>
    <w:rsid w:val="00815ACA"/>
    <w:rsid w:val="00816C16"/>
    <w:rsid w:val="00817945"/>
    <w:rsid w:val="00820336"/>
    <w:rsid w:val="008205D8"/>
    <w:rsid w:val="00820C4F"/>
    <w:rsid w:val="00820FD9"/>
    <w:rsid w:val="00821849"/>
    <w:rsid w:val="008222A8"/>
    <w:rsid w:val="00822820"/>
    <w:rsid w:val="008232F5"/>
    <w:rsid w:val="00823526"/>
    <w:rsid w:val="00825819"/>
    <w:rsid w:val="00826819"/>
    <w:rsid w:val="00830FD2"/>
    <w:rsid w:val="00830FF6"/>
    <w:rsid w:val="00831EF5"/>
    <w:rsid w:val="008329EC"/>
    <w:rsid w:val="00832E8B"/>
    <w:rsid w:val="00834D99"/>
    <w:rsid w:val="0083621E"/>
    <w:rsid w:val="008363CD"/>
    <w:rsid w:val="00836A95"/>
    <w:rsid w:val="00841533"/>
    <w:rsid w:val="00841940"/>
    <w:rsid w:val="00842ED6"/>
    <w:rsid w:val="00843546"/>
    <w:rsid w:val="00845092"/>
    <w:rsid w:val="0084529D"/>
    <w:rsid w:val="008459BF"/>
    <w:rsid w:val="00845C24"/>
    <w:rsid w:val="00846A4B"/>
    <w:rsid w:val="00846BD6"/>
    <w:rsid w:val="0084781F"/>
    <w:rsid w:val="008503B2"/>
    <w:rsid w:val="00850EDF"/>
    <w:rsid w:val="00851229"/>
    <w:rsid w:val="00851805"/>
    <w:rsid w:val="00851FAD"/>
    <w:rsid w:val="00853E1B"/>
    <w:rsid w:val="00853E25"/>
    <w:rsid w:val="00853E5C"/>
    <w:rsid w:val="00854A0B"/>
    <w:rsid w:val="00854D86"/>
    <w:rsid w:val="00855207"/>
    <w:rsid w:val="00855B29"/>
    <w:rsid w:val="00857A14"/>
    <w:rsid w:val="0086098C"/>
    <w:rsid w:val="008612D0"/>
    <w:rsid w:val="00861BF2"/>
    <w:rsid w:val="00863661"/>
    <w:rsid w:val="0086391B"/>
    <w:rsid w:val="008641AE"/>
    <w:rsid w:val="0086547B"/>
    <w:rsid w:val="008659AC"/>
    <w:rsid w:val="00866537"/>
    <w:rsid w:val="008706DC"/>
    <w:rsid w:val="00871C1E"/>
    <w:rsid w:val="00872AEE"/>
    <w:rsid w:val="00872C4B"/>
    <w:rsid w:val="00874C3D"/>
    <w:rsid w:val="0087512B"/>
    <w:rsid w:val="00875E6D"/>
    <w:rsid w:val="0087676B"/>
    <w:rsid w:val="00876BD7"/>
    <w:rsid w:val="0088024E"/>
    <w:rsid w:val="00880753"/>
    <w:rsid w:val="00880CE2"/>
    <w:rsid w:val="008821AA"/>
    <w:rsid w:val="008824AB"/>
    <w:rsid w:val="008825C3"/>
    <w:rsid w:val="00882CC8"/>
    <w:rsid w:val="00882F15"/>
    <w:rsid w:val="008843FB"/>
    <w:rsid w:val="00884BC4"/>
    <w:rsid w:val="00886295"/>
    <w:rsid w:val="00890826"/>
    <w:rsid w:val="00892A67"/>
    <w:rsid w:val="00893B17"/>
    <w:rsid w:val="00893CB5"/>
    <w:rsid w:val="00893DF9"/>
    <w:rsid w:val="00894B5B"/>
    <w:rsid w:val="00895909"/>
    <w:rsid w:val="008965F2"/>
    <w:rsid w:val="00897588"/>
    <w:rsid w:val="008A2E32"/>
    <w:rsid w:val="008A3673"/>
    <w:rsid w:val="008A3E30"/>
    <w:rsid w:val="008A3EB0"/>
    <w:rsid w:val="008A4422"/>
    <w:rsid w:val="008A4433"/>
    <w:rsid w:val="008A484B"/>
    <w:rsid w:val="008A4A5C"/>
    <w:rsid w:val="008A562B"/>
    <w:rsid w:val="008A60CD"/>
    <w:rsid w:val="008A63A7"/>
    <w:rsid w:val="008A6CD7"/>
    <w:rsid w:val="008A7AD2"/>
    <w:rsid w:val="008A7B96"/>
    <w:rsid w:val="008A7C20"/>
    <w:rsid w:val="008B102C"/>
    <w:rsid w:val="008B147D"/>
    <w:rsid w:val="008B1785"/>
    <w:rsid w:val="008B2086"/>
    <w:rsid w:val="008B224E"/>
    <w:rsid w:val="008B2356"/>
    <w:rsid w:val="008B44FF"/>
    <w:rsid w:val="008B4943"/>
    <w:rsid w:val="008B54D8"/>
    <w:rsid w:val="008B5E4F"/>
    <w:rsid w:val="008C0BB9"/>
    <w:rsid w:val="008C22B0"/>
    <w:rsid w:val="008C26DF"/>
    <w:rsid w:val="008C2E3A"/>
    <w:rsid w:val="008C3296"/>
    <w:rsid w:val="008C4542"/>
    <w:rsid w:val="008C5023"/>
    <w:rsid w:val="008C7035"/>
    <w:rsid w:val="008C7216"/>
    <w:rsid w:val="008D054E"/>
    <w:rsid w:val="008D0C00"/>
    <w:rsid w:val="008D0DE4"/>
    <w:rsid w:val="008D1087"/>
    <w:rsid w:val="008D136F"/>
    <w:rsid w:val="008D1EB6"/>
    <w:rsid w:val="008D2FF8"/>
    <w:rsid w:val="008D4145"/>
    <w:rsid w:val="008D5578"/>
    <w:rsid w:val="008E03C9"/>
    <w:rsid w:val="008E09C9"/>
    <w:rsid w:val="008E1907"/>
    <w:rsid w:val="008E2F50"/>
    <w:rsid w:val="008E4D64"/>
    <w:rsid w:val="008E4FF3"/>
    <w:rsid w:val="008E6074"/>
    <w:rsid w:val="008E6E3D"/>
    <w:rsid w:val="008E70A8"/>
    <w:rsid w:val="008E7AC6"/>
    <w:rsid w:val="008F01A8"/>
    <w:rsid w:val="008F1457"/>
    <w:rsid w:val="008F2BC5"/>
    <w:rsid w:val="008F2C37"/>
    <w:rsid w:val="008F2D81"/>
    <w:rsid w:val="008F3ADB"/>
    <w:rsid w:val="008F4046"/>
    <w:rsid w:val="008F4834"/>
    <w:rsid w:val="008F54D4"/>
    <w:rsid w:val="008F7627"/>
    <w:rsid w:val="00900066"/>
    <w:rsid w:val="009001E6"/>
    <w:rsid w:val="0090204A"/>
    <w:rsid w:val="00902C85"/>
    <w:rsid w:val="0090323D"/>
    <w:rsid w:val="00904BF7"/>
    <w:rsid w:val="00905E31"/>
    <w:rsid w:val="00906793"/>
    <w:rsid w:val="009067DC"/>
    <w:rsid w:val="00906C24"/>
    <w:rsid w:val="00907447"/>
    <w:rsid w:val="0091045A"/>
    <w:rsid w:val="0091065E"/>
    <w:rsid w:val="00910EF0"/>
    <w:rsid w:val="00911AD4"/>
    <w:rsid w:val="00912C32"/>
    <w:rsid w:val="00913E8C"/>
    <w:rsid w:val="00914366"/>
    <w:rsid w:val="0091467D"/>
    <w:rsid w:val="00914C6B"/>
    <w:rsid w:val="00915CC2"/>
    <w:rsid w:val="00916477"/>
    <w:rsid w:val="009173C2"/>
    <w:rsid w:val="00917BB9"/>
    <w:rsid w:val="009201BD"/>
    <w:rsid w:val="009201FD"/>
    <w:rsid w:val="009202E2"/>
    <w:rsid w:val="00920EDD"/>
    <w:rsid w:val="00922801"/>
    <w:rsid w:val="009233B1"/>
    <w:rsid w:val="0092344C"/>
    <w:rsid w:val="009247AE"/>
    <w:rsid w:val="00924E9C"/>
    <w:rsid w:val="00925440"/>
    <w:rsid w:val="00925823"/>
    <w:rsid w:val="009266CC"/>
    <w:rsid w:val="00926877"/>
    <w:rsid w:val="00926BA3"/>
    <w:rsid w:val="00927C28"/>
    <w:rsid w:val="00930E4B"/>
    <w:rsid w:val="009311B8"/>
    <w:rsid w:val="00931613"/>
    <w:rsid w:val="0093244C"/>
    <w:rsid w:val="0093335C"/>
    <w:rsid w:val="0093378E"/>
    <w:rsid w:val="00933A02"/>
    <w:rsid w:val="0093448B"/>
    <w:rsid w:val="0093470C"/>
    <w:rsid w:val="0093496F"/>
    <w:rsid w:val="00935530"/>
    <w:rsid w:val="009357F6"/>
    <w:rsid w:val="00936080"/>
    <w:rsid w:val="00936984"/>
    <w:rsid w:val="00936D3B"/>
    <w:rsid w:val="009422BD"/>
    <w:rsid w:val="009439B9"/>
    <w:rsid w:val="009441B4"/>
    <w:rsid w:val="009443C9"/>
    <w:rsid w:val="00945A98"/>
    <w:rsid w:val="00945B2E"/>
    <w:rsid w:val="0095021F"/>
    <w:rsid w:val="009505BB"/>
    <w:rsid w:val="0095063B"/>
    <w:rsid w:val="0095072B"/>
    <w:rsid w:val="0095104E"/>
    <w:rsid w:val="009525C6"/>
    <w:rsid w:val="00952A02"/>
    <w:rsid w:val="009532CD"/>
    <w:rsid w:val="009542B8"/>
    <w:rsid w:val="00955503"/>
    <w:rsid w:val="009570E5"/>
    <w:rsid w:val="0096005D"/>
    <w:rsid w:val="00961C4C"/>
    <w:rsid w:val="009621FA"/>
    <w:rsid w:val="00962914"/>
    <w:rsid w:val="00962C14"/>
    <w:rsid w:val="00963135"/>
    <w:rsid w:val="0096437D"/>
    <w:rsid w:val="0096497C"/>
    <w:rsid w:val="00964C94"/>
    <w:rsid w:val="00964CA4"/>
    <w:rsid w:val="00965851"/>
    <w:rsid w:val="009661AB"/>
    <w:rsid w:val="00966DF9"/>
    <w:rsid w:val="009677B3"/>
    <w:rsid w:val="009708BE"/>
    <w:rsid w:val="00971623"/>
    <w:rsid w:val="009730B6"/>
    <w:rsid w:val="0097409B"/>
    <w:rsid w:val="00974AE9"/>
    <w:rsid w:val="00974C24"/>
    <w:rsid w:val="00976D1C"/>
    <w:rsid w:val="009817A3"/>
    <w:rsid w:val="00983957"/>
    <w:rsid w:val="00986766"/>
    <w:rsid w:val="009872A5"/>
    <w:rsid w:val="009878DF"/>
    <w:rsid w:val="00987C22"/>
    <w:rsid w:val="00987E03"/>
    <w:rsid w:val="00990F56"/>
    <w:rsid w:val="00993195"/>
    <w:rsid w:val="00993823"/>
    <w:rsid w:val="00993DB5"/>
    <w:rsid w:val="00995E3F"/>
    <w:rsid w:val="009A005F"/>
    <w:rsid w:val="009A0812"/>
    <w:rsid w:val="009A2FC8"/>
    <w:rsid w:val="009A57B4"/>
    <w:rsid w:val="009A60D3"/>
    <w:rsid w:val="009A6297"/>
    <w:rsid w:val="009A7304"/>
    <w:rsid w:val="009A73C2"/>
    <w:rsid w:val="009A791D"/>
    <w:rsid w:val="009B03D1"/>
    <w:rsid w:val="009B2A3F"/>
    <w:rsid w:val="009B3B7A"/>
    <w:rsid w:val="009B42DD"/>
    <w:rsid w:val="009B4549"/>
    <w:rsid w:val="009B5DD2"/>
    <w:rsid w:val="009B6442"/>
    <w:rsid w:val="009B65E6"/>
    <w:rsid w:val="009B7A8F"/>
    <w:rsid w:val="009B7E99"/>
    <w:rsid w:val="009C031B"/>
    <w:rsid w:val="009C0876"/>
    <w:rsid w:val="009C0FBC"/>
    <w:rsid w:val="009C2CFF"/>
    <w:rsid w:val="009C3F8E"/>
    <w:rsid w:val="009C4140"/>
    <w:rsid w:val="009C4196"/>
    <w:rsid w:val="009C422D"/>
    <w:rsid w:val="009C437D"/>
    <w:rsid w:val="009C483C"/>
    <w:rsid w:val="009C54A0"/>
    <w:rsid w:val="009C608B"/>
    <w:rsid w:val="009C6CF1"/>
    <w:rsid w:val="009C72E7"/>
    <w:rsid w:val="009C73F4"/>
    <w:rsid w:val="009D253B"/>
    <w:rsid w:val="009D35AB"/>
    <w:rsid w:val="009D3765"/>
    <w:rsid w:val="009D4C58"/>
    <w:rsid w:val="009D5F51"/>
    <w:rsid w:val="009D6289"/>
    <w:rsid w:val="009D72A5"/>
    <w:rsid w:val="009D74F0"/>
    <w:rsid w:val="009E0693"/>
    <w:rsid w:val="009E0A85"/>
    <w:rsid w:val="009E11C1"/>
    <w:rsid w:val="009E1C95"/>
    <w:rsid w:val="009E2CF8"/>
    <w:rsid w:val="009E36BA"/>
    <w:rsid w:val="009E55DC"/>
    <w:rsid w:val="009E6112"/>
    <w:rsid w:val="009E6A46"/>
    <w:rsid w:val="009E7D6D"/>
    <w:rsid w:val="009F0A14"/>
    <w:rsid w:val="009F19E7"/>
    <w:rsid w:val="009F2DEB"/>
    <w:rsid w:val="009F53D9"/>
    <w:rsid w:val="009F74FD"/>
    <w:rsid w:val="009F7AED"/>
    <w:rsid w:val="00A0020A"/>
    <w:rsid w:val="00A008FC"/>
    <w:rsid w:val="00A0357B"/>
    <w:rsid w:val="00A03BB8"/>
    <w:rsid w:val="00A04247"/>
    <w:rsid w:val="00A043DD"/>
    <w:rsid w:val="00A044DD"/>
    <w:rsid w:val="00A05532"/>
    <w:rsid w:val="00A0577E"/>
    <w:rsid w:val="00A05BB7"/>
    <w:rsid w:val="00A065D6"/>
    <w:rsid w:val="00A10219"/>
    <w:rsid w:val="00A10224"/>
    <w:rsid w:val="00A11378"/>
    <w:rsid w:val="00A11EA1"/>
    <w:rsid w:val="00A1739E"/>
    <w:rsid w:val="00A17A76"/>
    <w:rsid w:val="00A17E16"/>
    <w:rsid w:val="00A202E5"/>
    <w:rsid w:val="00A205DD"/>
    <w:rsid w:val="00A2117B"/>
    <w:rsid w:val="00A24315"/>
    <w:rsid w:val="00A246A6"/>
    <w:rsid w:val="00A254A4"/>
    <w:rsid w:val="00A25970"/>
    <w:rsid w:val="00A25AED"/>
    <w:rsid w:val="00A26C99"/>
    <w:rsid w:val="00A27172"/>
    <w:rsid w:val="00A30B96"/>
    <w:rsid w:val="00A30EC7"/>
    <w:rsid w:val="00A318C5"/>
    <w:rsid w:val="00A329B1"/>
    <w:rsid w:val="00A32A83"/>
    <w:rsid w:val="00A32E38"/>
    <w:rsid w:val="00A33D32"/>
    <w:rsid w:val="00A35841"/>
    <w:rsid w:val="00A35F4C"/>
    <w:rsid w:val="00A366AA"/>
    <w:rsid w:val="00A37283"/>
    <w:rsid w:val="00A37535"/>
    <w:rsid w:val="00A37811"/>
    <w:rsid w:val="00A37C8E"/>
    <w:rsid w:val="00A40DFB"/>
    <w:rsid w:val="00A40E3C"/>
    <w:rsid w:val="00A41012"/>
    <w:rsid w:val="00A410C7"/>
    <w:rsid w:val="00A414CA"/>
    <w:rsid w:val="00A41FD1"/>
    <w:rsid w:val="00A424A0"/>
    <w:rsid w:val="00A430E3"/>
    <w:rsid w:val="00A4413E"/>
    <w:rsid w:val="00A44193"/>
    <w:rsid w:val="00A44ABE"/>
    <w:rsid w:val="00A44CED"/>
    <w:rsid w:val="00A470DC"/>
    <w:rsid w:val="00A50180"/>
    <w:rsid w:val="00A502B2"/>
    <w:rsid w:val="00A50B9B"/>
    <w:rsid w:val="00A50D20"/>
    <w:rsid w:val="00A5184A"/>
    <w:rsid w:val="00A51DB9"/>
    <w:rsid w:val="00A52728"/>
    <w:rsid w:val="00A52E0C"/>
    <w:rsid w:val="00A53AD6"/>
    <w:rsid w:val="00A5447A"/>
    <w:rsid w:val="00A54821"/>
    <w:rsid w:val="00A55A3D"/>
    <w:rsid w:val="00A55B76"/>
    <w:rsid w:val="00A5655C"/>
    <w:rsid w:val="00A57592"/>
    <w:rsid w:val="00A60037"/>
    <w:rsid w:val="00A60C0B"/>
    <w:rsid w:val="00A61A91"/>
    <w:rsid w:val="00A61EDA"/>
    <w:rsid w:val="00A620A5"/>
    <w:rsid w:val="00A62881"/>
    <w:rsid w:val="00A638C2"/>
    <w:rsid w:val="00A64098"/>
    <w:rsid w:val="00A65B45"/>
    <w:rsid w:val="00A65E98"/>
    <w:rsid w:val="00A665CA"/>
    <w:rsid w:val="00A66672"/>
    <w:rsid w:val="00A66F49"/>
    <w:rsid w:val="00A70D3D"/>
    <w:rsid w:val="00A71C0F"/>
    <w:rsid w:val="00A71E95"/>
    <w:rsid w:val="00A72398"/>
    <w:rsid w:val="00A74B1D"/>
    <w:rsid w:val="00A74EB8"/>
    <w:rsid w:val="00A753C3"/>
    <w:rsid w:val="00A755F5"/>
    <w:rsid w:val="00A7597F"/>
    <w:rsid w:val="00A75B13"/>
    <w:rsid w:val="00A77FF7"/>
    <w:rsid w:val="00A81309"/>
    <w:rsid w:val="00A81F9D"/>
    <w:rsid w:val="00A821E8"/>
    <w:rsid w:val="00A84025"/>
    <w:rsid w:val="00A84D89"/>
    <w:rsid w:val="00A84F1E"/>
    <w:rsid w:val="00A85AE3"/>
    <w:rsid w:val="00A86549"/>
    <w:rsid w:val="00A86FCD"/>
    <w:rsid w:val="00A87390"/>
    <w:rsid w:val="00A87987"/>
    <w:rsid w:val="00A87B08"/>
    <w:rsid w:val="00A906F3"/>
    <w:rsid w:val="00A9213C"/>
    <w:rsid w:val="00A92C4F"/>
    <w:rsid w:val="00A92C75"/>
    <w:rsid w:val="00A92E34"/>
    <w:rsid w:val="00A9316B"/>
    <w:rsid w:val="00A957DF"/>
    <w:rsid w:val="00A9581B"/>
    <w:rsid w:val="00A959C5"/>
    <w:rsid w:val="00A95FDB"/>
    <w:rsid w:val="00A977C9"/>
    <w:rsid w:val="00A97938"/>
    <w:rsid w:val="00AA06D8"/>
    <w:rsid w:val="00AA14CA"/>
    <w:rsid w:val="00AA2B04"/>
    <w:rsid w:val="00AA3BA9"/>
    <w:rsid w:val="00AA3D6E"/>
    <w:rsid w:val="00AA4288"/>
    <w:rsid w:val="00AA444F"/>
    <w:rsid w:val="00AA4459"/>
    <w:rsid w:val="00AA4906"/>
    <w:rsid w:val="00AA4BB9"/>
    <w:rsid w:val="00AA4D10"/>
    <w:rsid w:val="00AA5633"/>
    <w:rsid w:val="00AA5C96"/>
    <w:rsid w:val="00AA5EC5"/>
    <w:rsid w:val="00AA5F95"/>
    <w:rsid w:val="00AA62BA"/>
    <w:rsid w:val="00AB16B9"/>
    <w:rsid w:val="00AB1D5A"/>
    <w:rsid w:val="00AB20D0"/>
    <w:rsid w:val="00AB22D7"/>
    <w:rsid w:val="00AB3D54"/>
    <w:rsid w:val="00AB4331"/>
    <w:rsid w:val="00AB55D7"/>
    <w:rsid w:val="00AB5A59"/>
    <w:rsid w:val="00AB610E"/>
    <w:rsid w:val="00AB6EDE"/>
    <w:rsid w:val="00AB7936"/>
    <w:rsid w:val="00AC044A"/>
    <w:rsid w:val="00AC074A"/>
    <w:rsid w:val="00AC0AE8"/>
    <w:rsid w:val="00AC0C78"/>
    <w:rsid w:val="00AC0FA4"/>
    <w:rsid w:val="00AC48BA"/>
    <w:rsid w:val="00AC4A6F"/>
    <w:rsid w:val="00AC4AB6"/>
    <w:rsid w:val="00AC4EDC"/>
    <w:rsid w:val="00AD011D"/>
    <w:rsid w:val="00AD0C7D"/>
    <w:rsid w:val="00AD1D76"/>
    <w:rsid w:val="00AD25A2"/>
    <w:rsid w:val="00AD313C"/>
    <w:rsid w:val="00AD3548"/>
    <w:rsid w:val="00AD4E7D"/>
    <w:rsid w:val="00AD5348"/>
    <w:rsid w:val="00AD5E64"/>
    <w:rsid w:val="00AD5F19"/>
    <w:rsid w:val="00AD6795"/>
    <w:rsid w:val="00AD6ADA"/>
    <w:rsid w:val="00AD6E6B"/>
    <w:rsid w:val="00AD754B"/>
    <w:rsid w:val="00AD7ACA"/>
    <w:rsid w:val="00AE0639"/>
    <w:rsid w:val="00AE12FA"/>
    <w:rsid w:val="00AE17EA"/>
    <w:rsid w:val="00AE1C56"/>
    <w:rsid w:val="00AE1E6D"/>
    <w:rsid w:val="00AE23AD"/>
    <w:rsid w:val="00AE28C2"/>
    <w:rsid w:val="00AE38C8"/>
    <w:rsid w:val="00AE3ACF"/>
    <w:rsid w:val="00AE3B72"/>
    <w:rsid w:val="00AE4005"/>
    <w:rsid w:val="00AE4510"/>
    <w:rsid w:val="00AE481B"/>
    <w:rsid w:val="00AE4AAC"/>
    <w:rsid w:val="00AE4D83"/>
    <w:rsid w:val="00AE508E"/>
    <w:rsid w:val="00AE78D8"/>
    <w:rsid w:val="00AF013D"/>
    <w:rsid w:val="00AF06CD"/>
    <w:rsid w:val="00AF1977"/>
    <w:rsid w:val="00AF2832"/>
    <w:rsid w:val="00AF36A7"/>
    <w:rsid w:val="00AF3D2B"/>
    <w:rsid w:val="00AF4401"/>
    <w:rsid w:val="00AF5D91"/>
    <w:rsid w:val="00AF5F26"/>
    <w:rsid w:val="00AF7794"/>
    <w:rsid w:val="00B00FDC"/>
    <w:rsid w:val="00B01A62"/>
    <w:rsid w:val="00B01D69"/>
    <w:rsid w:val="00B0283C"/>
    <w:rsid w:val="00B03B89"/>
    <w:rsid w:val="00B03DC0"/>
    <w:rsid w:val="00B047AB"/>
    <w:rsid w:val="00B04C4B"/>
    <w:rsid w:val="00B05950"/>
    <w:rsid w:val="00B06225"/>
    <w:rsid w:val="00B06D09"/>
    <w:rsid w:val="00B06D25"/>
    <w:rsid w:val="00B079D6"/>
    <w:rsid w:val="00B10445"/>
    <w:rsid w:val="00B10DD5"/>
    <w:rsid w:val="00B13F85"/>
    <w:rsid w:val="00B146A1"/>
    <w:rsid w:val="00B14D6C"/>
    <w:rsid w:val="00B1517F"/>
    <w:rsid w:val="00B155BF"/>
    <w:rsid w:val="00B15EC8"/>
    <w:rsid w:val="00B17ECE"/>
    <w:rsid w:val="00B205FC"/>
    <w:rsid w:val="00B245F8"/>
    <w:rsid w:val="00B25CC4"/>
    <w:rsid w:val="00B27F32"/>
    <w:rsid w:val="00B30CE9"/>
    <w:rsid w:val="00B30EC1"/>
    <w:rsid w:val="00B31096"/>
    <w:rsid w:val="00B32035"/>
    <w:rsid w:val="00B32228"/>
    <w:rsid w:val="00B3237F"/>
    <w:rsid w:val="00B32628"/>
    <w:rsid w:val="00B3265E"/>
    <w:rsid w:val="00B3309F"/>
    <w:rsid w:val="00B3359A"/>
    <w:rsid w:val="00B34A77"/>
    <w:rsid w:val="00B3594C"/>
    <w:rsid w:val="00B35A48"/>
    <w:rsid w:val="00B365E6"/>
    <w:rsid w:val="00B36FE9"/>
    <w:rsid w:val="00B374D0"/>
    <w:rsid w:val="00B375FC"/>
    <w:rsid w:val="00B376FC"/>
    <w:rsid w:val="00B403DC"/>
    <w:rsid w:val="00B408C5"/>
    <w:rsid w:val="00B408D0"/>
    <w:rsid w:val="00B41BD1"/>
    <w:rsid w:val="00B42D55"/>
    <w:rsid w:val="00B43F4B"/>
    <w:rsid w:val="00B46BFF"/>
    <w:rsid w:val="00B518F5"/>
    <w:rsid w:val="00B52C2F"/>
    <w:rsid w:val="00B52D8F"/>
    <w:rsid w:val="00B535CA"/>
    <w:rsid w:val="00B53772"/>
    <w:rsid w:val="00B55169"/>
    <w:rsid w:val="00B5603D"/>
    <w:rsid w:val="00B56F67"/>
    <w:rsid w:val="00B57011"/>
    <w:rsid w:val="00B61ADD"/>
    <w:rsid w:val="00B62B9F"/>
    <w:rsid w:val="00B63AD5"/>
    <w:rsid w:val="00B63C6A"/>
    <w:rsid w:val="00B63CC5"/>
    <w:rsid w:val="00B70E92"/>
    <w:rsid w:val="00B7136A"/>
    <w:rsid w:val="00B7137F"/>
    <w:rsid w:val="00B72736"/>
    <w:rsid w:val="00B72833"/>
    <w:rsid w:val="00B73C00"/>
    <w:rsid w:val="00B75DC9"/>
    <w:rsid w:val="00B76450"/>
    <w:rsid w:val="00B7731F"/>
    <w:rsid w:val="00B7774E"/>
    <w:rsid w:val="00B8071B"/>
    <w:rsid w:val="00B810E4"/>
    <w:rsid w:val="00B84030"/>
    <w:rsid w:val="00B84203"/>
    <w:rsid w:val="00B84301"/>
    <w:rsid w:val="00B84632"/>
    <w:rsid w:val="00B8593F"/>
    <w:rsid w:val="00B85D41"/>
    <w:rsid w:val="00B87656"/>
    <w:rsid w:val="00B9104A"/>
    <w:rsid w:val="00B91215"/>
    <w:rsid w:val="00B914F5"/>
    <w:rsid w:val="00B933E8"/>
    <w:rsid w:val="00B93752"/>
    <w:rsid w:val="00B93A2B"/>
    <w:rsid w:val="00B944D9"/>
    <w:rsid w:val="00B9637A"/>
    <w:rsid w:val="00B96392"/>
    <w:rsid w:val="00B9710E"/>
    <w:rsid w:val="00B97AFF"/>
    <w:rsid w:val="00BA25A5"/>
    <w:rsid w:val="00BA32A9"/>
    <w:rsid w:val="00BA3304"/>
    <w:rsid w:val="00BA488E"/>
    <w:rsid w:val="00BA4989"/>
    <w:rsid w:val="00BA5384"/>
    <w:rsid w:val="00BA634C"/>
    <w:rsid w:val="00BA63A5"/>
    <w:rsid w:val="00BA6876"/>
    <w:rsid w:val="00BA7853"/>
    <w:rsid w:val="00BA78D6"/>
    <w:rsid w:val="00BA7C13"/>
    <w:rsid w:val="00BB02EC"/>
    <w:rsid w:val="00BB04D4"/>
    <w:rsid w:val="00BB10BD"/>
    <w:rsid w:val="00BB1765"/>
    <w:rsid w:val="00BB2239"/>
    <w:rsid w:val="00BB2F91"/>
    <w:rsid w:val="00BB3D78"/>
    <w:rsid w:val="00BB4706"/>
    <w:rsid w:val="00BB4D2D"/>
    <w:rsid w:val="00BB5DFC"/>
    <w:rsid w:val="00BB632A"/>
    <w:rsid w:val="00BB7038"/>
    <w:rsid w:val="00BB7C75"/>
    <w:rsid w:val="00BC01BE"/>
    <w:rsid w:val="00BC16B2"/>
    <w:rsid w:val="00BC3394"/>
    <w:rsid w:val="00BC3A1B"/>
    <w:rsid w:val="00BC4D82"/>
    <w:rsid w:val="00BC5ADB"/>
    <w:rsid w:val="00BC75E3"/>
    <w:rsid w:val="00BC782D"/>
    <w:rsid w:val="00BC79D6"/>
    <w:rsid w:val="00BD09BC"/>
    <w:rsid w:val="00BD2639"/>
    <w:rsid w:val="00BD2FFD"/>
    <w:rsid w:val="00BD3D35"/>
    <w:rsid w:val="00BD5325"/>
    <w:rsid w:val="00BD5876"/>
    <w:rsid w:val="00BD5B47"/>
    <w:rsid w:val="00BD5BF8"/>
    <w:rsid w:val="00BD715B"/>
    <w:rsid w:val="00BD7E78"/>
    <w:rsid w:val="00BE17D1"/>
    <w:rsid w:val="00BE1887"/>
    <w:rsid w:val="00BE1CF7"/>
    <w:rsid w:val="00BE40F8"/>
    <w:rsid w:val="00BE6507"/>
    <w:rsid w:val="00BE6D2D"/>
    <w:rsid w:val="00BE72C0"/>
    <w:rsid w:val="00BF0D9F"/>
    <w:rsid w:val="00BF0F1F"/>
    <w:rsid w:val="00BF15F0"/>
    <w:rsid w:val="00BF199B"/>
    <w:rsid w:val="00BF1B8D"/>
    <w:rsid w:val="00BF22B0"/>
    <w:rsid w:val="00BF2F50"/>
    <w:rsid w:val="00BF31DE"/>
    <w:rsid w:val="00BF3987"/>
    <w:rsid w:val="00BF4290"/>
    <w:rsid w:val="00BF5829"/>
    <w:rsid w:val="00BF5A2E"/>
    <w:rsid w:val="00BF5D58"/>
    <w:rsid w:val="00BF6C56"/>
    <w:rsid w:val="00C00314"/>
    <w:rsid w:val="00C004EA"/>
    <w:rsid w:val="00C00CE2"/>
    <w:rsid w:val="00C0198D"/>
    <w:rsid w:val="00C02ECC"/>
    <w:rsid w:val="00C0371C"/>
    <w:rsid w:val="00C04168"/>
    <w:rsid w:val="00C047FD"/>
    <w:rsid w:val="00C06EC9"/>
    <w:rsid w:val="00C07CCE"/>
    <w:rsid w:val="00C07D3C"/>
    <w:rsid w:val="00C07FB6"/>
    <w:rsid w:val="00C115BF"/>
    <w:rsid w:val="00C11961"/>
    <w:rsid w:val="00C11FB4"/>
    <w:rsid w:val="00C12ECD"/>
    <w:rsid w:val="00C132E0"/>
    <w:rsid w:val="00C13D1B"/>
    <w:rsid w:val="00C149BB"/>
    <w:rsid w:val="00C14F22"/>
    <w:rsid w:val="00C1509F"/>
    <w:rsid w:val="00C15551"/>
    <w:rsid w:val="00C16890"/>
    <w:rsid w:val="00C16D7F"/>
    <w:rsid w:val="00C175DE"/>
    <w:rsid w:val="00C17877"/>
    <w:rsid w:val="00C17A25"/>
    <w:rsid w:val="00C204E7"/>
    <w:rsid w:val="00C2064B"/>
    <w:rsid w:val="00C21882"/>
    <w:rsid w:val="00C22FA0"/>
    <w:rsid w:val="00C24AA1"/>
    <w:rsid w:val="00C267B9"/>
    <w:rsid w:val="00C27517"/>
    <w:rsid w:val="00C277D5"/>
    <w:rsid w:val="00C27A4C"/>
    <w:rsid w:val="00C303BB"/>
    <w:rsid w:val="00C31540"/>
    <w:rsid w:val="00C346A1"/>
    <w:rsid w:val="00C347B2"/>
    <w:rsid w:val="00C3520D"/>
    <w:rsid w:val="00C3617F"/>
    <w:rsid w:val="00C365E9"/>
    <w:rsid w:val="00C36864"/>
    <w:rsid w:val="00C36D1C"/>
    <w:rsid w:val="00C400EB"/>
    <w:rsid w:val="00C40109"/>
    <w:rsid w:val="00C4158D"/>
    <w:rsid w:val="00C41C2F"/>
    <w:rsid w:val="00C41D70"/>
    <w:rsid w:val="00C421FA"/>
    <w:rsid w:val="00C425BE"/>
    <w:rsid w:val="00C43FFA"/>
    <w:rsid w:val="00C44715"/>
    <w:rsid w:val="00C4492A"/>
    <w:rsid w:val="00C44FBB"/>
    <w:rsid w:val="00C47889"/>
    <w:rsid w:val="00C47893"/>
    <w:rsid w:val="00C47E40"/>
    <w:rsid w:val="00C50AA9"/>
    <w:rsid w:val="00C5126B"/>
    <w:rsid w:val="00C51BD9"/>
    <w:rsid w:val="00C521DB"/>
    <w:rsid w:val="00C52BC9"/>
    <w:rsid w:val="00C53C25"/>
    <w:rsid w:val="00C543B6"/>
    <w:rsid w:val="00C54641"/>
    <w:rsid w:val="00C548D1"/>
    <w:rsid w:val="00C55409"/>
    <w:rsid w:val="00C55FE8"/>
    <w:rsid w:val="00C56BEA"/>
    <w:rsid w:val="00C56F21"/>
    <w:rsid w:val="00C56FD8"/>
    <w:rsid w:val="00C61D2A"/>
    <w:rsid w:val="00C630CB"/>
    <w:rsid w:val="00C6335D"/>
    <w:rsid w:val="00C63F94"/>
    <w:rsid w:val="00C64A73"/>
    <w:rsid w:val="00C651CB"/>
    <w:rsid w:val="00C651EF"/>
    <w:rsid w:val="00C65482"/>
    <w:rsid w:val="00C655F8"/>
    <w:rsid w:val="00C66B64"/>
    <w:rsid w:val="00C670AD"/>
    <w:rsid w:val="00C67B9A"/>
    <w:rsid w:val="00C70100"/>
    <w:rsid w:val="00C7026C"/>
    <w:rsid w:val="00C70EA6"/>
    <w:rsid w:val="00C71016"/>
    <w:rsid w:val="00C71D53"/>
    <w:rsid w:val="00C721A5"/>
    <w:rsid w:val="00C72315"/>
    <w:rsid w:val="00C73803"/>
    <w:rsid w:val="00C73835"/>
    <w:rsid w:val="00C73BE2"/>
    <w:rsid w:val="00C74CEA"/>
    <w:rsid w:val="00C75383"/>
    <w:rsid w:val="00C75A7B"/>
    <w:rsid w:val="00C75BE0"/>
    <w:rsid w:val="00C77608"/>
    <w:rsid w:val="00C77B3F"/>
    <w:rsid w:val="00C8144D"/>
    <w:rsid w:val="00C814B5"/>
    <w:rsid w:val="00C820DD"/>
    <w:rsid w:val="00C8308F"/>
    <w:rsid w:val="00C845C6"/>
    <w:rsid w:val="00C84BC3"/>
    <w:rsid w:val="00C85939"/>
    <w:rsid w:val="00C87F22"/>
    <w:rsid w:val="00C909F0"/>
    <w:rsid w:val="00C91520"/>
    <w:rsid w:val="00C919A6"/>
    <w:rsid w:val="00C919CA"/>
    <w:rsid w:val="00C91A3D"/>
    <w:rsid w:val="00C92303"/>
    <w:rsid w:val="00C92F04"/>
    <w:rsid w:val="00C94A16"/>
    <w:rsid w:val="00C94D69"/>
    <w:rsid w:val="00C9676C"/>
    <w:rsid w:val="00C968A0"/>
    <w:rsid w:val="00C97047"/>
    <w:rsid w:val="00CA057D"/>
    <w:rsid w:val="00CA09A0"/>
    <w:rsid w:val="00CA12E9"/>
    <w:rsid w:val="00CA1585"/>
    <w:rsid w:val="00CA1632"/>
    <w:rsid w:val="00CA1D36"/>
    <w:rsid w:val="00CA1FD9"/>
    <w:rsid w:val="00CA210C"/>
    <w:rsid w:val="00CA2788"/>
    <w:rsid w:val="00CA2B3A"/>
    <w:rsid w:val="00CA2BA7"/>
    <w:rsid w:val="00CA46DC"/>
    <w:rsid w:val="00CA47CD"/>
    <w:rsid w:val="00CA56AF"/>
    <w:rsid w:val="00CA5C42"/>
    <w:rsid w:val="00CA60E3"/>
    <w:rsid w:val="00CB12B6"/>
    <w:rsid w:val="00CB2013"/>
    <w:rsid w:val="00CB2ABA"/>
    <w:rsid w:val="00CB3B51"/>
    <w:rsid w:val="00CB3DC1"/>
    <w:rsid w:val="00CB74DE"/>
    <w:rsid w:val="00CB7F49"/>
    <w:rsid w:val="00CC09E3"/>
    <w:rsid w:val="00CC1F39"/>
    <w:rsid w:val="00CC2D70"/>
    <w:rsid w:val="00CC3839"/>
    <w:rsid w:val="00CC403A"/>
    <w:rsid w:val="00CC42F5"/>
    <w:rsid w:val="00CC4930"/>
    <w:rsid w:val="00CC5441"/>
    <w:rsid w:val="00CC727C"/>
    <w:rsid w:val="00CD2338"/>
    <w:rsid w:val="00CD37A0"/>
    <w:rsid w:val="00CD427A"/>
    <w:rsid w:val="00CD5955"/>
    <w:rsid w:val="00CD6D69"/>
    <w:rsid w:val="00CD6D87"/>
    <w:rsid w:val="00CE1C17"/>
    <w:rsid w:val="00CE21E1"/>
    <w:rsid w:val="00CE2290"/>
    <w:rsid w:val="00CE3302"/>
    <w:rsid w:val="00CE3F6D"/>
    <w:rsid w:val="00CE40EC"/>
    <w:rsid w:val="00CE4831"/>
    <w:rsid w:val="00CE5879"/>
    <w:rsid w:val="00CE6689"/>
    <w:rsid w:val="00CE7069"/>
    <w:rsid w:val="00CE74C9"/>
    <w:rsid w:val="00CF02BE"/>
    <w:rsid w:val="00CF0CA5"/>
    <w:rsid w:val="00CF17B1"/>
    <w:rsid w:val="00CF18DF"/>
    <w:rsid w:val="00CF1DFD"/>
    <w:rsid w:val="00CF22C4"/>
    <w:rsid w:val="00CF2F95"/>
    <w:rsid w:val="00CF449A"/>
    <w:rsid w:val="00CF4D13"/>
    <w:rsid w:val="00CF5524"/>
    <w:rsid w:val="00CF6C72"/>
    <w:rsid w:val="00CF7A8F"/>
    <w:rsid w:val="00D015A5"/>
    <w:rsid w:val="00D03770"/>
    <w:rsid w:val="00D04D96"/>
    <w:rsid w:val="00D05112"/>
    <w:rsid w:val="00D06DFC"/>
    <w:rsid w:val="00D076AF"/>
    <w:rsid w:val="00D1132F"/>
    <w:rsid w:val="00D1256A"/>
    <w:rsid w:val="00D12A7C"/>
    <w:rsid w:val="00D13572"/>
    <w:rsid w:val="00D1389E"/>
    <w:rsid w:val="00D149EF"/>
    <w:rsid w:val="00D15DA1"/>
    <w:rsid w:val="00D1636C"/>
    <w:rsid w:val="00D1714D"/>
    <w:rsid w:val="00D1799A"/>
    <w:rsid w:val="00D17D95"/>
    <w:rsid w:val="00D2296A"/>
    <w:rsid w:val="00D234D0"/>
    <w:rsid w:val="00D24E44"/>
    <w:rsid w:val="00D25C0E"/>
    <w:rsid w:val="00D263C9"/>
    <w:rsid w:val="00D2646B"/>
    <w:rsid w:val="00D27345"/>
    <w:rsid w:val="00D30C97"/>
    <w:rsid w:val="00D31106"/>
    <w:rsid w:val="00D31972"/>
    <w:rsid w:val="00D334B0"/>
    <w:rsid w:val="00D3371D"/>
    <w:rsid w:val="00D34746"/>
    <w:rsid w:val="00D3692C"/>
    <w:rsid w:val="00D36F39"/>
    <w:rsid w:val="00D37006"/>
    <w:rsid w:val="00D40144"/>
    <w:rsid w:val="00D40268"/>
    <w:rsid w:val="00D4038B"/>
    <w:rsid w:val="00D42D0E"/>
    <w:rsid w:val="00D4368C"/>
    <w:rsid w:val="00D43911"/>
    <w:rsid w:val="00D44858"/>
    <w:rsid w:val="00D461E0"/>
    <w:rsid w:val="00D469C4"/>
    <w:rsid w:val="00D46A1E"/>
    <w:rsid w:val="00D47B2C"/>
    <w:rsid w:val="00D47CE6"/>
    <w:rsid w:val="00D5081A"/>
    <w:rsid w:val="00D50C95"/>
    <w:rsid w:val="00D5256A"/>
    <w:rsid w:val="00D52A77"/>
    <w:rsid w:val="00D53C0C"/>
    <w:rsid w:val="00D55D63"/>
    <w:rsid w:val="00D56326"/>
    <w:rsid w:val="00D57380"/>
    <w:rsid w:val="00D57405"/>
    <w:rsid w:val="00D57E5C"/>
    <w:rsid w:val="00D60532"/>
    <w:rsid w:val="00D615A2"/>
    <w:rsid w:val="00D63364"/>
    <w:rsid w:val="00D6375B"/>
    <w:rsid w:val="00D645DF"/>
    <w:rsid w:val="00D667A0"/>
    <w:rsid w:val="00D6706E"/>
    <w:rsid w:val="00D672C4"/>
    <w:rsid w:val="00D67E9B"/>
    <w:rsid w:val="00D717A1"/>
    <w:rsid w:val="00D71A9E"/>
    <w:rsid w:val="00D7296F"/>
    <w:rsid w:val="00D72998"/>
    <w:rsid w:val="00D72E9D"/>
    <w:rsid w:val="00D74EDF"/>
    <w:rsid w:val="00D753F8"/>
    <w:rsid w:val="00D75C8E"/>
    <w:rsid w:val="00D75E92"/>
    <w:rsid w:val="00D763DE"/>
    <w:rsid w:val="00D76DCD"/>
    <w:rsid w:val="00D8200F"/>
    <w:rsid w:val="00D825F7"/>
    <w:rsid w:val="00D83D0A"/>
    <w:rsid w:val="00D83F17"/>
    <w:rsid w:val="00D83F7D"/>
    <w:rsid w:val="00D84031"/>
    <w:rsid w:val="00D844EB"/>
    <w:rsid w:val="00D849BC"/>
    <w:rsid w:val="00D85FE1"/>
    <w:rsid w:val="00D86A62"/>
    <w:rsid w:val="00D86B71"/>
    <w:rsid w:val="00D87221"/>
    <w:rsid w:val="00D91099"/>
    <w:rsid w:val="00D912F0"/>
    <w:rsid w:val="00D9131F"/>
    <w:rsid w:val="00D92754"/>
    <w:rsid w:val="00D92A97"/>
    <w:rsid w:val="00D932B6"/>
    <w:rsid w:val="00D93FCE"/>
    <w:rsid w:val="00D94EE1"/>
    <w:rsid w:val="00D96532"/>
    <w:rsid w:val="00D96C46"/>
    <w:rsid w:val="00D96D50"/>
    <w:rsid w:val="00D9711D"/>
    <w:rsid w:val="00DA0B94"/>
    <w:rsid w:val="00DA16E9"/>
    <w:rsid w:val="00DA181F"/>
    <w:rsid w:val="00DA1E0F"/>
    <w:rsid w:val="00DA2549"/>
    <w:rsid w:val="00DA2B18"/>
    <w:rsid w:val="00DA3729"/>
    <w:rsid w:val="00DA3B98"/>
    <w:rsid w:val="00DA3CE9"/>
    <w:rsid w:val="00DA5157"/>
    <w:rsid w:val="00DA70B6"/>
    <w:rsid w:val="00DA7535"/>
    <w:rsid w:val="00DA7F06"/>
    <w:rsid w:val="00DB060D"/>
    <w:rsid w:val="00DB0779"/>
    <w:rsid w:val="00DB081F"/>
    <w:rsid w:val="00DB0A4E"/>
    <w:rsid w:val="00DB10C9"/>
    <w:rsid w:val="00DB1BBB"/>
    <w:rsid w:val="00DB1C9F"/>
    <w:rsid w:val="00DB2413"/>
    <w:rsid w:val="00DB2E27"/>
    <w:rsid w:val="00DB5BF9"/>
    <w:rsid w:val="00DB6672"/>
    <w:rsid w:val="00DC1F2F"/>
    <w:rsid w:val="00DC22ED"/>
    <w:rsid w:val="00DC2A13"/>
    <w:rsid w:val="00DC3095"/>
    <w:rsid w:val="00DC3AF2"/>
    <w:rsid w:val="00DC3B72"/>
    <w:rsid w:val="00DC3F45"/>
    <w:rsid w:val="00DC4D57"/>
    <w:rsid w:val="00DC741B"/>
    <w:rsid w:val="00DD0572"/>
    <w:rsid w:val="00DD086B"/>
    <w:rsid w:val="00DD14F4"/>
    <w:rsid w:val="00DD178F"/>
    <w:rsid w:val="00DD1ADE"/>
    <w:rsid w:val="00DD1D5F"/>
    <w:rsid w:val="00DD237E"/>
    <w:rsid w:val="00DD23B7"/>
    <w:rsid w:val="00DD2C4A"/>
    <w:rsid w:val="00DD2FAF"/>
    <w:rsid w:val="00DD310B"/>
    <w:rsid w:val="00DD3424"/>
    <w:rsid w:val="00DD34E1"/>
    <w:rsid w:val="00DD438C"/>
    <w:rsid w:val="00DD4546"/>
    <w:rsid w:val="00DD4C72"/>
    <w:rsid w:val="00DD5E6D"/>
    <w:rsid w:val="00DE12A8"/>
    <w:rsid w:val="00DE151C"/>
    <w:rsid w:val="00DE3F84"/>
    <w:rsid w:val="00DE56F3"/>
    <w:rsid w:val="00DE5DAB"/>
    <w:rsid w:val="00DE6462"/>
    <w:rsid w:val="00DE705B"/>
    <w:rsid w:val="00DE71B4"/>
    <w:rsid w:val="00DE71F8"/>
    <w:rsid w:val="00DE731F"/>
    <w:rsid w:val="00DE7A6C"/>
    <w:rsid w:val="00DE7F1A"/>
    <w:rsid w:val="00DF069B"/>
    <w:rsid w:val="00DF1E5E"/>
    <w:rsid w:val="00DF516A"/>
    <w:rsid w:val="00DF53DE"/>
    <w:rsid w:val="00DF5A35"/>
    <w:rsid w:val="00DF5AB8"/>
    <w:rsid w:val="00DF5E23"/>
    <w:rsid w:val="00DF66FE"/>
    <w:rsid w:val="00DF7D15"/>
    <w:rsid w:val="00DF7D2A"/>
    <w:rsid w:val="00E005F3"/>
    <w:rsid w:val="00E019A4"/>
    <w:rsid w:val="00E03191"/>
    <w:rsid w:val="00E03455"/>
    <w:rsid w:val="00E04BD1"/>
    <w:rsid w:val="00E05EBD"/>
    <w:rsid w:val="00E067A4"/>
    <w:rsid w:val="00E06BB8"/>
    <w:rsid w:val="00E078DD"/>
    <w:rsid w:val="00E07EF9"/>
    <w:rsid w:val="00E1052A"/>
    <w:rsid w:val="00E12519"/>
    <w:rsid w:val="00E125D6"/>
    <w:rsid w:val="00E12A75"/>
    <w:rsid w:val="00E1301F"/>
    <w:rsid w:val="00E133E5"/>
    <w:rsid w:val="00E14329"/>
    <w:rsid w:val="00E145B2"/>
    <w:rsid w:val="00E15223"/>
    <w:rsid w:val="00E15D59"/>
    <w:rsid w:val="00E16403"/>
    <w:rsid w:val="00E1666C"/>
    <w:rsid w:val="00E178AB"/>
    <w:rsid w:val="00E17E6E"/>
    <w:rsid w:val="00E21C40"/>
    <w:rsid w:val="00E229AE"/>
    <w:rsid w:val="00E2459B"/>
    <w:rsid w:val="00E2522D"/>
    <w:rsid w:val="00E2524A"/>
    <w:rsid w:val="00E25CD4"/>
    <w:rsid w:val="00E26AC2"/>
    <w:rsid w:val="00E26BD6"/>
    <w:rsid w:val="00E26E20"/>
    <w:rsid w:val="00E31934"/>
    <w:rsid w:val="00E31DFA"/>
    <w:rsid w:val="00E323F5"/>
    <w:rsid w:val="00E32AED"/>
    <w:rsid w:val="00E32B86"/>
    <w:rsid w:val="00E3352B"/>
    <w:rsid w:val="00E335C1"/>
    <w:rsid w:val="00E343C2"/>
    <w:rsid w:val="00E35202"/>
    <w:rsid w:val="00E36ADD"/>
    <w:rsid w:val="00E36EB7"/>
    <w:rsid w:val="00E36F1D"/>
    <w:rsid w:val="00E3730A"/>
    <w:rsid w:val="00E37FFA"/>
    <w:rsid w:val="00E402E2"/>
    <w:rsid w:val="00E40922"/>
    <w:rsid w:val="00E40E73"/>
    <w:rsid w:val="00E40EBC"/>
    <w:rsid w:val="00E419BA"/>
    <w:rsid w:val="00E433AC"/>
    <w:rsid w:val="00E43433"/>
    <w:rsid w:val="00E43D14"/>
    <w:rsid w:val="00E43D45"/>
    <w:rsid w:val="00E44217"/>
    <w:rsid w:val="00E44701"/>
    <w:rsid w:val="00E44C15"/>
    <w:rsid w:val="00E4545F"/>
    <w:rsid w:val="00E45B84"/>
    <w:rsid w:val="00E45BB4"/>
    <w:rsid w:val="00E45E69"/>
    <w:rsid w:val="00E4609E"/>
    <w:rsid w:val="00E46380"/>
    <w:rsid w:val="00E466B3"/>
    <w:rsid w:val="00E467FE"/>
    <w:rsid w:val="00E475AF"/>
    <w:rsid w:val="00E5073E"/>
    <w:rsid w:val="00E51B57"/>
    <w:rsid w:val="00E527FD"/>
    <w:rsid w:val="00E52E49"/>
    <w:rsid w:val="00E536AC"/>
    <w:rsid w:val="00E5376A"/>
    <w:rsid w:val="00E5399F"/>
    <w:rsid w:val="00E56065"/>
    <w:rsid w:val="00E56D8E"/>
    <w:rsid w:val="00E6058E"/>
    <w:rsid w:val="00E605CF"/>
    <w:rsid w:val="00E606EB"/>
    <w:rsid w:val="00E61E0B"/>
    <w:rsid w:val="00E620DE"/>
    <w:rsid w:val="00E62A1B"/>
    <w:rsid w:val="00E62DA4"/>
    <w:rsid w:val="00E636EF"/>
    <w:rsid w:val="00E637B9"/>
    <w:rsid w:val="00E6452E"/>
    <w:rsid w:val="00E66BB8"/>
    <w:rsid w:val="00E67D1E"/>
    <w:rsid w:val="00E70C76"/>
    <w:rsid w:val="00E726B4"/>
    <w:rsid w:val="00E729C1"/>
    <w:rsid w:val="00E7339B"/>
    <w:rsid w:val="00E74B7A"/>
    <w:rsid w:val="00E77383"/>
    <w:rsid w:val="00E80158"/>
    <w:rsid w:val="00E80E75"/>
    <w:rsid w:val="00E812E8"/>
    <w:rsid w:val="00E82171"/>
    <w:rsid w:val="00E821AD"/>
    <w:rsid w:val="00E82D48"/>
    <w:rsid w:val="00E83A50"/>
    <w:rsid w:val="00E840E6"/>
    <w:rsid w:val="00E84C6A"/>
    <w:rsid w:val="00E85EF0"/>
    <w:rsid w:val="00E87A37"/>
    <w:rsid w:val="00E911BC"/>
    <w:rsid w:val="00E91712"/>
    <w:rsid w:val="00E91EC4"/>
    <w:rsid w:val="00E92F8F"/>
    <w:rsid w:val="00E93642"/>
    <w:rsid w:val="00E939CA"/>
    <w:rsid w:val="00E942DF"/>
    <w:rsid w:val="00E945C4"/>
    <w:rsid w:val="00E94A84"/>
    <w:rsid w:val="00E94B53"/>
    <w:rsid w:val="00E94CC8"/>
    <w:rsid w:val="00E95368"/>
    <w:rsid w:val="00E96F78"/>
    <w:rsid w:val="00E97FB8"/>
    <w:rsid w:val="00EA021D"/>
    <w:rsid w:val="00EA07E8"/>
    <w:rsid w:val="00EA0DDC"/>
    <w:rsid w:val="00EA1C75"/>
    <w:rsid w:val="00EA22EC"/>
    <w:rsid w:val="00EA445C"/>
    <w:rsid w:val="00EA4D48"/>
    <w:rsid w:val="00EA4F10"/>
    <w:rsid w:val="00EA5AD8"/>
    <w:rsid w:val="00EA5CD7"/>
    <w:rsid w:val="00EA5D55"/>
    <w:rsid w:val="00EA5EAB"/>
    <w:rsid w:val="00EA6086"/>
    <w:rsid w:val="00EA7137"/>
    <w:rsid w:val="00EB039B"/>
    <w:rsid w:val="00EB09D2"/>
    <w:rsid w:val="00EB0DFC"/>
    <w:rsid w:val="00EB1061"/>
    <w:rsid w:val="00EB431C"/>
    <w:rsid w:val="00EB4C5A"/>
    <w:rsid w:val="00EB54C4"/>
    <w:rsid w:val="00EB6609"/>
    <w:rsid w:val="00EB684E"/>
    <w:rsid w:val="00EB6BCB"/>
    <w:rsid w:val="00EB782A"/>
    <w:rsid w:val="00EC19E7"/>
    <w:rsid w:val="00EC1BB4"/>
    <w:rsid w:val="00EC1E16"/>
    <w:rsid w:val="00EC1F93"/>
    <w:rsid w:val="00EC2F8E"/>
    <w:rsid w:val="00EC3B6B"/>
    <w:rsid w:val="00EC4BCF"/>
    <w:rsid w:val="00EC517C"/>
    <w:rsid w:val="00EC55B3"/>
    <w:rsid w:val="00EC672F"/>
    <w:rsid w:val="00EC6DE5"/>
    <w:rsid w:val="00EC7244"/>
    <w:rsid w:val="00EC782D"/>
    <w:rsid w:val="00ED0566"/>
    <w:rsid w:val="00ED3599"/>
    <w:rsid w:val="00ED3EB1"/>
    <w:rsid w:val="00ED487D"/>
    <w:rsid w:val="00ED496D"/>
    <w:rsid w:val="00ED51C6"/>
    <w:rsid w:val="00ED58D9"/>
    <w:rsid w:val="00ED5F24"/>
    <w:rsid w:val="00ED6D10"/>
    <w:rsid w:val="00ED6E63"/>
    <w:rsid w:val="00ED7B48"/>
    <w:rsid w:val="00ED7C5A"/>
    <w:rsid w:val="00EE0604"/>
    <w:rsid w:val="00EE1A2D"/>
    <w:rsid w:val="00EE2450"/>
    <w:rsid w:val="00EE4B82"/>
    <w:rsid w:val="00EE4C02"/>
    <w:rsid w:val="00EE50CE"/>
    <w:rsid w:val="00EE59D8"/>
    <w:rsid w:val="00EE6481"/>
    <w:rsid w:val="00EE6814"/>
    <w:rsid w:val="00EE763A"/>
    <w:rsid w:val="00EE764A"/>
    <w:rsid w:val="00EF3078"/>
    <w:rsid w:val="00EF3502"/>
    <w:rsid w:val="00EF38B7"/>
    <w:rsid w:val="00EF39C2"/>
    <w:rsid w:val="00EF3F3C"/>
    <w:rsid w:val="00EF5277"/>
    <w:rsid w:val="00EF5B7D"/>
    <w:rsid w:val="00EF5C4A"/>
    <w:rsid w:val="00EF6D53"/>
    <w:rsid w:val="00F0059D"/>
    <w:rsid w:val="00F01BC3"/>
    <w:rsid w:val="00F01BE2"/>
    <w:rsid w:val="00F01C11"/>
    <w:rsid w:val="00F02282"/>
    <w:rsid w:val="00F0244D"/>
    <w:rsid w:val="00F031A4"/>
    <w:rsid w:val="00F038B0"/>
    <w:rsid w:val="00F041EB"/>
    <w:rsid w:val="00F0486D"/>
    <w:rsid w:val="00F04DC6"/>
    <w:rsid w:val="00F05B3E"/>
    <w:rsid w:val="00F06DA0"/>
    <w:rsid w:val="00F07607"/>
    <w:rsid w:val="00F07643"/>
    <w:rsid w:val="00F07CD4"/>
    <w:rsid w:val="00F1104A"/>
    <w:rsid w:val="00F11131"/>
    <w:rsid w:val="00F1128B"/>
    <w:rsid w:val="00F11A50"/>
    <w:rsid w:val="00F11E77"/>
    <w:rsid w:val="00F1241B"/>
    <w:rsid w:val="00F12710"/>
    <w:rsid w:val="00F1309B"/>
    <w:rsid w:val="00F13D95"/>
    <w:rsid w:val="00F14539"/>
    <w:rsid w:val="00F14912"/>
    <w:rsid w:val="00F14FAE"/>
    <w:rsid w:val="00F155AA"/>
    <w:rsid w:val="00F15820"/>
    <w:rsid w:val="00F158BE"/>
    <w:rsid w:val="00F16003"/>
    <w:rsid w:val="00F16863"/>
    <w:rsid w:val="00F16CC1"/>
    <w:rsid w:val="00F16DFE"/>
    <w:rsid w:val="00F2104D"/>
    <w:rsid w:val="00F2120C"/>
    <w:rsid w:val="00F23D0C"/>
    <w:rsid w:val="00F24E08"/>
    <w:rsid w:val="00F25667"/>
    <w:rsid w:val="00F26F35"/>
    <w:rsid w:val="00F2772A"/>
    <w:rsid w:val="00F279C7"/>
    <w:rsid w:val="00F31CEB"/>
    <w:rsid w:val="00F32415"/>
    <w:rsid w:val="00F3325F"/>
    <w:rsid w:val="00F35198"/>
    <w:rsid w:val="00F357BB"/>
    <w:rsid w:val="00F35B65"/>
    <w:rsid w:val="00F3605A"/>
    <w:rsid w:val="00F361C7"/>
    <w:rsid w:val="00F37076"/>
    <w:rsid w:val="00F40245"/>
    <w:rsid w:val="00F40802"/>
    <w:rsid w:val="00F41CFB"/>
    <w:rsid w:val="00F41FD6"/>
    <w:rsid w:val="00F427FE"/>
    <w:rsid w:val="00F434E3"/>
    <w:rsid w:val="00F45578"/>
    <w:rsid w:val="00F461F5"/>
    <w:rsid w:val="00F46560"/>
    <w:rsid w:val="00F46EA4"/>
    <w:rsid w:val="00F500C8"/>
    <w:rsid w:val="00F509DC"/>
    <w:rsid w:val="00F51183"/>
    <w:rsid w:val="00F526FD"/>
    <w:rsid w:val="00F535F9"/>
    <w:rsid w:val="00F53B41"/>
    <w:rsid w:val="00F544C2"/>
    <w:rsid w:val="00F545E1"/>
    <w:rsid w:val="00F54C0C"/>
    <w:rsid w:val="00F55F85"/>
    <w:rsid w:val="00F609C1"/>
    <w:rsid w:val="00F60BA8"/>
    <w:rsid w:val="00F60CBE"/>
    <w:rsid w:val="00F61635"/>
    <w:rsid w:val="00F61D71"/>
    <w:rsid w:val="00F6279E"/>
    <w:rsid w:val="00F63134"/>
    <w:rsid w:val="00F63BC0"/>
    <w:rsid w:val="00F6512C"/>
    <w:rsid w:val="00F667AD"/>
    <w:rsid w:val="00F66E25"/>
    <w:rsid w:val="00F66EFA"/>
    <w:rsid w:val="00F67305"/>
    <w:rsid w:val="00F70384"/>
    <w:rsid w:val="00F7096A"/>
    <w:rsid w:val="00F71872"/>
    <w:rsid w:val="00F71C0E"/>
    <w:rsid w:val="00F71E9B"/>
    <w:rsid w:val="00F72076"/>
    <w:rsid w:val="00F7372F"/>
    <w:rsid w:val="00F73A6B"/>
    <w:rsid w:val="00F74E98"/>
    <w:rsid w:val="00F75102"/>
    <w:rsid w:val="00F7547D"/>
    <w:rsid w:val="00F755A6"/>
    <w:rsid w:val="00F7565A"/>
    <w:rsid w:val="00F81BD4"/>
    <w:rsid w:val="00F828A1"/>
    <w:rsid w:val="00F8293C"/>
    <w:rsid w:val="00F837DC"/>
    <w:rsid w:val="00F8458F"/>
    <w:rsid w:val="00F84F5B"/>
    <w:rsid w:val="00F84F7F"/>
    <w:rsid w:val="00F90613"/>
    <w:rsid w:val="00F925D5"/>
    <w:rsid w:val="00F92901"/>
    <w:rsid w:val="00F931EC"/>
    <w:rsid w:val="00F94EC1"/>
    <w:rsid w:val="00F9706F"/>
    <w:rsid w:val="00F972F5"/>
    <w:rsid w:val="00FA0DFD"/>
    <w:rsid w:val="00FA1488"/>
    <w:rsid w:val="00FA2744"/>
    <w:rsid w:val="00FA2883"/>
    <w:rsid w:val="00FA2ADF"/>
    <w:rsid w:val="00FA3B38"/>
    <w:rsid w:val="00FA3C06"/>
    <w:rsid w:val="00FA3FAF"/>
    <w:rsid w:val="00FA4A79"/>
    <w:rsid w:val="00FA4DE8"/>
    <w:rsid w:val="00FA54D9"/>
    <w:rsid w:val="00FA60E1"/>
    <w:rsid w:val="00FA69F7"/>
    <w:rsid w:val="00FB0F8F"/>
    <w:rsid w:val="00FB1001"/>
    <w:rsid w:val="00FB164C"/>
    <w:rsid w:val="00FB1A5B"/>
    <w:rsid w:val="00FB1D8D"/>
    <w:rsid w:val="00FB23CA"/>
    <w:rsid w:val="00FB255E"/>
    <w:rsid w:val="00FB25B2"/>
    <w:rsid w:val="00FB28F1"/>
    <w:rsid w:val="00FB3208"/>
    <w:rsid w:val="00FB324A"/>
    <w:rsid w:val="00FB3AF3"/>
    <w:rsid w:val="00FB54FE"/>
    <w:rsid w:val="00FB69D8"/>
    <w:rsid w:val="00FB6C9D"/>
    <w:rsid w:val="00FB79AA"/>
    <w:rsid w:val="00FC0113"/>
    <w:rsid w:val="00FC0A29"/>
    <w:rsid w:val="00FC3C9F"/>
    <w:rsid w:val="00FC3E5E"/>
    <w:rsid w:val="00FC40CA"/>
    <w:rsid w:val="00FC5DDB"/>
    <w:rsid w:val="00FC617D"/>
    <w:rsid w:val="00FC639C"/>
    <w:rsid w:val="00FC761B"/>
    <w:rsid w:val="00FD124E"/>
    <w:rsid w:val="00FD12F9"/>
    <w:rsid w:val="00FD1A7D"/>
    <w:rsid w:val="00FD1AF3"/>
    <w:rsid w:val="00FD22DE"/>
    <w:rsid w:val="00FD24BC"/>
    <w:rsid w:val="00FD26E4"/>
    <w:rsid w:val="00FD348B"/>
    <w:rsid w:val="00FD3560"/>
    <w:rsid w:val="00FD43D8"/>
    <w:rsid w:val="00FD4688"/>
    <w:rsid w:val="00FD49AA"/>
    <w:rsid w:val="00FD4F66"/>
    <w:rsid w:val="00FD518D"/>
    <w:rsid w:val="00FD5B26"/>
    <w:rsid w:val="00FE036A"/>
    <w:rsid w:val="00FE2FDE"/>
    <w:rsid w:val="00FE355C"/>
    <w:rsid w:val="00FE36F7"/>
    <w:rsid w:val="00FE478F"/>
    <w:rsid w:val="00FE5481"/>
    <w:rsid w:val="00FE7DEA"/>
    <w:rsid w:val="00FF207F"/>
    <w:rsid w:val="00FF296F"/>
    <w:rsid w:val="00FF3E4E"/>
    <w:rsid w:val="00FF4DD1"/>
    <w:rsid w:val="00FF5ACD"/>
    <w:rsid w:val="00FF6428"/>
    <w:rsid w:val="00FF7B8A"/>
    <w:rsid w:val="00FF7C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84C6B"/>
  <w15:docId w15:val="{876C24AA-1085-418C-AA83-A997259C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46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F0A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23E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6E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566B8"/>
    <w:pPr>
      <w:ind w:left="720"/>
      <w:contextualSpacing/>
    </w:pPr>
  </w:style>
  <w:style w:type="paragraph" w:styleId="Caption">
    <w:name w:val="caption"/>
    <w:basedOn w:val="Normal"/>
    <w:next w:val="Normal"/>
    <w:autoRedefine/>
    <w:uiPriority w:val="35"/>
    <w:unhideWhenUsed/>
    <w:qFormat/>
    <w:rsid w:val="00E04BD1"/>
    <w:pPr>
      <w:widowControl w:val="0"/>
      <w:spacing w:after="0" w:line="240" w:lineRule="auto"/>
      <w:jc w:val="center"/>
    </w:pPr>
    <w:rPr>
      <w:rFonts w:ascii="Times New Roman" w:eastAsia="SimSun" w:hAnsi="Times New Roman" w:cs="Times New Roman"/>
      <w:noProof/>
      <w:kern w:val="2"/>
      <w:szCs w:val="24"/>
    </w:rPr>
  </w:style>
  <w:style w:type="paragraph" w:styleId="BalloonText">
    <w:name w:val="Balloon Text"/>
    <w:basedOn w:val="Normal"/>
    <w:link w:val="BalloonTextChar"/>
    <w:uiPriority w:val="99"/>
    <w:semiHidden/>
    <w:unhideWhenUsed/>
    <w:rsid w:val="001654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D7"/>
    <w:rPr>
      <w:rFonts w:ascii="Segoe UI" w:hAnsi="Segoe UI" w:cs="Segoe UI"/>
      <w:sz w:val="18"/>
      <w:szCs w:val="18"/>
    </w:rPr>
  </w:style>
  <w:style w:type="character" w:customStyle="1" w:styleId="Heading2Char">
    <w:name w:val="Heading 2 Char"/>
    <w:basedOn w:val="DefaultParagraphFont"/>
    <w:link w:val="Heading2"/>
    <w:uiPriority w:val="9"/>
    <w:rsid w:val="009F0A1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23E4E"/>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9D72A5"/>
    <w:rPr>
      <w:sz w:val="16"/>
      <w:szCs w:val="16"/>
    </w:rPr>
  </w:style>
  <w:style w:type="paragraph" w:styleId="CommentText">
    <w:name w:val="annotation text"/>
    <w:basedOn w:val="Normal"/>
    <w:link w:val="CommentTextChar"/>
    <w:uiPriority w:val="99"/>
    <w:unhideWhenUsed/>
    <w:rsid w:val="009D72A5"/>
    <w:pPr>
      <w:spacing w:line="240" w:lineRule="auto"/>
    </w:pPr>
    <w:rPr>
      <w:sz w:val="20"/>
      <w:szCs w:val="20"/>
    </w:rPr>
  </w:style>
  <w:style w:type="character" w:customStyle="1" w:styleId="CommentTextChar">
    <w:name w:val="Comment Text Char"/>
    <w:basedOn w:val="DefaultParagraphFont"/>
    <w:link w:val="CommentText"/>
    <w:uiPriority w:val="99"/>
    <w:rsid w:val="009D72A5"/>
    <w:rPr>
      <w:sz w:val="20"/>
      <w:szCs w:val="20"/>
    </w:rPr>
  </w:style>
  <w:style w:type="paragraph" w:styleId="CommentSubject">
    <w:name w:val="annotation subject"/>
    <w:basedOn w:val="CommentText"/>
    <w:next w:val="CommentText"/>
    <w:link w:val="CommentSubjectChar"/>
    <w:uiPriority w:val="99"/>
    <w:semiHidden/>
    <w:unhideWhenUsed/>
    <w:rsid w:val="009D72A5"/>
    <w:rPr>
      <w:b/>
      <w:bCs/>
    </w:rPr>
  </w:style>
  <w:style w:type="character" w:customStyle="1" w:styleId="CommentSubjectChar">
    <w:name w:val="Comment Subject Char"/>
    <w:basedOn w:val="CommentTextChar"/>
    <w:link w:val="CommentSubject"/>
    <w:uiPriority w:val="99"/>
    <w:semiHidden/>
    <w:rsid w:val="009D72A5"/>
    <w:rPr>
      <w:b/>
      <w:bCs/>
      <w:sz w:val="20"/>
      <w:szCs w:val="20"/>
    </w:rPr>
  </w:style>
  <w:style w:type="paragraph" w:styleId="NormalWeb">
    <w:name w:val="Normal (Web)"/>
    <w:basedOn w:val="Normal"/>
    <w:uiPriority w:val="99"/>
    <w:unhideWhenUsed/>
    <w:rsid w:val="002254B9"/>
    <w:pPr>
      <w:spacing w:before="100" w:beforeAutospacing="1" w:after="100" w:afterAutospacing="1" w:line="240" w:lineRule="auto"/>
    </w:pPr>
    <w:rPr>
      <w:rFonts w:ascii="Times New Roman" w:eastAsia="DengXian" w:hAnsi="Times New Roman" w:cs="Times New Roman"/>
      <w:sz w:val="24"/>
      <w:szCs w:val="24"/>
    </w:rPr>
  </w:style>
  <w:style w:type="table" w:styleId="TableGrid">
    <w:name w:val="Table Grid"/>
    <w:basedOn w:val="TableNormal"/>
    <w:uiPriority w:val="39"/>
    <w:rsid w:val="008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72C0"/>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BE72C0"/>
    <w:rPr>
      <w:sz w:val="18"/>
      <w:szCs w:val="18"/>
    </w:rPr>
  </w:style>
  <w:style w:type="paragraph" w:styleId="Footer">
    <w:name w:val="footer"/>
    <w:basedOn w:val="Normal"/>
    <w:link w:val="FooterChar"/>
    <w:uiPriority w:val="99"/>
    <w:unhideWhenUsed/>
    <w:rsid w:val="00BE72C0"/>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BE72C0"/>
    <w:rPr>
      <w:sz w:val="18"/>
      <w:szCs w:val="18"/>
    </w:rPr>
  </w:style>
  <w:style w:type="character" w:styleId="Hyperlink">
    <w:name w:val="Hyperlink"/>
    <w:basedOn w:val="DefaultParagraphFont"/>
    <w:uiPriority w:val="99"/>
    <w:unhideWhenUsed/>
    <w:rsid w:val="00CD37A0"/>
    <w:rPr>
      <w:color w:val="0000FF"/>
      <w:u w:val="single"/>
    </w:rPr>
  </w:style>
  <w:style w:type="character" w:styleId="PlaceholderText">
    <w:name w:val="Placeholder Text"/>
    <w:basedOn w:val="DefaultParagraphFont"/>
    <w:uiPriority w:val="99"/>
    <w:semiHidden/>
    <w:rsid w:val="00C17A25"/>
    <w:rPr>
      <w:color w:val="808080"/>
    </w:rPr>
  </w:style>
  <w:style w:type="character" w:customStyle="1" w:styleId="personname">
    <w:name w:val="person_name"/>
    <w:basedOn w:val="DefaultParagraphFont"/>
    <w:rsid w:val="00AB5A59"/>
  </w:style>
  <w:style w:type="character" w:styleId="LineNumber">
    <w:name w:val="line number"/>
    <w:basedOn w:val="DefaultParagraphFont"/>
    <w:uiPriority w:val="99"/>
    <w:semiHidden/>
    <w:unhideWhenUsed/>
    <w:rsid w:val="00DD23B7"/>
  </w:style>
  <w:style w:type="paragraph" w:styleId="Revision">
    <w:name w:val="Revision"/>
    <w:hidden/>
    <w:uiPriority w:val="99"/>
    <w:semiHidden/>
    <w:rsid w:val="008012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159053">
      <w:bodyDiv w:val="1"/>
      <w:marLeft w:val="0"/>
      <w:marRight w:val="0"/>
      <w:marTop w:val="0"/>
      <w:marBottom w:val="0"/>
      <w:divBdr>
        <w:top w:val="none" w:sz="0" w:space="0" w:color="auto"/>
        <w:left w:val="none" w:sz="0" w:space="0" w:color="auto"/>
        <w:bottom w:val="none" w:sz="0" w:space="0" w:color="auto"/>
        <w:right w:val="none" w:sz="0" w:space="0" w:color="auto"/>
      </w:divBdr>
    </w:div>
    <w:div w:id="592857743">
      <w:bodyDiv w:val="1"/>
      <w:marLeft w:val="0"/>
      <w:marRight w:val="0"/>
      <w:marTop w:val="0"/>
      <w:marBottom w:val="0"/>
      <w:divBdr>
        <w:top w:val="none" w:sz="0" w:space="0" w:color="auto"/>
        <w:left w:val="none" w:sz="0" w:space="0" w:color="auto"/>
        <w:bottom w:val="none" w:sz="0" w:space="0" w:color="auto"/>
        <w:right w:val="none" w:sz="0" w:space="0" w:color="auto"/>
      </w:divBdr>
    </w:div>
    <w:div w:id="941644179">
      <w:bodyDiv w:val="1"/>
      <w:marLeft w:val="0"/>
      <w:marRight w:val="0"/>
      <w:marTop w:val="0"/>
      <w:marBottom w:val="0"/>
      <w:divBdr>
        <w:top w:val="none" w:sz="0" w:space="0" w:color="auto"/>
        <w:left w:val="none" w:sz="0" w:space="0" w:color="auto"/>
        <w:bottom w:val="none" w:sz="0" w:space="0" w:color="auto"/>
        <w:right w:val="none" w:sz="0" w:space="0" w:color="auto"/>
      </w:divBdr>
    </w:div>
    <w:div w:id="1162116395">
      <w:bodyDiv w:val="1"/>
      <w:marLeft w:val="0"/>
      <w:marRight w:val="0"/>
      <w:marTop w:val="0"/>
      <w:marBottom w:val="0"/>
      <w:divBdr>
        <w:top w:val="none" w:sz="0" w:space="0" w:color="auto"/>
        <w:left w:val="none" w:sz="0" w:space="0" w:color="auto"/>
        <w:bottom w:val="none" w:sz="0" w:space="0" w:color="auto"/>
        <w:right w:val="none" w:sz="0" w:space="0" w:color="auto"/>
      </w:divBdr>
    </w:div>
    <w:div w:id="1175922651">
      <w:bodyDiv w:val="1"/>
      <w:marLeft w:val="0"/>
      <w:marRight w:val="0"/>
      <w:marTop w:val="0"/>
      <w:marBottom w:val="0"/>
      <w:divBdr>
        <w:top w:val="none" w:sz="0" w:space="0" w:color="auto"/>
        <w:left w:val="none" w:sz="0" w:space="0" w:color="auto"/>
        <w:bottom w:val="none" w:sz="0" w:space="0" w:color="auto"/>
        <w:right w:val="none" w:sz="0" w:space="0" w:color="auto"/>
      </w:divBdr>
    </w:div>
    <w:div w:id="1242570034">
      <w:bodyDiv w:val="1"/>
      <w:marLeft w:val="0"/>
      <w:marRight w:val="0"/>
      <w:marTop w:val="0"/>
      <w:marBottom w:val="0"/>
      <w:divBdr>
        <w:top w:val="none" w:sz="0" w:space="0" w:color="auto"/>
        <w:left w:val="none" w:sz="0" w:space="0" w:color="auto"/>
        <w:bottom w:val="none" w:sz="0" w:space="0" w:color="auto"/>
        <w:right w:val="none" w:sz="0" w:space="0" w:color="auto"/>
      </w:divBdr>
    </w:div>
    <w:div w:id="1246763983">
      <w:bodyDiv w:val="1"/>
      <w:marLeft w:val="0"/>
      <w:marRight w:val="0"/>
      <w:marTop w:val="0"/>
      <w:marBottom w:val="0"/>
      <w:divBdr>
        <w:top w:val="none" w:sz="0" w:space="0" w:color="auto"/>
        <w:left w:val="none" w:sz="0" w:space="0" w:color="auto"/>
        <w:bottom w:val="none" w:sz="0" w:space="0" w:color="auto"/>
        <w:right w:val="none" w:sz="0" w:space="0" w:color="auto"/>
      </w:divBdr>
    </w:div>
    <w:div w:id="1315376043">
      <w:bodyDiv w:val="1"/>
      <w:marLeft w:val="0"/>
      <w:marRight w:val="0"/>
      <w:marTop w:val="0"/>
      <w:marBottom w:val="0"/>
      <w:divBdr>
        <w:top w:val="none" w:sz="0" w:space="0" w:color="auto"/>
        <w:left w:val="none" w:sz="0" w:space="0" w:color="auto"/>
        <w:bottom w:val="none" w:sz="0" w:space="0" w:color="auto"/>
        <w:right w:val="none" w:sz="0" w:space="0" w:color="auto"/>
      </w:divBdr>
    </w:div>
    <w:div w:id="1325932867">
      <w:bodyDiv w:val="1"/>
      <w:marLeft w:val="0"/>
      <w:marRight w:val="0"/>
      <w:marTop w:val="0"/>
      <w:marBottom w:val="0"/>
      <w:divBdr>
        <w:top w:val="none" w:sz="0" w:space="0" w:color="auto"/>
        <w:left w:val="none" w:sz="0" w:space="0" w:color="auto"/>
        <w:bottom w:val="none" w:sz="0" w:space="0" w:color="auto"/>
        <w:right w:val="none" w:sz="0" w:space="0" w:color="auto"/>
      </w:divBdr>
    </w:div>
    <w:div w:id="1492016968">
      <w:bodyDiv w:val="1"/>
      <w:marLeft w:val="0"/>
      <w:marRight w:val="0"/>
      <w:marTop w:val="0"/>
      <w:marBottom w:val="0"/>
      <w:divBdr>
        <w:top w:val="none" w:sz="0" w:space="0" w:color="auto"/>
        <w:left w:val="none" w:sz="0" w:space="0" w:color="auto"/>
        <w:bottom w:val="none" w:sz="0" w:space="0" w:color="auto"/>
        <w:right w:val="none" w:sz="0" w:space="0" w:color="auto"/>
      </w:divBdr>
    </w:div>
    <w:div w:id="1780105635">
      <w:bodyDiv w:val="1"/>
      <w:marLeft w:val="0"/>
      <w:marRight w:val="0"/>
      <w:marTop w:val="0"/>
      <w:marBottom w:val="0"/>
      <w:divBdr>
        <w:top w:val="none" w:sz="0" w:space="0" w:color="auto"/>
        <w:left w:val="none" w:sz="0" w:space="0" w:color="auto"/>
        <w:bottom w:val="none" w:sz="0" w:space="0" w:color="auto"/>
        <w:right w:val="none" w:sz="0" w:space="0" w:color="auto"/>
      </w:divBdr>
    </w:div>
    <w:div w:id="1811971298">
      <w:bodyDiv w:val="1"/>
      <w:marLeft w:val="0"/>
      <w:marRight w:val="0"/>
      <w:marTop w:val="0"/>
      <w:marBottom w:val="0"/>
      <w:divBdr>
        <w:top w:val="none" w:sz="0" w:space="0" w:color="auto"/>
        <w:left w:val="none" w:sz="0" w:space="0" w:color="auto"/>
        <w:bottom w:val="none" w:sz="0" w:space="0" w:color="auto"/>
        <w:right w:val="none" w:sz="0" w:space="0" w:color="auto"/>
      </w:divBdr>
      <w:divsChild>
        <w:div w:id="195317747">
          <w:marLeft w:val="0"/>
          <w:marRight w:val="0"/>
          <w:marTop w:val="0"/>
          <w:marBottom w:val="0"/>
          <w:divBdr>
            <w:top w:val="none" w:sz="0" w:space="0" w:color="auto"/>
            <w:left w:val="none" w:sz="0" w:space="0" w:color="auto"/>
            <w:bottom w:val="none" w:sz="0" w:space="0" w:color="auto"/>
            <w:right w:val="none" w:sz="0" w:space="0" w:color="auto"/>
          </w:divBdr>
        </w:div>
        <w:div w:id="265044861">
          <w:marLeft w:val="0"/>
          <w:marRight w:val="0"/>
          <w:marTop w:val="0"/>
          <w:marBottom w:val="0"/>
          <w:divBdr>
            <w:top w:val="none" w:sz="0" w:space="0" w:color="auto"/>
            <w:left w:val="none" w:sz="0" w:space="0" w:color="auto"/>
            <w:bottom w:val="none" w:sz="0" w:space="0" w:color="auto"/>
            <w:right w:val="none" w:sz="0" w:space="0" w:color="auto"/>
          </w:divBdr>
        </w:div>
        <w:div w:id="573710832">
          <w:marLeft w:val="0"/>
          <w:marRight w:val="0"/>
          <w:marTop w:val="0"/>
          <w:marBottom w:val="0"/>
          <w:divBdr>
            <w:top w:val="none" w:sz="0" w:space="0" w:color="auto"/>
            <w:left w:val="none" w:sz="0" w:space="0" w:color="auto"/>
            <w:bottom w:val="none" w:sz="0" w:space="0" w:color="auto"/>
            <w:right w:val="none" w:sz="0" w:space="0" w:color="auto"/>
          </w:divBdr>
        </w:div>
        <w:div w:id="641278902">
          <w:marLeft w:val="0"/>
          <w:marRight w:val="0"/>
          <w:marTop w:val="0"/>
          <w:marBottom w:val="0"/>
          <w:divBdr>
            <w:top w:val="none" w:sz="0" w:space="0" w:color="auto"/>
            <w:left w:val="none" w:sz="0" w:space="0" w:color="auto"/>
            <w:bottom w:val="none" w:sz="0" w:space="0" w:color="auto"/>
            <w:right w:val="none" w:sz="0" w:space="0" w:color="auto"/>
          </w:divBdr>
        </w:div>
        <w:div w:id="744913429">
          <w:marLeft w:val="0"/>
          <w:marRight w:val="0"/>
          <w:marTop w:val="0"/>
          <w:marBottom w:val="0"/>
          <w:divBdr>
            <w:top w:val="none" w:sz="0" w:space="0" w:color="auto"/>
            <w:left w:val="none" w:sz="0" w:space="0" w:color="auto"/>
            <w:bottom w:val="none" w:sz="0" w:space="0" w:color="auto"/>
            <w:right w:val="none" w:sz="0" w:space="0" w:color="auto"/>
          </w:divBdr>
        </w:div>
        <w:div w:id="878904346">
          <w:marLeft w:val="0"/>
          <w:marRight w:val="0"/>
          <w:marTop w:val="0"/>
          <w:marBottom w:val="0"/>
          <w:divBdr>
            <w:top w:val="none" w:sz="0" w:space="0" w:color="auto"/>
            <w:left w:val="none" w:sz="0" w:space="0" w:color="auto"/>
            <w:bottom w:val="none" w:sz="0" w:space="0" w:color="auto"/>
            <w:right w:val="none" w:sz="0" w:space="0" w:color="auto"/>
          </w:divBdr>
        </w:div>
        <w:div w:id="999969427">
          <w:marLeft w:val="0"/>
          <w:marRight w:val="0"/>
          <w:marTop w:val="0"/>
          <w:marBottom w:val="0"/>
          <w:divBdr>
            <w:top w:val="none" w:sz="0" w:space="0" w:color="auto"/>
            <w:left w:val="none" w:sz="0" w:space="0" w:color="auto"/>
            <w:bottom w:val="none" w:sz="0" w:space="0" w:color="auto"/>
            <w:right w:val="none" w:sz="0" w:space="0" w:color="auto"/>
          </w:divBdr>
        </w:div>
        <w:div w:id="1054423285">
          <w:marLeft w:val="0"/>
          <w:marRight w:val="0"/>
          <w:marTop w:val="0"/>
          <w:marBottom w:val="0"/>
          <w:divBdr>
            <w:top w:val="none" w:sz="0" w:space="0" w:color="auto"/>
            <w:left w:val="none" w:sz="0" w:space="0" w:color="auto"/>
            <w:bottom w:val="none" w:sz="0" w:space="0" w:color="auto"/>
            <w:right w:val="none" w:sz="0" w:space="0" w:color="auto"/>
          </w:divBdr>
        </w:div>
        <w:div w:id="1115830756">
          <w:marLeft w:val="0"/>
          <w:marRight w:val="0"/>
          <w:marTop w:val="0"/>
          <w:marBottom w:val="0"/>
          <w:divBdr>
            <w:top w:val="none" w:sz="0" w:space="0" w:color="auto"/>
            <w:left w:val="none" w:sz="0" w:space="0" w:color="auto"/>
            <w:bottom w:val="none" w:sz="0" w:space="0" w:color="auto"/>
            <w:right w:val="none" w:sz="0" w:space="0" w:color="auto"/>
          </w:divBdr>
        </w:div>
        <w:div w:id="1486126974">
          <w:marLeft w:val="0"/>
          <w:marRight w:val="0"/>
          <w:marTop w:val="0"/>
          <w:marBottom w:val="0"/>
          <w:divBdr>
            <w:top w:val="none" w:sz="0" w:space="0" w:color="auto"/>
            <w:left w:val="none" w:sz="0" w:space="0" w:color="auto"/>
            <w:bottom w:val="none" w:sz="0" w:space="0" w:color="auto"/>
            <w:right w:val="none" w:sz="0" w:space="0" w:color="auto"/>
          </w:divBdr>
        </w:div>
        <w:div w:id="1636830134">
          <w:marLeft w:val="0"/>
          <w:marRight w:val="0"/>
          <w:marTop w:val="0"/>
          <w:marBottom w:val="0"/>
          <w:divBdr>
            <w:top w:val="none" w:sz="0" w:space="0" w:color="auto"/>
            <w:left w:val="none" w:sz="0" w:space="0" w:color="auto"/>
            <w:bottom w:val="none" w:sz="0" w:space="0" w:color="auto"/>
            <w:right w:val="none" w:sz="0" w:space="0" w:color="auto"/>
          </w:divBdr>
        </w:div>
        <w:div w:id="2124612754">
          <w:marLeft w:val="0"/>
          <w:marRight w:val="0"/>
          <w:marTop w:val="0"/>
          <w:marBottom w:val="0"/>
          <w:divBdr>
            <w:top w:val="none" w:sz="0" w:space="0" w:color="auto"/>
            <w:left w:val="none" w:sz="0" w:space="0" w:color="auto"/>
            <w:bottom w:val="none" w:sz="0" w:space="0" w:color="auto"/>
            <w:right w:val="none" w:sz="0" w:space="0" w:color="auto"/>
          </w:divBdr>
        </w:div>
      </w:divsChild>
    </w:div>
    <w:div w:id="1865169276">
      <w:bodyDiv w:val="1"/>
      <w:marLeft w:val="0"/>
      <w:marRight w:val="0"/>
      <w:marTop w:val="0"/>
      <w:marBottom w:val="0"/>
      <w:divBdr>
        <w:top w:val="none" w:sz="0" w:space="0" w:color="auto"/>
        <w:left w:val="none" w:sz="0" w:space="0" w:color="auto"/>
        <w:bottom w:val="none" w:sz="0" w:space="0" w:color="auto"/>
        <w:right w:val="none" w:sz="0" w:space="0" w:color="auto"/>
      </w:divBdr>
    </w:div>
    <w:div w:id="1872841863">
      <w:bodyDiv w:val="1"/>
      <w:marLeft w:val="0"/>
      <w:marRight w:val="0"/>
      <w:marTop w:val="0"/>
      <w:marBottom w:val="0"/>
      <w:divBdr>
        <w:top w:val="none" w:sz="0" w:space="0" w:color="auto"/>
        <w:left w:val="none" w:sz="0" w:space="0" w:color="auto"/>
        <w:bottom w:val="none" w:sz="0" w:space="0" w:color="auto"/>
        <w:right w:val="none" w:sz="0" w:space="0" w:color="auto"/>
      </w:divBdr>
    </w:div>
    <w:div w:id="2049141483">
      <w:bodyDiv w:val="1"/>
      <w:marLeft w:val="0"/>
      <w:marRight w:val="0"/>
      <w:marTop w:val="0"/>
      <w:marBottom w:val="0"/>
      <w:divBdr>
        <w:top w:val="none" w:sz="0" w:space="0" w:color="auto"/>
        <w:left w:val="none" w:sz="0" w:space="0" w:color="auto"/>
        <w:bottom w:val="none" w:sz="0" w:space="0" w:color="auto"/>
        <w:right w:val="none" w:sz="0" w:space="0" w:color="auto"/>
      </w:divBdr>
    </w:div>
    <w:div w:id="2051487935">
      <w:bodyDiv w:val="1"/>
      <w:marLeft w:val="0"/>
      <w:marRight w:val="0"/>
      <w:marTop w:val="0"/>
      <w:marBottom w:val="0"/>
      <w:divBdr>
        <w:top w:val="none" w:sz="0" w:space="0" w:color="auto"/>
        <w:left w:val="none" w:sz="0" w:space="0" w:color="auto"/>
        <w:bottom w:val="none" w:sz="0" w:space="0" w:color="auto"/>
        <w:right w:val="none" w:sz="0" w:space="0" w:color="auto"/>
      </w:divBdr>
    </w:div>
    <w:div w:id="2058581171">
      <w:bodyDiv w:val="1"/>
      <w:marLeft w:val="0"/>
      <w:marRight w:val="0"/>
      <w:marTop w:val="0"/>
      <w:marBottom w:val="0"/>
      <w:divBdr>
        <w:top w:val="none" w:sz="0" w:space="0" w:color="auto"/>
        <w:left w:val="none" w:sz="0" w:space="0" w:color="auto"/>
        <w:bottom w:val="none" w:sz="0" w:space="0" w:color="auto"/>
        <w:right w:val="none" w:sz="0" w:space="0" w:color="auto"/>
      </w:divBdr>
      <w:divsChild>
        <w:div w:id="377360778">
          <w:marLeft w:val="360"/>
          <w:marRight w:val="0"/>
          <w:marTop w:val="200"/>
          <w:marBottom w:val="0"/>
          <w:divBdr>
            <w:top w:val="none" w:sz="0" w:space="0" w:color="auto"/>
            <w:left w:val="none" w:sz="0" w:space="0" w:color="auto"/>
            <w:bottom w:val="none" w:sz="0" w:space="0" w:color="auto"/>
            <w:right w:val="none" w:sz="0" w:space="0" w:color="auto"/>
          </w:divBdr>
        </w:div>
      </w:divsChild>
    </w:div>
    <w:div w:id="2069179469">
      <w:bodyDiv w:val="1"/>
      <w:marLeft w:val="0"/>
      <w:marRight w:val="0"/>
      <w:marTop w:val="0"/>
      <w:marBottom w:val="0"/>
      <w:divBdr>
        <w:top w:val="none" w:sz="0" w:space="0" w:color="auto"/>
        <w:left w:val="none" w:sz="0" w:space="0" w:color="auto"/>
        <w:bottom w:val="none" w:sz="0" w:space="0" w:color="auto"/>
        <w:right w:val="none" w:sz="0" w:space="0" w:color="auto"/>
      </w:divBdr>
    </w:div>
    <w:div w:id="207049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DD5A060E036A4989A1E6D939A79A7B" ma:contentTypeVersion="13" ma:contentTypeDescription="Create a new document." ma:contentTypeScope="" ma:versionID="1358b245679a2baf63f176fb78bbe143">
  <xsd:schema xmlns:xsd="http://www.w3.org/2001/XMLSchema" xmlns:xs="http://www.w3.org/2001/XMLSchema" xmlns:p="http://schemas.microsoft.com/office/2006/metadata/properties" xmlns:ns3="6908b7e5-7bcf-4843-bb60-13af99d42a7c" xmlns:ns4="3037693d-dceb-472c-9b07-eafed28b0aa2" targetNamespace="http://schemas.microsoft.com/office/2006/metadata/properties" ma:root="true" ma:fieldsID="b6915edee5f2fa92d1ddaaf98c5556ef" ns3:_="" ns4:_="">
    <xsd:import namespace="6908b7e5-7bcf-4843-bb60-13af99d42a7c"/>
    <xsd:import namespace="3037693d-dceb-472c-9b07-eafed28b0aa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8b7e5-7bcf-4843-bb60-13af99d42a7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37693d-dceb-472c-9b07-eafed28b0aa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41D13-C950-44B7-A2E7-4667EF7E6BC8}">
  <ds:schemaRefs>
    <ds:schemaRef ds:uri="http://schemas.microsoft.com/sharepoint/v3/contenttype/forms"/>
  </ds:schemaRefs>
</ds:datastoreItem>
</file>

<file path=customXml/itemProps2.xml><?xml version="1.0" encoding="utf-8"?>
<ds:datastoreItem xmlns:ds="http://schemas.openxmlformats.org/officeDocument/2006/customXml" ds:itemID="{4808C9F8-B1B0-49C4-98B7-C73DCFDDCD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57E4A7-A3B8-4D66-9AB9-559BDA458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08b7e5-7bcf-4843-bb60-13af99d42a7c"/>
    <ds:schemaRef ds:uri="3037693d-dceb-472c-9b07-eafed28b0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D44531-9307-4F2F-8984-D80D9CF28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27295</Words>
  <Characters>155587</Characters>
  <Application>Microsoft Office Word</Application>
  <DocSecurity>0</DocSecurity>
  <Lines>1296</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Xintao [LSGI]</dc:creator>
  <cp:keywords/>
  <dc:description/>
  <cp:lastModifiedBy>Siacor, Renante</cp:lastModifiedBy>
  <cp:revision>2</cp:revision>
  <dcterms:created xsi:type="dcterms:W3CDTF">2023-05-10T21:48:00Z</dcterms:created>
  <dcterms:modified xsi:type="dcterms:W3CDTF">2023-05-10T21:48:00Z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0x01010018DD5A060E036A4989A1E6D939A79A7B</vt:lpwstr>
  </property>
  <property fmtid="{D5CDD505-2E9C-101B-9397-08002B2CF9AE}" pid="3" name="Mendeley Recent Style Id 0_1">
    <vt:lpwstr>http://www.zotero.org/styles/academy-of-management-journal</vt:lpwstr>
  </property>
  <property fmtid="{D5CDD505-2E9C-101B-9397-08002B2CF9AE}" pid="4" name="Mendeley Recent Style Name 0_1">
    <vt:lpwstr>Academy of Management Journal</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http://www.zotero.org/styles/harvard-cite-them-right</vt:lpwstr>
  </property>
  <property fmtid="{D5CDD505-2E9C-101B-9397-08002B2CF9AE}" pid="8" name="Mendeley Recent Style Name 2_1">
    <vt:lpwstr>Cite Them Right 10th edition - Harvard</vt:lpwstr>
  </property>
  <property fmtid="{D5CDD505-2E9C-101B-9397-08002B2CF9AE}" pid="9" name="Mendeley Recent Style Id 3_1">
    <vt:lpwstr>http://www.zotero.org/styles/harvard1</vt:lpwstr>
  </property>
  <property fmtid="{D5CDD505-2E9C-101B-9397-08002B2CF9AE}" pid="10" name="Mendeley Recent Style Name 3_1">
    <vt:lpwstr>Harvard reference format 1 (deprecated)</vt:lpwstr>
  </property>
  <property fmtid="{D5CDD505-2E9C-101B-9397-08002B2CF9AE}" pid="11" name="Mendeley Recent Style Id 4_1">
    <vt:lpwstr>http://www.zotero.org/styles/isprs-international-journal-of-geo-information</vt:lpwstr>
  </property>
  <property fmtid="{D5CDD505-2E9C-101B-9397-08002B2CF9AE}" pid="12" name="Mendeley Recent Style Name 4_1">
    <vt:lpwstr>ISPRS International Journal of Geo-Information</vt:lpwstr>
  </property>
  <property fmtid="{D5CDD505-2E9C-101B-9397-08002B2CF9AE}" pid="13" name="Mendeley Recent Style Id 5_1">
    <vt:lpwstr>http://www.zotero.org/styles/physica-a-statistical-mechanics-and-its-applications</vt:lpwstr>
  </property>
  <property fmtid="{D5CDD505-2E9C-101B-9397-08002B2CF9AE}" pid="14" name="Mendeley Recent Style Name 5_1">
    <vt:lpwstr>Physica A: Statistical Mechanics and its Applications</vt:lpwstr>
  </property>
  <property fmtid="{D5CDD505-2E9C-101B-9397-08002B2CF9AE}" pid="15" name="Mendeley Recent Style Id 6_1">
    <vt:lpwstr>http://www.zotero.org/styles/sage-harvard</vt:lpwstr>
  </property>
  <property fmtid="{D5CDD505-2E9C-101B-9397-08002B2CF9AE}" pid="16" name="Mendeley Recent Style Name 6_1">
    <vt:lpwstr>SAGE - Harvard</vt:lpwstr>
  </property>
  <property fmtid="{D5CDD505-2E9C-101B-9397-08002B2CF9AE}" pid="17" name="Mendeley Recent Style Id 7_1">
    <vt:lpwstr>http://www.zotero.org/styles/science-bulletin</vt:lpwstr>
  </property>
  <property fmtid="{D5CDD505-2E9C-101B-9397-08002B2CF9AE}" pid="18" name="Mendeley Recent Style Name 7_1">
    <vt:lpwstr>Science Bulletin</vt:lpwstr>
  </property>
  <property fmtid="{D5CDD505-2E9C-101B-9397-08002B2CF9AE}" pid="19" name="Mendeley Recent Style Id 8_1">
    <vt:lpwstr>http://www.zotero.org/styles/sustainability</vt:lpwstr>
  </property>
  <property fmtid="{D5CDD505-2E9C-101B-9397-08002B2CF9AE}" pid="20" name="Mendeley Recent Style Name 8_1">
    <vt:lpwstr>Sustainability</vt:lpwstr>
  </property>
  <property fmtid="{D5CDD505-2E9C-101B-9397-08002B2CF9AE}" pid="21" name="Mendeley Recent Style Id 9_1">
    <vt:lpwstr>http://www.zotero.org/styles/taylor-and-francis-apa</vt:lpwstr>
  </property>
  <property fmtid="{D5CDD505-2E9C-101B-9397-08002B2CF9AE}" pid="22" name="Mendeley Recent Style Name 9_1">
    <vt:lpwstr>Taylor &amp; Francis - APA</vt:lpwstr>
  </property>
  <property fmtid="{D5CDD505-2E9C-101B-9397-08002B2CF9AE}" pid="23" name="Mendeley Document_1">
    <vt:lpwstr>True</vt:lpwstr>
  </property>
  <property fmtid="{D5CDD505-2E9C-101B-9397-08002B2CF9AE}" pid="24" name="Mendeley Unique User Id_1">
    <vt:lpwstr>fc6f7791-faf8-38b7-bc2d-4b4b9c99bb0b</vt:lpwstr>
  </property>
  <property fmtid="{D5CDD505-2E9C-101B-9397-08002B2CF9AE}" pid="25" name="Mendeley Citation Style_1">
    <vt:lpwstr>http://www.zotero.org/styles/sage-harvard</vt:lpwstr>
  </property>
</Properties>
</file>