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298E1" w14:textId="77777777" w:rsidR="00A025C3" w:rsidRDefault="00A025C3" w:rsidP="00A025C3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Supplementary Results </w:t>
      </w:r>
    </w:p>
    <w:p w14:paraId="636FC72E" w14:textId="77777777" w:rsidR="00A025C3" w:rsidRPr="009255EC" w:rsidRDefault="00A025C3" w:rsidP="00A025C3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Supplementary </w:t>
      </w:r>
      <w:proofErr w:type="spellStart"/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>Tabe</w:t>
      </w:r>
      <w:proofErr w:type="spellEnd"/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S1: </w:t>
      </w:r>
      <w:r w:rsidRPr="009255EC">
        <w:rPr>
          <w:rFonts w:ascii="Garamond" w:eastAsia="Times New Roman" w:hAnsi="Garamond" w:cs="Times New Roman"/>
          <w:kern w:val="0"/>
          <w14:ligatures w14:val="none"/>
        </w:rPr>
        <w:t>EFA</w:t>
      </w:r>
      <w:r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Pr="009255EC">
        <w:rPr>
          <w:rFonts w:ascii="Garamond" w:eastAsia="Times New Roman" w:hAnsi="Garamond" w:cs="Times New Roman"/>
          <w:kern w:val="0"/>
          <w14:ligatures w14:val="none"/>
        </w:rPr>
        <w:t>Factor 1 — Infrastructure limitations</w:t>
      </w:r>
    </w:p>
    <w:tbl>
      <w:tblPr>
        <w:tblW w:w="8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2160"/>
        <w:gridCol w:w="3150"/>
      </w:tblGrid>
      <w:tr w:rsidR="00A025C3" w:rsidRPr="009255EC" w14:paraId="511780B8" w14:textId="77777777" w:rsidTr="00A727B3">
        <w:trPr>
          <w:trHeight w:val="386"/>
        </w:trPr>
        <w:tc>
          <w:tcPr>
            <w:tcW w:w="3505" w:type="dxa"/>
            <w:vAlign w:val="center"/>
            <w:hideMark/>
          </w:tcPr>
          <w:p w14:paraId="52390893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  <w:t>Item (code)</w:t>
            </w:r>
          </w:p>
        </w:tc>
        <w:tc>
          <w:tcPr>
            <w:tcW w:w="2160" w:type="dxa"/>
            <w:vAlign w:val="center"/>
            <w:hideMark/>
          </w:tcPr>
          <w:p w14:paraId="710AD993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  <w:t>Primary loading</w:t>
            </w:r>
          </w:p>
        </w:tc>
        <w:tc>
          <w:tcPr>
            <w:tcW w:w="3150" w:type="dxa"/>
            <w:vAlign w:val="center"/>
            <w:hideMark/>
          </w:tcPr>
          <w:p w14:paraId="4849C501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b/>
                <w:bCs/>
                <w:color w:val="000000" w:themeColor="text1"/>
                <w:kern w:val="0"/>
                <w14:ligatures w14:val="none"/>
              </w:rPr>
              <w:t>Cross-loadings ≥ 0.30</w:t>
            </w:r>
          </w:p>
        </w:tc>
      </w:tr>
      <w:tr w:rsidR="00A025C3" w:rsidRPr="009255EC" w14:paraId="3E44B0F9" w14:textId="77777777" w:rsidTr="00A727B3">
        <w:trPr>
          <w:trHeight w:val="710"/>
        </w:trPr>
        <w:tc>
          <w:tcPr>
            <w:tcW w:w="3505" w:type="dxa"/>
            <w:vAlign w:val="center"/>
            <w:hideMark/>
          </w:tcPr>
          <w:p w14:paraId="0DB1E604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Road conditions for collection (Q1)</w:t>
            </w:r>
          </w:p>
        </w:tc>
        <w:tc>
          <w:tcPr>
            <w:tcW w:w="2160" w:type="dxa"/>
            <w:vAlign w:val="center"/>
            <w:hideMark/>
          </w:tcPr>
          <w:p w14:paraId="7CD1F2C1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0.715</w:t>
            </w:r>
          </w:p>
        </w:tc>
        <w:tc>
          <w:tcPr>
            <w:tcW w:w="3150" w:type="dxa"/>
            <w:vAlign w:val="center"/>
            <w:hideMark/>
          </w:tcPr>
          <w:p w14:paraId="1D5AC502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+0.325; +0.314; +0.313</w:t>
            </w:r>
          </w:p>
        </w:tc>
      </w:tr>
      <w:tr w:rsidR="00A025C3" w:rsidRPr="009255EC" w14:paraId="27A25A7A" w14:textId="77777777" w:rsidTr="00A727B3">
        <w:trPr>
          <w:trHeight w:val="341"/>
        </w:trPr>
        <w:tc>
          <w:tcPr>
            <w:tcW w:w="3505" w:type="dxa"/>
            <w:vAlign w:val="center"/>
            <w:hideMark/>
          </w:tcPr>
          <w:p w14:paraId="6C4612BA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Weather effects on schedules (Q5)</w:t>
            </w:r>
          </w:p>
        </w:tc>
        <w:tc>
          <w:tcPr>
            <w:tcW w:w="2160" w:type="dxa"/>
            <w:vAlign w:val="center"/>
            <w:hideMark/>
          </w:tcPr>
          <w:p w14:paraId="57495458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−0.532</w:t>
            </w:r>
          </w:p>
        </w:tc>
        <w:tc>
          <w:tcPr>
            <w:tcW w:w="3150" w:type="dxa"/>
            <w:vAlign w:val="center"/>
            <w:hideMark/>
          </w:tcPr>
          <w:p w14:paraId="333587AA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+0.521; +0.361; −0.327; −0.346</w:t>
            </w:r>
          </w:p>
        </w:tc>
      </w:tr>
      <w:tr w:rsidR="00A025C3" w:rsidRPr="009255EC" w14:paraId="5B04D350" w14:textId="77777777" w:rsidTr="00A727B3">
        <w:trPr>
          <w:trHeight w:val="332"/>
        </w:trPr>
        <w:tc>
          <w:tcPr>
            <w:tcW w:w="3505" w:type="dxa"/>
            <w:vAlign w:val="center"/>
            <w:hideMark/>
          </w:tcPr>
          <w:p w14:paraId="1A75CC5F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Delays due to inadequate infrastructure (Q6)</w:t>
            </w:r>
          </w:p>
        </w:tc>
        <w:tc>
          <w:tcPr>
            <w:tcW w:w="2160" w:type="dxa"/>
            <w:vAlign w:val="center"/>
            <w:hideMark/>
          </w:tcPr>
          <w:p w14:paraId="342E0804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−0.624</w:t>
            </w:r>
          </w:p>
        </w:tc>
        <w:tc>
          <w:tcPr>
            <w:tcW w:w="3150" w:type="dxa"/>
            <w:vAlign w:val="center"/>
            <w:hideMark/>
          </w:tcPr>
          <w:p w14:paraId="64F6616F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0.534</w:t>
            </w:r>
          </w:p>
        </w:tc>
      </w:tr>
      <w:tr w:rsidR="00A025C3" w:rsidRPr="009255EC" w14:paraId="0934FBC5" w14:textId="77777777" w:rsidTr="00A727B3">
        <w:trPr>
          <w:trHeight w:val="476"/>
        </w:trPr>
        <w:tc>
          <w:tcPr>
            <w:tcW w:w="3505" w:type="dxa"/>
            <w:vAlign w:val="center"/>
            <w:hideMark/>
          </w:tcPr>
          <w:p w14:paraId="632B84CB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Primary reason for delays (Q9)</w:t>
            </w:r>
          </w:p>
        </w:tc>
        <w:tc>
          <w:tcPr>
            <w:tcW w:w="2160" w:type="dxa"/>
            <w:vAlign w:val="center"/>
            <w:hideMark/>
          </w:tcPr>
          <w:p w14:paraId="17924CB2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−0.481</w:t>
            </w:r>
          </w:p>
        </w:tc>
        <w:tc>
          <w:tcPr>
            <w:tcW w:w="3150" w:type="dxa"/>
            <w:vAlign w:val="center"/>
            <w:hideMark/>
          </w:tcPr>
          <w:p w14:paraId="6295002F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 New Roman"/>
                <w:color w:val="000000" w:themeColor="text1"/>
                <w:kern w:val="0"/>
                <w14:ligatures w14:val="none"/>
              </w:rPr>
              <w:t>+0.463; +0.384; +0.370</w:t>
            </w:r>
          </w:p>
        </w:tc>
      </w:tr>
    </w:tbl>
    <w:p w14:paraId="50AB6F3C" w14:textId="77777777" w:rsidR="00A025C3" w:rsidRPr="009255EC" w:rsidRDefault="00A025C3" w:rsidP="00A025C3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5BD73340" w14:textId="77777777" w:rsidR="00A025C3" w:rsidRPr="009255EC" w:rsidRDefault="00A025C3" w:rsidP="00A025C3">
      <w:pPr>
        <w:spacing w:before="100" w:beforeAutospacing="1" w:after="100" w:afterAutospacing="1" w:line="240" w:lineRule="auto"/>
        <w:outlineLvl w:val="2"/>
        <w:rPr>
          <w:rFonts w:ascii="Garamond" w:eastAsia="Times New Roman" w:hAnsi="Garamond" w:cs="Times New Roman"/>
          <w:kern w:val="0"/>
          <w14:ligatures w14:val="none"/>
        </w:rPr>
      </w:pPr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Supplementary </w:t>
      </w:r>
      <w:proofErr w:type="spellStart"/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>Tabe</w:t>
      </w:r>
      <w:proofErr w:type="spellEnd"/>
      <w:r w:rsidRPr="009255EC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S2</w:t>
      </w:r>
      <w:r w:rsidRPr="009255EC">
        <w:rPr>
          <w:rFonts w:ascii="Garamond" w:eastAsia="Times New Roman" w:hAnsi="Garamond" w:cs="Times New Roman"/>
          <w:kern w:val="0"/>
          <w14:ligatures w14:val="none"/>
        </w:rPr>
        <w:t>:</w:t>
      </w:r>
      <w:r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9255EC">
        <w:rPr>
          <w:rFonts w:ascii="Garamond" w:eastAsia="Times New Roman" w:hAnsi="Garamond" w:cs="Times New Roman"/>
          <w:kern w:val="0"/>
          <w14:ligatures w14:val="none"/>
        </w:rPr>
        <w:t>EFA</w:t>
      </w:r>
      <w:r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Pr="009255EC">
        <w:rPr>
          <w:rFonts w:ascii="Garamond" w:eastAsia="Times New Roman" w:hAnsi="Garamond" w:cs="Times New Roman"/>
          <w:kern w:val="0"/>
          <w14:ligatures w14:val="none"/>
        </w:rPr>
        <w:t>Factor 2 — Operational inefficiencies</w:t>
      </w:r>
    </w:p>
    <w:tbl>
      <w:tblPr>
        <w:tblW w:w="981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3330"/>
        <w:gridCol w:w="4050"/>
      </w:tblGrid>
      <w:tr w:rsidR="00A025C3" w:rsidRPr="001727BF" w14:paraId="15467236" w14:textId="77777777" w:rsidTr="00A727B3">
        <w:trPr>
          <w:trHeight w:val="404"/>
          <w:jc w:val="right"/>
        </w:trPr>
        <w:tc>
          <w:tcPr>
            <w:tcW w:w="2430" w:type="dxa"/>
            <w:vAlign w:val="center"/>
            <w:hideMark/>
          </w:tcPr>
          <w:p w14:paraId="69D61203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Item (code)</w:t>
            </w:r>
          </w:p>
        </w:tc>
        <w:tc>
          <w:tcPr>
            <w:tcW w:w="3330" w:type="dxa"/>
            <w:vAlign w:val="center"/>
            <w:hideMark/>
          </w:tcPr>
          <w:p w14:paraId="547DEF48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Primary loading</w:t>
            </w:r>
          </w:p>
        </w:tc>
        <w:tc>
          <w:tcPr>
            <w:tcW w:w="4050" w:type="dxa"/>
            <w:vAlign w:val="center"/>
            <w:hideMark/>
          </w:tcPr>
          <w:p w14:paraId="7E517019" w14:textId="77777777" w:rsidR="00A025C3" w:rsidRPr="009255EC" w:rsidRDefault="00A025C3" w:rsidP="00A727B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Cross-loadings ≥ 0.30</w:t>
            </w:r>
          </w:p>
        </w:tc>
      </w:tr>
      <w:tr w:rsidR="00A025C3" w:rsidRPr="001727BF" w14:paraId="4454F818" w14:textId="77777777" w:rsidTr="00A727B3">
        <w:trPr>
          <w:trHeight w:val="107"/>
          <w:jc w:val="right"/>
        </w:trPr>
        <w:tc>
          <w:tcPr>
            <w:tcW w:w="2430" w:type="dxa"/>
            <w:vAlign w:val="center"/>
            <w:hideMark/>
          </w:tcPr>
          <w:p w14:paraId="4A98304C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Vehicle breakdowns during collection (Q2)</w:t>
            </w:r>
          </w:p>
        </w:tc>
        <w:tc>
          <w:tcPr>
            <w:tcW w:w="3330" w:type="dxa"/>
            <w:vAlign w:val="center"/>
            <w:hideMark/>
          </w:tcPr>
          <w:p w14:paraId="4B81B3AB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0.594</w:t>
            </w:r>
          </w:p>
        </w:tc>
        <w:tc>
          <w:tcPr>
            <w:tcW w:w="4050" w:type="dxa"/>
            <w:vAlign w:val="center"/>
            <w:hideMark/>
          </w:tcPr>
          <w:p w14:paraId="49D67BB7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+0.566; +0.391</w:t>
            </w:r>
          </w:p>
        </w:tc>
      </w:tr>
      <w:tr w:rsidR="00A025C3" w:rsidRPr="001727BF" w14:paraId="10E3B54D" w14:textId="77777777" w:rsidTr="00A727B3">
        <w:trPr>
          <w:trHeight w:val="242"/>
          <w:jc w:val="right"/>
        </w:trPr>
        <w:tc>
          <w:tcPr>
            <w:tcW w:w="2430" w:type="dxa"/>
            <w:vAlign w:val="center"/>
            <w:hideMark/>
          </w:tcPr>
          <w:p w14:paraId="0ABE77AE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Resource constraints affecting transport (Q3)</w:t>
            </w:r>
          </w:p>
        </w:tc>
        <w:tc>
          <w:tcPr>
            <w:tcW w:w="3330" w:type="dxa"/>
            <w:vAlign w:val="center"/>
            <w:hideMark/>
          </w:tcPr>
          <w:p w14:paraId="48020236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−0.503</w:t>
            </w:r>
          </w:p>
        </w:tc>
        <w:tc>
          <w:tcPr>
            <w:tcW w:w="4050" w:type="dxa"/>
            <w:vAlign w:val="center"/>
            <w:hideMark/>
          </w:tcPr>
          <w:p w14:paraId="101BADB5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+0.461; +0.433; +0.356; −0.331</w:t>
            </w:r>
          </w:p>
        </w:tc>
      </w:tr>
      <w:tr w:rsidR="00A025C3" w:rsidRPr="001727BF" w14:paraId="53657397" w14:textId="77777777" w:rsidTr="00A727B3">
        <w:trPr>
          <w:trHeight w:val="395"/>
          <w:jc w:val="right"/>
        </w:trPr>
        <w:tc>
          <w:tcPr>
            <w:tcW w:w="2430" w:type="dxa"/>
            <w:vAlign w:val="center"/>
            <w:hideMark/>
          </w:tcPr>
          <w:p w14:paraId="0AAEF576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Community awareness impact (Q4)</w:t>
            </w:r>
          </w:p>
        </w:tc>
        <w:tc>
          <w:tcPr>
            <w:tcW w:w="3330" w:type="dxa"/>
            <w:vAlign w:val="center"/>
            <w:hideMark/>
          </w:tcPr>
          <w:p w14:paraId="750B62F7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0.548</w:t>
            </w:r>
          </w:p>
        </w:tc>
        <w:tc>
          <w:tcPr>
            <w:tcW w:w="4050" w:type="dxa"/>
            <w:vAlign w:val="center"/>
            <w:hideMark/>
          </w:tcPr>
          <w:p w14:paraId="50E09949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+0.481; −0.367; −0.359</w:t>
            </w:r>
          </w:p>
        </w:tc>
      </w:tr>
      <w:tr w:rsidR="00A025C3" w:rsidRPr="001727BF" w14:paraId="369B324F" w14:textId="77777777" w:rsidTr="00A727B3">
        <w:trPr>
          <w:trHeight w:val="557"/>
          <w:jc w:val="right"/>
        </w:trPr>
        <w:tc>
          <w:tcPr>
            <w:tcW w:w="2430" w:type="dxa"/>
            <w:vAlign w:val="center"/>
            <w:hideMark/>
          </w:tcPr>
          <w:p w14:paraId="76103B2C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Authority–provider collaboration (Q7)</w:t>
            </w:r>
          </w:p>
        </w:tc>
        <w:tc>
          <w:tcPr>
            <w:tcW w:w="3330" w:type="dxa"/>
            <w:vAlign w:val="center"/>
            <w:hideMark/>
          </w:tcPr>
          <w:p w14:paraId="67BB0696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0.644</w:t>
            </w:r>
          </w:p>
        </w:tc>
        <w:tc>
          <w:tcPr>
            <w:tcW w:w="4050" w:type="dxa"/>
            <w:vAlign w:val="center"/>
            <w:hideMark/>
          </w:tcPr>
          <w:p w14:paraId="0CF88F39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+0.478; +0.468</w:t>
            </w:r>
          </w:p>
        </w:tc>
      </w:tr>
      <w:tr w:rsidR="00A025C3" w:rsidRPr="001727BF" w14:paraId="2E9DFD9B" w14:textId="77777777" w:rsidTr="00A727B3">
        <w:trPr>
          <w:trHeight w:val="341"/>
          <w:jc w:val="right"/>
        </w:trPr>
        <w:tc>
          <w:tcPr>
            <w:tcW w:w="2430" w:type="dxa"/>
            <w:vAlign w:val="center"/>
            <w:hideMark/>
          </w:tcPr>
          <w:p w14:paraId="7AE5C7CE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Illegal dumping on routes (Q8)</w:t>
            </w:r>
          </w:p>
        </w:tc>
        <w:tc>
          <w:tcPr>
            <w:tcW w:w="3330" w:type="dxa"/>
            <w:vAlign w:val="center"/>
            <w:hideMark/>
          </w:tcPr>
          <w:p w14:paraId="5C2F1222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−0.590</w:t>
            </w:r>
          </w:p>
        </w:tc>
        <w:tc>
          <w:tcPr>
            <w:tcW w:w="4050" w:type="dxa"/>
            <w:vAlign w:val="center"/>
            <w:hideMark/>
          </w:tcPr>
          <w:p w14:paraId="14D79C90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−0.550; −0.321; +0.307</w:t>
            </w:r>
          </w:p>
        </w:tc>
      </w:tr>
      <w:tr w:rsidR="00A025C3" w:rsidRPr="001727BF" w14:paraId="6EECD1F3" w14:textId="77777777" w:rsidTr="00A727B3">
        <w:trPr>
          <w:trHeight w:val="332"/>
          <w:jc w:val="right"/>
        </w:trPr>
        <w:tc>
          <w:tcPr>
            <w:tcW w:w="2430" w:type="dxa"/>
            <w:vAlign w:val="center"/>
            <w:hideMark/>
          </w:tcPr>
          <w:p w14:paraId="7E16ED1C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Policy effectiveness (Q10)</w:t>
            </w:r>
          </w:p>
        </w:tc>
        <w:tc>
          <w:tcPr>
            <w:tcW w:w="3330" w:type="dxa"/>
            <w:vAlign w:val="center"/>
            <w:hideMark/>
          </w:tcPr>
          <w:p w14:paraId="50934827" w14:textId="77777777" w:rsidR="00A025C3" w:rsidRPr="009255EC" w:rsidRDefault="00A025C3" w:rsidP="00A727B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Bold"/>
                <w:b/>
                <w:bCs/>
                <w:color w:val="000000"/>
                <w:kern w:val="0"/>
                <w14:ligatures w14:val="none"/>
              </w:rPr>
              <w:t>0.649</w:t>
            </w:r>
          </w:p>
        </w:tc>
        <w:tc>
          <w:tcPr>
            <w:tcW w:w="4050" w:type="dxa"/>
            <w:vAlign w:val="center"/>
            <w:hideMark/>
          </w:tcPr>
          <w:p w14:paraId="3D43D91C" w14:textId="77777777" w:rsidR="00A025C3" w:rsidRPr="009255EC" w:rsidRDefault="00A025C3" w:rsidP="00A727B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kern w:val="0"/>
                <w14:ligatures w14:val="none"/>
              </w:rPr>
            </w:pPr>
            <w:r w:rsidRPr="009255EC">
              <w:rPr>
                <w:rFonts w:ascii="Garamond" w:eastAsia="Times New Roman" w:hAnsi="Garamond" w:cs="Times-Roman"/>
                <w:color w:val="000000"/>
                <w:kern w:val="0"/>
                <w14:ligatures w14:val="none"/>
              </w:rPr>
              <w:t>+0.514; +0.348; −0.331</w:t>
            </w:r>
          </w:p>
        </w:tc>
      </w:tr>
    </w:tbl>
    <w:p w14:paraId="0E3F3BC2" w14:textId="77777777" w:rsidR="00A025C3" w:rsidRPr="00743487" w:rsidRDefault="00A025C3" w:rsidP="00A025C3">
      <w:pPr>
        <w:spacing w:line="480" w:lineRule="auto"/>
        <w:ind w:left="851" w:hanging="851"/>
        <w:jc w:val="both"/>
        <w:rPr>
          <w:rFonts w:ascii="Garamond" w:hAnsi="Garamond"/>
        </w:rPr>
      </w:pPr>
    </w:p>
    <w:p w14:paraId="5C2E9B35" w14:textId="77777777" w:rsidR="00EB1772" w:rsidRDefault="00EB1772"/>
    <w:sectPr w:rsidR="00EB1772" w:rsidSect="00A025C3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3"/>
    <w:rsid w:val="001A5170"/>
    <w:rsid w:val="00210666"/>
    <w:rsid w:val="00663A76"/>
    <w:rsid w:val="00A025C3"/>
    <w:rsid w:val="00C03524"/>
    <w:rsid w:val="00D76282"/>
    <w:rsid w:val="00EB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581A7"/>
  <w15:chartTrackingRefBased/>
  <w15:docId w15:val="{3DCAF038-1651-411C-A73B-03A01ED4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5C3"/>
    <w:pPr>
      <w:spacing w:after="160"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5C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5C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5C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5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5C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5C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5C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5C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5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5C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5C3"/>
    <w:rPr>
      <w:b/>
      <w:bCs/>
      <w:smallCaps/>
      <w:color w:val="365F9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02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2025-10-18T12:39:00Z</dcterms:created>
  <dcterms:modified xsi:type="dcterms:W3CDTF">2025-10-18T12:40:00Z</dcterms:modified>
</cp:coreProperties>
</file>