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CD" w:rsidRDefault="002178CD" w:rsidP="002178CD">
      <w:pPr>
        <w:pStyle w:val="EndnoteText"/>
        <w:jc w:val="both"/>
      </w:pPr>
    </w:p>
    <w:p w:rsidR="002178CD" w:rsidRPr="00D43B3C" w:rsidRDefault="002178CD" w:rsidP="002178CD">
      <w:pPr>
        <w:pStyle w:val="NormalWeb"/>
        <w:rPr>
          <w:rFonts w:ascii="Georgia" w:hAnsi="Georgia"/>
          <w:b/>
          <w:bCs/>
          <w:color w:val="000000"/>
        </w:rPr>
      </w:pPr>
      <w:proofErr w:type="gramStart"/>
      <w:r w:rsidRPr="00D43B3C">
        <w:rPr>
          <w:rFonts w:ascii="Georgia" w:hAnsi="Georgia"/>
          <w:b/>
          <w:bCs/>
          <w:color w:val="000000"/>
        </w:rPr>
        <w:t>Appendix 3.</w:t>
      </w:r>
      <w:proofErr w:type="gramEnd"/>
      <w:r w:rsidRPr="00D43B3C">
        <w:rPr>
          <w:rFonts w:ascii="Georgia" w:hAnsi="Georgia"/>
          <w:b/>
          <w:bCs/>
          <w:color w:val="000000"/>
        </w:rPr>
        <w:t xml:space="preserve"> </w:t>
      </w:r>
      <w:r w:rsidRPr="00D43B3C">
        <w:rPr>
          <w:rFonts w:ascii=".AppleSystemUIFont" w:hAnsi=".AppleSystemUIFont"/>
          <w:b/>
          <w:bCs/>
          <w:color w:val="0E0E0E"/>
          <w:sz w:val="23"/>
          <w:szCs w:val="23"/>
        </w:rPr>
        <w:t>Mathematical Formulation of the Simulation</w:t>
      </w:r>
    </w:p>
    <w:p w:rsidR="002178CD" w:rsidRPr="00D43B3C" w:rsidRDefault="002178CD" w:rsidP="002178CD">
      <w:pPr>
        <w:rPr>
          <w:rFonts w:ascii=".AppleSystemUIFont" w:hAnsi=".AppleSystemUIFont"/>
          <w:color w:val="0E0E0E"/>
          <w:sz w:val="21"/>
          <w:szCs w:val="21"/>
        </w:rPr>
      </w:pPr>
    </w:p>
    <w:p w:rsidR="002178CD" w:rsidRPr="00D43B3C" w:rsidRDefault="002178CD" w:rsidP="002178CD">
      <w:pPr>
        <w:jc w:val="both"/>
        <w:rPr>
          <w:color w:val="0E0E0E"/>
        </w:rPr>
      </w:pPr>
      <w:r w:rsidRPr="00D43B3C">
        <w:rPr>
          <w:b/>
          <w:bCs/>
          <w:color w:val="0E0E0E"/>
        </w:rPr>
        <w:t>1. Dynamic Systems Modeling</w:t>
      </w:r>
    </w:p>
    <w:p w:rsidR="002178CD" w:rsidRPr="00D43B3C" w:rsidRDefault="002178CD" w:rsidP="002178CD">
      <w:pPr>
        <w:jc w:val="both"/>
        <w:rPr>
          <w:color w:val="0E0E0E"/>
        </w:rPr>
      </w:pPr>
    </w:p>
    <w:p w:rsidR="002178CD" w:rsidRPr="00EB46D6" w:rsidRDefault="002178CD" w:rsidP="002178CD">
      <w:pPr>
        <w:jc w:val="both"/>
        <w:rPr>
          <w:color w:val="0E0E0E"/>
        </w:rPr>
      </w:pPr>
      <w:r w:rsidRPr="00D43B3C">
        <w:rPr>
          <w:color w:val="0E0E0E"/>
        </w:rPr>
        <w:t>The interaction between US export controls (</w:t>
      </w:r>
      <w:proofErr w:type="gramStart"/>
      <w:r w:rsidRPr="00D43B3C">
        <w:rPr>
          <w:color w:val="000000"/>
        </w:rPr>
        <w:t>X(</w:t>
      </w:r>
      <w:proofErr w:type="gramEnd"/>
      <w:r w:rsidRPr="00D43B3C">
        <w:rPr>
          <w:color w:val="000000"/>
        </w:rPr>
        <w:t>t)</w:t>
      </w:r>
      <w:r w:rsidRPr="00D43B3C">
        <w:rPr>
          <w:color w:val="0E0E0E"/>
        </w:rPr>
        <w:t>), China’s domestic technology investments (</w:t>
      </w:r>
      <w:r w:rsidRPr="00D43B3C">
        <w:rPr>
          <w:color w:val="000000"/>
        </w:rPr>
        <w:t>Y(t)</w:t>
      </w:r>
      <w:r w:rsidRPr="00D43B3C">
        <w:rPr>
          <w:color w:val="0E0E0E"/>
        </w:rPr>
        <w:t>), and the state of the global technology regime (</w:t>
      </w:r>
      <w:r w:rsidRPr="00D43B3C">
        <w:rPr>
          <w:color w:val="000000"/>
        </w:rPr>
        <w:t>Z(t)</w:t>
      </w:r>
      <w:r w:rsidRPr="00D43B3C">
        <w:rPr>
          <w:color w:val="0E0E0E"/>
        </w:rPr>
        <w:t>) is modeled using a set of coupled differential equations. These equations capture the feedback loops and the non-linear dynamics of the system: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  <w:r w:rsidRPr="00B02FEA">
        <w:rPr>
          <w:noProof/>
          <w:color w:val="0E0E0E"/>
          <w:lang w:val="en-PH" w:eastAsia="en-PH"/>
          <w14:ligatures w14:val="standardContextual"/>
        </w:rPr>
        <w:drawing>
          <wp:inline distT="0" distB="0" distL="0" distR="0" wp14:anchorId="371F53FD" wp14:editId="47E5DE50">
            <wp:extent cx="2700156" cy="2025117"/>
            <wp:effectExtent l="0" t="0" r="5080" b="0"/>
            <wp:docPr id="12538347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83474" name="Graphic 125383474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96" cy="20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8CD" w:rsidRPr="00D43B3C" w:rsidRDefault="002178CD" w:rsidP="002178CD">
      <w:pPr>
        <w:spacing w:before="180"/>
        <w:ind w:left="195" w:hanging="19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proofErr w:type="gramStart"/>
      <w:r w:rsidRPr="00D43B3C">
        <w:rPr>
          <w:color w:val="000000"/>
        </w:rPr>
        <w:t>a(</w:t>
      </w:r>
      <w:proofErr w:type="gramEnd"/>
      <w:r w:rsidRPr="00D43B3C">
        <w:rPr>
          <w:color w:val="000000"/>
        </w:rPr>
        <w:t>Z)</w:t>
      </w:r>
      <w:r w:rsidRPr="00D43B3C">
        <w:rPr>
          <w:color w:val="0E0E0E"/>
        </w:rPr>
        <w:t xml:space="preserve">: Represents the US’s strategic response to changes in the global technology regime. As </w:t>
      </w:r>
      <w:proofErr w:type="gramStart"/>
      <w:r w:rsidRPr="00D43B3C">
        <w:rPr>
          <w:color w:val="000000"/>
        </w:rPr>
        <w:t>Z(</w:t>
      </w:r>
      <w:proofErr w:type="gramEnd"/>
      <w:r w:rsidRPr="00D43B3C">
        <w:rPr>
          <w:color w:val="000000"/>
        </w:rPr>
        <w:t>t)</w:t>
      </w:r>
      <w:r w:rsidRPr="00D43B3C">
        <w:rPr>
          <w:color w:val="0E0E0E"/>
        </w:rPr>
        <w:t xml:space="preserve"> moves toward bifurcation, </w:t>
      </w:r>
      <w:r w:rsidRPr="00D43B3C">
        <w:rPr>
          <w:color w:val="000000"/>
        </w:rPr>
        <w:t>a(Z)</w:t>
      </w:r>
      <w:r w:rsidRPr="00D43B3C">
        <w:rPr>
          <w:color w:val="0E0E0E"/>
        </w:rPr>
        <w:t xml:space="preserve"> adjusts the intensity of export controls.</w:t>
      </w:r>
    </w:p>
    <w:p w:rsidR="002178CD" w:rsidRPr="00D43B3C" w:rsidRDefault="002178CD" w:rsidP="002178CD">
      <w:pPr>
        <w:spacing w:before="180"/>
        <w:ind w:left="195" w:hanging="19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proofErr w:type="gramStart"/>
      <w:r w:rsidRPr="00D43B3C">
        <w:rPr>
          <w:color w:val="000000"/>
        </w:rPr>
        <w:t>b(</w:t>
      </w:r>
      <w:proofErr w:type="gramEnd"/>
      <w:r w:rsidRPr="00D43B3C">
        <w:rPr>
          <w:color w:val="000000"/>
        </w:rPr>
        <w:t>Y)</w:t>
      </w:r>
      <w:r w:rsidRPr="00D43B3C">
        <w:rPr>
          <w:color w:val="0E0E0E"/>
        </w:rPr>
        <w:t>: Captures the mitigating effect of China’s investment on the effectiveness of US export controls.</w:t>
      </w:r>
    </w:p>
    <w:p w:rsidR="002178CD" w:rsidRPr="00D43B3C" w:rsidRDefault="002178CD" w:rsidP="002178CD">
      <w:pPr>
        <w:spacing w:before="180"/>
        <w:ind w:left="195" w:hanging="19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proofErr w:type="gramStart"/>
      <w:r w:rsidRPr="00D43B3C">
        <w:rPr>
          <w:color w:val="000000"/>
        </w:rPr>
        <w:t>c(</w:t>
      </w:r>
      <w:proofErr w:type="gramEnd"/>
      <w:r w:rsidRPr="00D43B3C">
        <w:rPr>
          <w:color w:val="000000"/>
        </w:rPr>
        <w:t>X)</w:t>
      </w:r>
      <w:r w:rsidRPr="00D43B3C">
        <w:rPr>
          <w:color w:val="0E0E0E"/>
        </w:rPr>
        <w:t>: Models China’s strategic investment increase in response to heightened export controls.</w:t>
      </w:r>
    </w:p>
    <w:p w:rsidR="002178CD" w:rsidRPr="00D43B3C" w:rsidRDefault="002178CD" w:rsidP="002178CD">
      <w:pPr>
        <w:spacing w:before="180"/>
        <w:ind w:left="195" w:hanging="19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r w:rsidRPr="00D43B3C">
        <w:rPr>
          <w:color w:val="000000"/>
        </w:rPr>
        <w:t>dY^2</w:t>
      </w:r>
      <w:r w:rsidRPr="00D43B3C">
        <w:rPr>
          <w:color w:val="0E0E0E"/>
        </w:rPr>
        <w:t xml:space="preserve">: Introduces a non-linear cost term, reflecting </w:t>
      </w:r>
      <w:r w:rsidRPr="00B02FEA">
        <w:rPr>
          <w:color w:val="0E0E0E"/>
        </w:rPr>
        <w:t>China's investments’</w:t>
      </w:r>
      <w:r w:rsidRPr="00D43B3C">
        <w:rPr>
          <w:color w:val="0E0E0E"/>
        </w:rPr>
        <w:t xml:space="preserve"> diminishing returns and escalating costs as they approach higher levels.</w:t>
      </w:r>
    </w:p>
    <w:p w:rsidR="002178CD" w:rsidRPr="00D43B3C" w:rsidRDefault="002178CD" w:rsidP="002178CD">
      <w:pPr>
        <w:spacing w:before="180"/>
        <w:ind w:left="195" w:hanging="19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proofErr w:type="gramStart"/>
      <w:r w:rsidRPr="00D43B3C">
        <w:rPr>
          <w:color w:val="000000"/>
        </w:rPr>
        <w:t>e(</w:t>
      </w:r>
      <w:proofErr w:type="gramEnd"/>
      <w:r w:rsidRPr="00D43B3C">
        <w:rPr>
          <w:color w:val="000000"/>
        </w:rPr>
        <w:t>X, Y)</w:t>
      </w:r>
      <w:r w:rsidRPr="00D43B3C">
        <w:rPr>
          <w:color w:val="0E0E0E"/>
        </w:rPr>
        <w:t>: Describes how the interplay of US and Chinese strategies drives changes in the global technology regime, pushing it toward bifurcation.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  <w:r w:rsidRPr="00D43B3C">
        <w:rPr>
          <w:b/>
          <w:bCs/>
          <w:color w:val="0E0E0E"/>
        </w:rPr>
        <w:t>2. Q-Learning Framework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  <w:r w:rsidRPr="00D43B3C">
        <w:rPr>
          <w:color w:val="0E0E0E"/>
        </w:rPr>
        <w:t>The Q-learning model complements the dynamic systems approach by simulating the decision-making processes of both actors over iterative rounds. The Q-values (</w:t>
      </w:r>
      <w:r w:rsidRPr="00D43B3C">
        <w:rPr>
          <w:color w:val="000000"/>
        </w:rPr>
        <w:t>Q(s, a)</w:t>
      </w:r>
      <w:r w:rsidRPr="00D43B3C">
        <w:rPr>
          <w:color w:val="0E0E0E"/>
        </w:rPr>
        <w:t>) represent the expected rewards for each state-action pair (</w:t>
      </w:r>
      <w:r w:rsidRPr="00D43B3C">
        <w:rPr>
          <w:color w:val="000000"/>
        </w:rPr>
        <w:t>s, a</w:t>
      </w:r>
      <w:r w:rsidRPr="00D43B3C">
        <w:rPr>
          <w:color w:val="0E0E0E"/>
        </w:rPr>
        <w:t>):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jc w:val="center"/>
        <w:rPr>
          <w:color w:val="0E0E0E"/>
        </w:rPr>
      </w:pPr>
      <w:r w:rsidRPr="00B02FEA">
        <w:t>Q(s, a) ← Q(s, a) + α[r + γ max</w:t>
      </w:r>
      <w:proofErr w:type="gramStart"/>
      <w:r w:rsidRPr="00B02FEA">
        <w:rPr>
          <w:rStyle w:val="apple-converted-space"/>
          <w:rFonts w:eastAsiaTheme="majorEastAsia"/>
        </w:rPr>
        <w:t> </w:t>
      </w:r>
      <w:r w:rsidRPr="00B02FEA">
        <w:t xml:space="preserve"> a'</w:t>
      </w:r>
      <w:proofErr w:type="gramEnd"/>
      <w:r w:rsidRPr="00B02FEA">
        <w:rPr>
          <w:rStyle w:val="apple-converted-space"/>
          <w:rFonts w:eastAsiaTheme="majorEastAsia"/>
        </w:rPr>
        <w:t> </w:t>
      </w:r>
      <w:r w:rsidRPr="00B02FEA">
        <w:t xml:space="preserve"> Q(s', a') - Q(s, a)]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  <w:r w:rsidRPr="00D43B3C">
        <w:rPr>
          <w:color w:val="0E0E0E"/>
        </w:rPr>
        <w:t>Where:</w:t>
      </w:r>
    </w:p>
    <w:p w:rsidR="002178CD" w:rsidRDefault="002178CD" w:rsidP="002178CD">
      <w:pPr>
        <w:spacing w:before="180"/>
        <w:ind w:left="195" w:hanging="195"/>
      </w:pPr>
      <w:r w:rsidRPr="00D43B3C">
        <w:rPr>
          <w:color w:val="0E0E0E"/>
        </w:rPr>
        <w:lastRenderedPageBreak/>
        <w:tab/>
      </w:r>
      <w:r>
        <w:t>Where</w:t>
      </w:r>
      <w:proofErr w:type="gramStart"/>
      <w:r>
        <w:t>:•</w:t>
      </w:r>
      <w:proofErr w:type="gramEnd"/>
      <w:r>
        <w:t xml:space="preserve"> α: Learning rate (0 &lt; α ≤ 1)</w:t>
      </w:r>
    </w:p>
    <w:p w:rsidR="002178CD" w:rsidRDefault="002178CD" w:rsidP="002178CD">
      <w:pPr>
        <w:spacing w:before="180"/>
        <w:ind w:left="195" w:hanging="195"/>
      </w:pPr>
      <w:r>
        <w:t xml:space="preserve">• </w:t>
      </w:r>
      <w:proofErr w:type="gramStart"/>
      <w:r>
        <w:t>γ</w:t>
      </w:r>
      <w:proofErr w:type="gramEnd"/>
      <w:r>
        <w:t>: Discount factor (0 ≤ γ ≤ 1), representing the weight of future rewards</w:t>
      </w:r>
    </w:p>
    <w:p w:rsidR="002178CD" w:rsidRDefault="002178CD" w:rsidP="002178CD">
      <w:pPr>
        <w:spacing w:before="180" w:line="360" w:lineRule="auto"/>
        <w:ind w:left="195" w:hanging="195"/>
      </w:pPr>
      <w:r>
        <w:t xml:space="preserve">• </w:t>
      </w:r>
      <w:proofErr w:type="gramStart"/>
      <w:r>
        <w:t>r</w:t>
      </w:r>
      <w:proofErr w:type="gramEnd"/>
      <w:r>
        <w:t>: Immediate reward based on the current state (s) and action (a)</w:t>
      </w:r>
    </w:p>
    <w:p w:rsidR="002178CD" w:rsidRPr="00D43B3C" w:rsidRDefault="002178CD" w:rsidP="002178CD">
      <w:pPr>
        <w:pStyle w:val="p1"/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>
        <w:t>• max</w:t>
      </w:r>
      <w:proofErr w:type="gramStart"/>
      <w:r>
        <w:rPr>
          <w:rStyle w:val="apple-converted-space"/>
          <w:rFonts w:eastAsiaTheme="majorEastAsia"/>
        </w:rPr>
        <w:t> </w:t>
      </w:r>
      <w:r>
        <w:t xml:space="preserve"> a'</w:t>
      </w:r>
      <w:proofErr w:type="gramEnd"/>
      <w:r>
        <w:rPr>
          <w:rStyle w:val="apple-converted-space"/>
          <w:rFonts w:eastAsiaTheme="majorEastAsia"/>
        </w:rPr>
        <w:t> </w:t>
      </w:r>
      <w:r>
        <w:t xml:space="preserve"> Q(s', a'): Maximum Q-value for the next state (s') and all possible actions (</w:t>
      </w:r>
      <w:r w:rsidRPr="00B02FEA">
        <w:rPr>
          <w:rFonts w:ascii="Helvetica" w:hAnsi="Helvetica"/>
          <w:color w:val="auto"/>
          <w:sz w:val="18"/>
          <w:szCs w:val="18"/>
        </w:rPr>
        <w:t>a</w:t>
      </w:r>
      <w:r>
        <w:rPr>
          <w:rFonts w:ascii="Helvetica" w:hAnsi="Helvetica"/>
          <w:color w:val="auto"/>
          <w:sz w:val="18"/>
          <w:szCs w:val="18"/>
        </w:rPr>
        <w:t>’</w:t>
      </w:r>
      <w:r>
        <w:t>)</w:t>
      </w:r>
    </w:p>
    <w:p w:rsidR="002178CD" w:rsidRPr="00D43B3C" w:rsidRDefault="002178CD" w:rsidP="002178CD">
      <w:pPr>
        <w:rPr>
          <w:color w:val="0E0E0E"/>
        </w:rPr>
      </w:pPr>
    </w:p>
    <w:p w:rsidR="002178CD" w:rsidRDefault="002178CD" w:rsidP="002178CD">
      <w:pPr>
        <w:rPr>
          <w:b/>
          <w:bCs/>
          <w:color w:val="0E0E0E"/>
        </w:rPr>
      </w:pPr>
      <w:r w:rsidRPr="00D43B3C">
        <w:rPr>
          <w:b/>
          <w:bCs/>
          <w:color w:val="0E0E0E"/>
        </w:rPr>
        <w:t>3. Integrated Simulation Dynamics</w:t>
      </w:r>
    </w:p>
    <w:p w:rsidR="002178CD" w:rsidRDefault="002178CD" w:rsidP="002178CD">
      <w:pPr>
        <w:rPr>
          <w:b/>
          <w:bCs/>
          <w:color w:val="0E0E0E"/>
        </w:rPr>
      </w:pPr>
    </w:p>
    <w:p w:rsidR="002178CD" w:rsidRDefault="002178CD" w:rsidP="002178CD">
      <w:pPr>
        <w:jc w:val="both"/>
      </w:pPr>
      <w:r>
        <w:t>The simulation integrates the dynamic systems model with the Q-learning framework. Key adjustments include:</w:t>
      </w:r>
    </w:p>
    <w:p w:rsidR="002178CD" w:rsidRDefault="002178CD" w:rsidP="002178CD"/>
    <w:p w:rsidR="002178CD" w:rsidRDefault="002178CD" w:rsidP="002178CD">
      <w:r>
        <w:t>•</w:t>
      </w:r>
      <w:r>
        <w:rPr>
          <w:rStyle w:val="apple-converted-space"/>
          <w:rFonts w:eastAsiaTheme="majorEastAsia"/>
        </w:rPr>
        <w:t> </w:t>
      </w:r>
      <w:r w:rsidRPr="00B02FEA">
        <w:rPr>
          <w:b/>
          <w:bCs/>
        </w:rPr>
        <w:t>Non-linear cost term</w:t>
      </w:r>
      <w:r>
        <w:t>:</w:t>
      </w:r>
      <w:r>
        <w:rPr>
          <w:rStyle w:val="apple-converted-space"/>
          <w:rFonts w:eastAsiaTheme="majorEastAsia"/>
        </w:rPr>
        <w:t> </w:t>
      </w:r>
      <w:r>
        <w:t xml:space="preserve"> The quadratic term (dY²) ensures realistic modeling of diminishing returns on China's</w:t>
      </w:r>
      <w:proofErr w:type="gramStart"/>
      <w:r>
        <w:rPr>
          <w:rStyle w:val="apple-converted-space"/>
          <w:rFonts w:eastAsiaTheme="majorEastAsia"/>
        </w:rPr>
        <w:t> </w:t>
      </w:r>
      <w:r>
        <w:t xml:space="preserve"> investments</w:t>
      </w:r>
      <w:proofErr w:type="gramEnd"/>
      <w:r>
        <w:t>.</w:t>
      </w:r>
    </w:p>
    <w:p w:rsidR="002178CD" w:rsidRDefault="002178CD" w:rsidP="002178CD"/>
    <w:p w:rsidR="002178CD" w:rsidRDefault="002178CD" w:rsidP="002178CD">
      <w:r>
        <w:t>•</w:t>
      </w:r>
      <w:r>
        <w:rPr>
          <w:rStyle w:val="apple-converted-space"/>
          <w:rFonts w:eastAsiaTheme="majorEastAsia"/>
        </w:rPr>
        <w:t> </w:t>
      </w:r>
      <w:r w:rsidRPr="00B02FEA">
        <w:rPr>
          <w:b/>
          <w:bCs/>
        </w:rPr>
        <w:t>State transitions:</w:t>
      </w:r>
      <w:r>
        <w:rPr>
          <w:rStyle w:val="apple-converted-space"/>
          <w:rFonts w:eastAsiaTheme="majorEastAsia"/>
        </w:rPr>
        <w:t> </w:t>
      </w:r>
      <w:r>
        <w:t xml:space="preserve"> The Q-learning model updates the strategies (X and Y) iteratively based on the</w:t>
      </w:r>
      <w:proofErr w:type="gramStart"/>
      <w:r>
        <w:rPr>
          <w:rStyle w:val="apple-converted-space"/>
          <w:rFonts w:eastAsiaTheme="majorEastAsia"/>
        </w:rPr>
        <w:t> </w:t>
      </w:r>
      <w:r>
        <w:t xml:space="preserve"> outcomes</w:t>
      </w:r>
      <w:proofErr w:type="gramEnd"/>
      <w:r>
        <w:t xml:space="preserve"> of the dynamic system equations.</w:t>
      </w:r>
    </w:p>
    <w:p w:rsidR="002178CD" w:rsidRDefault="002178CD" w:rsidP="002178CD"/>
    <w:p w:rsidR="002178CD" w:rsidRPr="00D43B3C" w:rsidRDefault="002178CD" w:rsidP="002178CD">
      <w:pPr>
        <w:rPr>
          <w:color w:val="0E0E0E"/>
        </w:rPr>
      </w:pPr>
      <w:r>
        <w:t>•</w:t>
      </w:r>
      <w:r>
        <w:rPr>
          <w:rStyle w:val="apple-converted-space"/>
          <w:rFonts w:eastAsiaTheme="majorEastAsia"/>
        </w:rPr>
        <w:t> </w:t>
      </w:r>
      <w:r w:rsidRPr="00B02FEA">
        <w:rPr>
          <w:b/>
          <w:bCs/>
        </w:rPr>
        <w:t>Reward structure</w:t>
      </w:r>
      <w:r>
        <w:t>:</w:t>
      </w:r>
      <w:r>
        <w:rPr>
          <w:rStyle w:val="apple-converted-space"/>
          <w:rFonts w:eastAsiaTheme="majorEastAsia"/>
        </w:rPr>
        <w:t> </w:t>
      </w:r>
      <w:r>
        <w:t xml:space="preserve"> The rewards reflect geopolitical and technological outcomes, such as gains in</w:t>
      </w:r>
      <w:proofErr w:type="gramStart"/>
      <w:r>
        <w:rPr>
          <w:rStyle w:val="apple-converted-space"/>
          <w:rFonts w:eastAsiaTheme="majorEastAsia"/>
        </w:rPr>
        <w:t> </w:t>
      </w:r>
      <w:r>
        <w:t xml:space="preserve"> technological</w:t>
      </w:r>
      <w:proofErr w:type="gramEnd"/>
      <w:r>
        <w:t xml:space="preserve"> leadership or economic penalties.</w:t>
      </w: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</w:p>
    <w:p w:rsidR="002178CD" w:rsidRPr="00D43B3C" w:rsidRDefault="002178CD" w:rsidP="002178CD">
      <w:pPr>
        <w:rPr>
          <w:color w:val="0E0E0E"/>
        </w:rPr>
      </w:pPr>
      <w:r w:rsidRPr="00D43B3C">
        <w:rPr>
          <w:b/>
          <w:bCs/>
          <w:color w:val="0E0E0E"/>
        </w:rPr>
        <w:t>4. Simulation Outputs</w:t>
      </w:r>
    </w:p>
    <w:p w:rsidR="002178CD" w:rsidRPr="00D43B3C" w:rsidRDefault="002178CD" w:rsidP="002178CD">
      <w:pPr>
        <w:spacing w:before="180"/>
        <w:ind w:hanging="1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r w:rsidRPr="00D43B3C">
        <w:rPr>
          <w:b/>
          <w:bCs/>
          <w:color w:val="0E0E0E"/>
        </w:rPr>
        <w:t>Blue Curve (</w:t>
      </w:r>
      <w:proofErr w:type="gramStart"/>
      <w:r w:rsidRPr="00D43B3C">
        <w:rPr>
          <w:color w:val="000000"/>
        </w:rPr>
        <w:t>X(</w:t>
      </w:r>
      <w:proofErr w:type="gramEnd"/>
      <w:r w:rsidRPr="00D43B3C">
        <w:rPr>
          <w:color w:val="000000"/>
        </w:rPr>
        <w:t>t)</w:t>
      </w:r>
      <w:r w:rsidRPr="00D43B3C">
        <w:rPr>
          <w:b/>
          <w:bCs/>
          <w:color w:val="0E0E0E"/>
        </w:rPr>
        <w:t>):</w:t>
      </w:r>
      <w:r w:rsidRPr="00D43B3C">
        <w:rPr>
          <w:color w:val="0E0E0E"/>
        </w:rPr>
        <w:t xml:space="preserve"> US export control intensity fluctuates in response to China’s adaptive investments and the evolving global technology regime.</w:t>
      </w:r>
    </w:p>
    <w:p w:rsidR="002178CD" w:rsidRPr="00D43B3C" w:rsidRDefault="002178CD" w:rsidP="002178CD">
      <w:pPr>
        <w:spacing w:before="180"/>
        <w:ind w:hanging="1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r w:rsidRPr="00D43B3C">
        <w:rPr>
          <w:b/>
          <w:bCs/>
          <w:color w:val="0E0E0E"/>
        </w:rPr>
        <w:t>Red Curve (</w:t>
      </w:r>
      <w:proofErr w:type="gramStart"/>
      <w:r w:rsidRPr="00D43B3C">
        <w:rPr>
          <w:color w:val="000000"/>
        </w:rPr>
        <w:t>Y(</w:t>
      </w:r>
      <w:proofErr w:type="gramEnd"/>
      <w:r w:rsidRPr="00D43B3C">
        <w:rPr>
          <w:color w:val="000000"/>
        </w:rPr>
        <w:t>t)</w:t>
      </w:r>
      <w:r w:rsidRPr="00D43B3C">
        <w:rPr>
          <w:b/>
          <w:bCs/>
          <w:color w:val="0E0E0E"/>
        </w:rPr>
        <w:t>):</w:t>
      </w:r>
      <w:r w:rsidRPr="00D43B3C">
        <w:rPr>
          <w:color w:val="0E0E0E"/>
        </w:rPr>
        <w:t xml:space="preserve"> China’s investment trajectory initially grows rapidly but slows as costs rise and returns diminish.</w:t>
      </w:r>
    </w:p>
    <w:p w:rsidR="002178CD" w:rsidRPr="00D43B3C" w:rsidRDefault="002178CD" w:rsidP="002178CD">
      <w:pPr>
        <w:spacing w:before="180"/>
        <w:ind w:hanging="15"/>
        <w:rPr>
          <w:color w:val="0E0E0E"/>
        </w:rPr>
      </w:pPr>
      <w:r w:rsidRPr="00D43B3C">
        <w:rPr>
          <w:color w:val="0E0E0E"/>
        </w:rPr>
        <w:tab/>
        <w:t>•</w:t>
      </w:r>
      <w:r w:rsidRPr="00D43B3C">
        <w:rPr>
          <w:color w:val="0E0E0E"/>
        </w:rPr>
        <w:tab/>
      </w:r>
      <w:r w:rsidRPr="00D43B3C">
        <w:rPr>
          <w:b/>
          <w:bCs/>
          <w:color w:val="0E0E0E"/>
        </w:rPr>
        <w:t>Green Curve (</w:t>
      </w:r>
      <w:proofErr w:type="gramStart"/>
      <w:r w:rsidRPr="00D43B3C">
        <w:rPr>
          <w:color w:val="000000"/>
        </w:rPr>
        <w:t>Z(</w:t>
      </w:r>
      <w:proofErr w:type="gramEnd"/>
      <w:r w:rsidRPr="00D43B3C">
        <w:rPr>
          <w:color w:val="000000"/>
        </w:rPr>
        <w:t>t)</w:t>
      </w:r>
      <w:r w:rsidRPr="00D43B3C">
        <w:rPr>
          <w:b/>
          <w:bCs/>
          <w:color w:val="0E0E0E"/>
        </w:rPr>
        <w:t>):</w:t>
      </w:r>
      <w:r w:rsidRPr="00D43B3C">
        <w:rPr>
          <w:color w:val="0E0E0E"/>
        </w:rPr>
        <w:t xml:space="preserve"> The global technology regime gradually transitions toward bifurcation, reflecting the cumulative effect of US export controls and China’s counterstrategies.</w:t>
      </w:r>
    </w:p>
    <w:p w:rsidR="002178CD" w:rsidRPr="00B02FEA" w:rsidRDefault="002178CD" w:rsidP="002178CD">
      <w:pPr>
        <w:pStyle w:val="NormalWeb"/>
        <w:rPr>
          <w:color w:val="000000"/>
        </w:rPr>
      </w:pPr>
    </w:p>
    <w:p w:rsidR="000463B8" w:rsidRPr="002178CD" w:rsidRDefault="000463B8" w:rsidP="002178CD">
      <w:bookmarkStart w:id="0" w:name="_GoBack"/>
      <w:bookmarkEnd w:id="0"/>
    </w:p>
    <w:sectPr w:rsidR="000463B8" w:rsidRPr="002178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C2"/>
    <w:rsid w:val="000463B8"/>
    <w:rsid w:val="000B0856"/>
    <w:rsid w:val="000D53C1"/>
    <w:rsid w:val="001343C2"/>
    <w:rsid w:val="002178CD"/>
    <w:rsid w:val="00515DF3"/>
    <w:rsid w:val="006839C3"/>
    <w:rsid w:val="007F2367"/>
    <w:rsid w:val="00BD6D6B"/>
    <w:rsid w:val="00CC4F41"/>
    <w:rsid w:val="00E4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43C2"/>
    <w:rPr>
      <w:b/>
      <w:bCs/>
    </w:rPr>
  </w:style>
  <w:style w:type="paragraph" w:customStyle="1" w:styleId="p1">
    <w:name w:val="p1"/>
    <w:basedOn w:val="Normal"/>
    <w:rsid w:val="001343C2"/>
    <w:rPr>
      <w:rFonts w:ascii=".AppleSystemUIFont" w:hAnsi=".AppleSystemUIFont"/>
      <w:color w:val="0E0E0E"/>
      <w:sz w:val="21"/>
      <w:szCs w:val="21"/>
    </w:rPr>
  </w:style>
  <w:style w:type="paragraph" w:styleId="NormalWeb">
    <w:name w:val="Normal (Web)"/>
    <w:basedOn w:val="Normal"/>
    <w:uiPriority w:val="99"/>
    <w:unhideWhenUsed/>
    <w:rsid w:val="002178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178CD"/>
  </w:style>
  <w:style w:type="paragraph" w:styleId="EndnoteText">
    <w:name w:val="endnote text"/>
    <w:basedOn w:val="Normal"/>
    <w:link w:val="EndnoteTextChar"/>
    <w:uiPriority w:val="99"/>
    <w:semiHidden/>
    <w:unhideWhenUsed/>
    <w:rsid w:val="002178CD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78CD"/>
    <w:rPr>
      <w:kern w:val="2"/>
      <w:sz w:val="20"/>
      <w:szCs w:val="20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8C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43C2"/>
    <w:rPr>
      <w:b/>
      <w:bCs/>
    </w:rPr>
  </w:style>
  <w:style w:type="paragraph" w:customStyle="1" w:styleId="p1">
    <w:name w:val="p1"/>
    <w:basedOn w:val="Normal"/>
    <w:rsid w:val="001343C2"/>
    <w:rPr>
      <w:rFonts w:ascii=".AppleSystemUIFont" w:hAnsi=".AppleSystemUIFont"/>
      <w:color w:val="0E0E0E"/>
      <w:sz w:val="21"/>
      <w:szCs w:val="21"/>
    </w:rPr>
  </w:style>
  <w:style w:type="paragraph" w:styleId="NormalWeb">
    <w:name w:val="Normal (Web)"/>
    <w:basedOn w:val="Normal"/>
    <w:uiPriority w:val="99"/>
    <w:unhideWhenUsed/>
    <w:rsid w:val="002178C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178CD"/>
  </w:style>
  <w:style w:type="paragraph" w:styleId="EndnoteText">
    <w:name w:val="endnote text"/>
    <w:basedOn w:val="Normal"/>
    <w:link w:val="EndnoteTextChar"/>
    <w:uiPriority w:val="99"/>
    <w:semiHidden/>
    <w:unhideWhenUsed/>
    <w:rsid w:val="002178CD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178CD"/>
    <w:rPr>
      <w:kern w:val="2"/>
      <w:sz w:val="20"/>
      <w:szCs w:val="20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8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svg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image" Target="media/image1.png"/><Relationship Id="rId28" Type="http://schemas.openxmlformats.org/officeDocument/2006/relationships/theme" Target="theme/theme1.xml"/><Relationship Id="rId4" Type="http://schemas.openxmlformats.org/officeDocument/2006/relationships/webSettings" Target="webSettings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E748116</dc:creator>
  <cp:lastModifiedBy>E748116</cp:lastModifiedBy>
  <cp:revision>2</cp:revision>
  <dcterms:created xsi:type="dcterms:W3CDTF">2025-03-08T00:49:00Z</dcterms:created>
  <dcterms:modified xsi:type="dcterms:W3CDTF">2025-03-08T00:49:00Z</dcterms:modified>
</cp:coreProperties>
</file>