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6EC0B" w14:textId="1865EF9F" w:rsidR="00536F98" w:rsidRPr="00536F98" w:rsidRDefault="00536F98">
      <w:pPr>
        <w:rPr>
          <w:rFonts w:ascii="Times New Roman" w:hAnsi="Times New Roman" w:cs="Times New Roman"/>
          <w:b/>
          <w:bCs/>
          <w:sz w:val="20"/>
          <w:szCs w:val="20"/>
        </w:rPr>
      </w:pPr>
      <w:r w:rsidRPr="00536F98">
        <w:rPr>
          <w:rFonts w:ascii="Times New Roman" w:hAnsi="Times New Roman" w:cs="Times New Roman"/>
          <w:b/>
          <w:bCs/>
          <w:sz w:val="20"/>
          <w:szCs w:val="20"/>
        </w:rPr>
        <w:t>Appendix A</w:t>
      </w:r>
    </w:p>
    <w:p w14:paraId="4EF8A11A" w14:textId="77777777" w:rsidR="00536F98" w:rsidRDefault="00536F9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7"/>
        <w:gridCol w:w="1425"/>
        <w:gridCol w:w="1010"/>
        <w:gridCol w:w="1047"/>
        <w:gridCol w:w="1575"/>
        <w:gridCol w:w="2916"/>
        <w:gridCol w:w="3235"/>
        <w:gridCol w:w="2042"/>
      </w:tblGrid>
      <w:tr w:rsidR="00D24A7B" w:rsidRPr="0043286F" w14:paraId="4E512B4E" w14:textId="77777777" w:rsidTr="0043286F">
        <w:trPr>
          <w:cantSplit/>
          <w:trHeight w:val="340"/>
        </w:trPr>
        <w:tc>
          <w:tcPr>
            <w:tcW w:w="0" w:type="auto"/>
            <w:tcBorders>
              <w:top w:val="single" w:sz="4" w:space="0" w:color="auto"/>
              <w:bottom w:val="single" w:sz="12" w:space="0" w:color="auto"/>
            </w:tcBorders>
            <w:shd w:val="clear" w:color="auto" w:fill="auto"/>
            <w:hideMark/>
          </w:tcPr>
          <w:p w14:paraId="6EEF764F" w14:textId="77777777" w:rsidR="00D24A7B" w:rsidRPr="0043286F" w:rsidRDefault="00D24A7B" w:rsidP="00A5502C">
            <w:pPr>
              <w:rPr>
                <w:rFonts w:ascii="Times New Roman" w:hAnsi="Times New Roman" w:cs="Times New Roman"/>
                <w:sz w:val="15"/>
                <w:szCs w:val="15"/>
              </w:rPr>
            </w:pPr>
            <w:r w:rsidRPr="00A5502C">
              <w:rPr>
                <w:rFonts w:ascii="Times New Roman" w:hAnsi="Times New Roman" w:cs="Times New Roman"/>
                <w:sz w:val="15"/>
                <w:szCs w:val="15"/>
              </w:rPr>
              <w:t>Author(s) &amp; year</w:t>
            </w:r>
          </w:p>
        </w:tc>
        <w:tc>
          <w:tcPr>
            <w:tcW w:w="0" w:type="auto"/>
            <w:tcBorders>
              <w:top w:val="single" w:sz="4" w:space="0" w:color="auto"/>
              <w:bottom w:val="single" w:sz="12" w:space="0" w:color="auto"/>
            </w:tcBorders>
            <w:shd w:val="clear" w:color="auto" w:fill="auto"/>
            <w:hideMark/>
          </w:tcPr>
          <w:p w14:paraId="739AB6D9" w14:textId="77777777" w:rsidR="00D24A7B" w:rsidRPr="00A5502C" w:rsidRDefault="00D24A7B" w:rsidP="00A5502C">
            <w:pPr>
              <w:rPr>
                <w:rFonts w:ascii="Times New Roman" w:hAnsi="Times New Roman" w:cs="Times New Roman"/>
                <w:sz w:val="15"/>
                <w:szCs w:val="15"/>
              </w:rPr>
            </w:pPr>
            <w:r w:rsidRPr="00A5502C">
              <w:rPr>
                <w:rFonts w:ascii="Times New Roman" w:hAnsi="Times New Roman" w:cs="Times New Roman"/>
                <w:sz w:val="15"/>
                <w:szCs w:val="15"/>
              </w:rPr>
              <w:t>Methodology</w:t>
            </w:r>
          </w:p>
        </w:tc>
        <w:tc>
          <w:tcPr>
            <w:tcW w:w="0" w:type="auto"/>
            <w:tcBorders>
              <w:top w:val="single" w:sz="4" w:space="0" w:color="auto"/>
              <w:bottom w:val="single" w:sz="12" w:space="0" w:color="auto"/>
            </w:tcBorders>
            <w:shd w:val="clear" w:color="auto" w:fill="auto"/>
            <w:hideMark/>
          </w:tcPr>
          <w:p w14:paraId="1165904E" w14:textId="77777777" w:rsidR="00D24A7B" w:rsidRPr="00A5502C" w:rsidRDefault="00D24A7B" w:rsidP="00A5502C">
            <w:pPr>
              <w:rPr>
                <w:rFonts w:ascii="Times New Roman" w:hAnsi="Times New Roman" w:cs="Times New Roman"/>
                <w:sz w:val="15"/>
                <w:szCs w:val="15"/>
              </w:rPr>
            </w:pPr>
            <w:r w:rsidRPr="00A5502C">
              <w:rPr>
                <w:rFonts w:ascii="Times New Roman" w:hAnsi="Times New Roman" w:cs="Times New Roman"/>
                <w:sz w:val="15"/>
                <w:szCs w:val="15"/>
              </w:rPr>
              <w:t>Study Context</w:t>
            </w:r>
          </w:p>
        </w:tc>
        <w:tc>
          <w:tcPr>
            <w:tcW w:w="0" w:type="auto"/>
            <w:tcBorders>
              <w:top w:val="single" w:sz="4" w:space="0" w:color="auto"/>
              <w:bottom w:val="single" w:sz="12" w:space="0" w:color="auto"/>
            </w:tcBorders>
            <w:shd w:val="clear" w:color="auto" w:fill="auto"/>
            <w:hideMark/>
          </w:tcPr>
          <w:p w14:paraId="005DC25A" w14:textId="77777777" w:rsidR="00D24A7B" w:rsidRPr="00A5502C" w:rsidRDefault="00D24A7B" w:rsidP="00A5502C">
            <w:pPr>
              <w:rPr>
                <w:rFonts w:ascii="Times New Roman" w:hAnsi="Times New Roman" w:cs="Times New Roman"/>
                <w:sz w:val="15"/>
                <w:szCs w:val="15"/>
              </w:rPr>
            </w:pPr>
            <w:r w:rsidRPr="00A5502C">
              <w:rPr>
                <w:rFonts w:ascii="Times New Roman" w:hAnsi="Times New Roman" w:cs="Times New Roman"/>
                <w:sz w:val="15"/>
                <w:szCs w:val="15"/>
              </w:rPr>
              <w:t>Domain</w:t>
            </w:r>
          </w:p>
        </w:tc>
        <w:tc>
          <w:tcPr>
            <w:tcW w:w="0" w:type="auto"/>
            <w:tcBorders>
              <w:top w:val="single" w:sz="4" w:space="0" w:color="auto"/>
              <w:bottom w:val="single" w:sz="12" w:space="0" w:color="auto"/>
            </w:tcBorders>
            <w:shd w:val="clear" w:color="auto" w:fill="auto"/>
            <w:hideMark/>
          </w:tcPr>
          <w:p w14:paraId="27F5AB26" w14:textId="77777777" w:rsidR="00D24A7B" w:rsidRPr="00A5502C" w:rsidRDefault="00D24A7B" w:rsidP="00A5502C">
            <w:pPr>
              <w:rPr>
                <w:rFonts w:ascii="Times New Roman" w:hAnsi="Times New Roman" w:cs="Times New Roman"/>
                <w:sz w:val="15"/>
                <w:szCs w:val="15"/>
              </w:rPr>
            </w:pPr>
            <w:r w:rsidRPr="00A5502C">
              <w:rPr>
                <w:rFonts w:ascii="Times New Roman" w:hAnsi="Times New Roman" w:cs="Times New Roman"/>
                <w:sz w:val="15"/>
                <w:szCs w:val="15"/>
              </w:rPr>
              <w:t>Study Population</w:t>
            </w:r>
          </w:p>
        </w:tc>
        <w:tc>
          <w:tcPr>
            <w:tcW w:w="0" w:type="auto"/>
            <w:tcBorders>
              <w:top w:val="single" w:sz="4" w:space="0" w:color="auto"/>
              <w:bottom w:val="single" w:sz="12" w:space="0" w:color="auto"/>
            </w:tcBorders>
            <w:shd w:val="clear" w:color="auto" w:fill="auto"/>
            <w:hideMark/>
          </w:tcPr>
          <w:p w14:paraId="16B389FB" w14:textId="77777777" w:rsidR="00D24A7B" w:rsidRPr="00A5502C" w:rsidRDefault="00D24A7B" w:rsidP="00A5502C">
            <w:pPr>
              <w:rPr>
                <w:rFonts w:ascii="Times New Roman" w:hAnsi="Times New Roman" w:cs="Times New Roman"/>
                <w:sz w:val="15"/>
                <w:szCs w:val="15"/>
              </w:rPr>
            </w:pPr>
            <w:r w:rsidRPr="00A5502C">
              <w:rPr>
                <w:rFonts w:ascii="Times New Roman" w:hAnsi="Times New Roman" w:cs="Times New Roman"/>
                <w:sz w:val="15"/>
                <w:szCs w:val="15"/>
              </w:rPr>
              <w:t>Definition or Description of ID</w:t>
            </w:r>
          </w:p>
        </w:tc>
        <w:tc>
          <w:tcPr>
            <w:tcW w:w="0" w:type="auto"/>
            <w:tcBorders>
              <w:top w:val="single" w:sz="4" w:space="0" w:color="auto"/>
              <w:bottom w:val="single" w:sz="12" w:space="0" w:color="auto"/>
            </w:tcBorders>
            <w:shd w:val="clear" w:color="auto" w:fill="auto"/>
            <w:hideMark/>
          </w:tcPr>
          <w:p w14:paraId="0A37E845" w14:textId="77777777" w:rsidR="00D24A7B" w:rsidRPr="00A5502C" w:rsidRDefault="00D24A7B" w:rsidP="00A5502C">
            <w:pPr>
              <w:rPr>
                <w:rFonts w:ascii="Times New Roman" w:hAnsi="Times New Roman" w:cs="Times New Roman"/>
                <w:sz w:val="15"/>
                <w:szCs w:val="15"/>
              </w:rPr>
            </w:pPr>
            <w:r w:rsidRPr="00A5502C">
              <w:rPr>
                <w:rFonts w:ascii="Times New Roman" w:hAnsi="Times New Roman" w:cs="Times New Roman"/>
                <w:sz w:val="15"/>
                <w:szCs w:val="15"/>
              </w:rPr>
              <w:t>Definition or Description IDs</w:t>
            </w:r>
          </w:p>
        </w:tc>
        <w:tc>
          <w:tcPr>
            <w:tcW w:w="0" w:type="auto"/>
            <w:tcBorders>
              <w:top w:val="single" w:sz="4" w:space="0" w:color="auto"/>
              <w:bottom w:val="single" w:sz="4" w:space="0" w:color="auto"/>
            </w:tcBorders>
            <w:shd w:val="clear" w:color="auto" w:fill="auto"/>
          </w:tcPr>
          <w:p w14:paraId="372A21C9" w14:textId="15BA36AC" w:rsidR="00D24A7B" w:rsidRPr="00A5502C" w:rsidRDefault="00D24A7B" w:rsidP="00A5502C">
            <w:pPr>
              <w:rPr>
                <w:rFonts w:ascii="Times New Roman" w:hAnsi="Times New Roman" w:cs="Times New Roman"/>
                <w:sz w:val="15"/>
                <w:szCs w:val="15"/>
              </w:rPr>
            </w:pPr>
            <w:r>
              <w:rPr>
                <w:rFonts w:ascii="Times New Roman" w:hAnsi="Times New Roman" w:cs="Times New Roman"/>
                <w:sz w:val="15"/>
                <w:szCs w:val="15"/>
              </w:rPr>
              <w:t>Recommendations</w:t>
            </w:r>
          </w:p>
        </w:tc>
      </w:tr>
      <w:tr w:rsidR="00D24A7B" w:rsidRPr="0043286F" w14:paraId="70E2254E" w14:textId="77777777" w:rsidTr="0043286F">
        <w:trPr>
          <w:cantSplit/>
          <w:trHeight w:val="340"/>
        </w:trPr>
        <w:tc>
          <w:tcPr>
            <w:tcW w:w="0" w:type="auto"/>
            <w:tcBorders>
              <w:top w:val="single" w:sz="12" w:space="0" w:color="auto"/>
            </w:tcBorders>
            <w:shd w:val="clear" w:color="auto" w:fill="auto"/>
            <w:hideMark/>
          </w:tcPr>
          <w:p w14:paraId="1AF73A30" w14:textId="77777777" w:rsidR="00D24A7B" w:rsidRPr="00A5502C" w:rsidRDefault="00D24A7B" w:rsidP="0043286F">
            <w:pPr>
              <w:rPr>
                <w:rFonts w:ascii="Times New Roman" w:hAnsi="Times New Roman" w:cs="Times New Roman"/>
                <w:sz w:val="15"/>
                <w:szCs w:val="15"/>
              </w:rPr>
            </w:pPr>
            <w:proofErr w:type="spellStart"/>
            <w:r w:rsidRPr="00A5502C">
              <w:rPr>
                <w:rFonts w:ascii="Times New Roman" w:hAnsi="Times New Roman" w:cs="Times New Roman"/>
                <w:sz w:val="15"/>
                <w:szCs w:val="15"/>
              </w:rPr>
              <w:t>Alromaih</w:t>
            </w:r>
            <w:proofErr w:type="spellEnd"/>
            <w:r w:rsidRPr="00A5502C">
              <w:rPr>
                <w:rFonts w:ascii="Times New Roman" w:hAnsi="Times New Roman" w:cs="Times New Roman"/>
                <w:sz w:val="15"/>
                <w:szCs w:val="15"/>
              </w:rPr>
              <w:t xml:space="preserve"> et al. (2022)</w:t>
            </w:r>
          </w:p>
        </w:tc>
        <w:tc>
          <w:tcPr>
            <w:tcW w:w="0" w:type="auto"/>
            <w:tcBorders>
              <w:top w:val="single" w:sz="12" w:space="0" w:color="auto"/>
            </w:tcBorders>
            <w:shd w:val="clear" w:color="auto" w:fill="auto"/>
            <w:hideMark/>
          </w:tcPr>
          <w:p w14:paraId="197FF7A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Quantitative, quasi-experimental</w:t>
            </w:r>
          </w:p>
        </w:tc>
        <w:tc>
          <w:tcPr>
            <w:tcW w:w="0" w:type="auto"/>
            <w:tcBorders>
              <w:top w:val="single" w:sz="12" w:space="0" w:color="auto"/>
            </w:tcBorders>
            <w:shd w:val="clear" w:color="auto" w:fill="auto"/>
            <w:hideMark/>
          </w:tcPr>
          <w:p w14:paraId="5D4CFF6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tcBorders>
              <w:top w:val="single" w:sz="12" w:space="0" w:color="auto"/>
            </w:tcBorders>
            <w:shd w:val="clear" w:color="auto" w:fill="auto"/>
            <w:hideMark/>
          </w:tcPr>
          <w:p w14:paraId="6DEE4F81"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Teacher education</w:t>
            </w:r>
          </w:p>
        </w:tc>
        <w:tc>
          <w:tcPr>
            <w:tcW w:w="0" w:type="auto"/>
            <w:tcBorders>
              <w:top w:val="single" w:sz="12" w:space="0" w:color="auto"/>
            </w:tcBorders>
            <w:shd w:val="clear" w:color="auto" w:fill="auto"/>
            <w:hideMark/>
          </w:tcPr>
          <w:p w14:paraId="6A6D0032"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Female student teachers on early childhood education in Saudi Arabia</w:t>
            </w:r>
          </w:p>
        </w:tc>
        <w:tc>
          <w:tcPr>
            <w:tcW w:w="0" w:type="auto"/>
            <w:tcBorders>
              <w:top w:val="single" w:sz="12" w:space="0" w:color="auto"/>
            </w:tcBorders>
            <w:shd w:val="clear" w:color="auto" w:fill="auto"/>
            <w:hideMark/>
          </w:tcPr>
          <w:p w14:paraId="72AD736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 refers to a series of systematic processes that translate principles of learning and teaching into practical plans for the development of instructional materials, activities, information sources, and assessment.</w:t>
            </w:r>
          </w:p>
        </w:tc>
        <w:tc>
          <w:tcPr>
            <w:tcW w:w="0" w:type="auto"/>
            <w:tcBorders>
              <w:top w:val="single" w:sz="12" w:space="0" w:color="auto"/>
            </w:tcBorders>
            <w:shd w:val="clear" w:color="auto" w:fill="auto"/>
            <w:hideMark/>
          </w:tcPr>
          <w:p w14:paraId="3051C6A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Teachers are instructional designers</w:t>
            </w:r>
          </w:p>
        </w:tc>
        <w:tc>
          <w:tcPr>
            <w:tcW w:w="0" w:type="auto"/>
            <w:tcBorders>
              <w:top w:val="single" w:sz="4" w:space="0" w:color="auto"/>
              <w:left w:val="nil"/>
              <w:right w:val="nil"/>
            </w:tcBorders>
            <w:shd w:val="clear" w:color="auto" w:fill="auto"/>
          </w:tcPr>
          <w:p w14:paraId="63E28C67" w14:textId="6E2F7FE7"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Use project-based learning</w:t>
            </w:r>
          </w:p>
        </w:tc>
      </w:tr>
      <w:tr w:rsidR="00D24A7B" w:rsidRPr="0043286F" w14:paraId="4E6946A4" w14:textId="77777777" w:rsidTr="0043286F">
        <w:trPr>
          <w:cantSplit/>
          <w:trHeight w:val="340"/>
        </w:trPr>
        <w:tc>
          <w:tcPr>
            <w:tcW w:w="0" w:type="auto"/>
            <w:shd w:val="clear" w:color="auto" w:fill="auto"/>
            <w:hideMark/>
          </w:tcPr>
          <w:p w14:paraId="2EBE1C98" w14:textId="04389608"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An (202</w:t>
            </w:r>
            <w:r w:rsidR="00716B4F">
              <w:rPr>
                <w:rFonts w:ascii="Times New Roman" w:hAnsi="Times New Roman" w:cs="Times New Roman"/>
                <w:sz w:val="15"/>
                <w:szCs w:val="15"/>
              </w:rPr>
              <w:t>3</w:t>
            </w:r>
            <w:r w:rsidRPr="00A5502C">
              <w:rPr>
                <w:rFonts w:ascii="Times New Roman" w:hAnsi="Times New Roman" w:cs="Times New Roman"/>
                <w:sz w:val="15"/>
                <w:szCs w:val="15"/>
              </w:rPr>
              <w:t>)</w:t>
            </w:r>
          </w:p>
        </w:tc>
        <w:tc>
          <w:tcPr>
            <w:tcW w:w="0" w:type="auto"/>
            <w:shd w:val="clear" w:color="auto" w:fill="auto"/>
            <w:hideMark/>
          </w:tcPr>
          <w:p w14:paraId="4E5BC56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study</w:t>
            </w:r>
          </w:p>
        </w:tc>
        <w:tc>
          <w:tcPr>
            <w:tcW w:w="0" w:type="auto"/>
            <w:shd w:val="clear" w:color="auto" w:fill="auto"/>
            <w:hideMark/>
          </w:tcPr>
          <w:p w14:paraId="31B1575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7B6F6FC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7D21003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Seasoned scholars, professors from the US in IDT field with teaching experience</w:t>
            </w:r>
          </w:p>
        </w:tc>
        <w:tc>
          <w:tcPr>
            <w:tcW w:w="0" w:type="auto"/>
            <w:shd w:val="clear" w:color="auto" w:fill="auto"/>
            <w:hideMark/>
          </w:tcPr>
          <w:p w14:paraId="7611F14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 and Technology (IDT) can be defined as "the study and ethical practice of facilitating learning and improving performance by creating, using, and managing appropriate technological processes and resources” (AECT Definition &amp; Technology Committee, 2008, p. 1)</w:t>
            </w:r>
          </w:p>
        </w:tc>
        <w:tc>
          <w:tcPr>
            <w:tcW w:w="0" w:type="auto"/>
            <w:shd w:val="clear" w:color="auto" w:fill="auto"/>
            <w:hideMark/>
          </w:tcPr>
          <w:p w14:paraId="5BEF8EE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IDT is a multidisciplinary field, and the students and graduates of the IDT programs work in a variety of settings, including K-12, business, government, and higher education. Instructional Designer, Instructional Technologist, Online Learning Specialist, Technology Coordinator, Technology Integration Specialist, Corporate Trainer, Project Manager, Evaluator, Learning Designer, etc. (Martin et al.,2022). While there is a variety of job titles, IDT professionals is used as an umbrella term in this study</w:t>
            </w:r>
          </w:p>
        </w:tc>
        <w:tc>
          <w:tcPr>
            <w:tcW w:w="0" w:type="auto"/>
            <w:tcBorders>
              <w:left w:val="nil"/>
              <w:right w:val="nil"/>
            </w:tcBorders>
            <w:shd w:val="clear" w:color="auto" w:fill="auto"/>
          </w:tcPr>
          <w:p w14:paraId="4C43860F" w14:textId="6FF63489"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 xml:space="preserve">Less required courses and </w:t>
            </w:r>
            <w:r w:rsidR="00536F98" w:rsidRPr="0043286F">
              <w:rPr>
                <w:rFonts w:ascii="Times New Roman" w:hAnsi="Times New Roman" w:cs="Times New Roman"/>
                <w:sz w:val="15"/>
                <w:szCs w:val="15"/>
              </w:rPr>
              <w:t>focusing</w:t>
            </w:r>
            <w:r w:rsidRPr="0043286F">
              <w:rPr>
                <w:rFonts w:ascii="Times New Roman" w:hAnsi="Times New Roman" w:cs="Times New Roman"/>
                <w:sz w:val="15"/>
                <w:szCs w:val="15"/>
              </w:rPr>
              <w:t xml:space="preserve"> on key competencies; focus should be on methods, strategies, design principles, theories, solving complex problems; there is a need for undergraduate level programs</w:t>
            </w:r>
          </w:p>
        </w:tc>
      </w:tr>
      <w:tr w:rsidR="00D24A7B" w:rsidRPr="0043286F" w14:paraId="48DE010C" w14:textId="77777777" w:rsidTr="0043286F">
        <w:trPr>
          <w:cantSplit/>
          <w:trHeight w:val="340"/>
        </w:trPr>
        <w:tc>
          <w:tcPr>
            <w:tcW w:w="0" w:type="auto"/>
            <w:shd w:val="clear" w:color="auto" w:fill="auto"/>
            <w:hideMark/>
          </w:tcPr>
          <w:p w14:paraId="37C7D739"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Anderson et al. (2019)</w:t>
            </w:r>
          </w:p>
        </w:tc>
        <w:tc>
          <w:tcPr>
            <w:tcW w:w="0" w:type="auto"/>
            <w:shd w:val="clear" w:color="auto" w:fill="auto"/>
            <w:hideMark/>
          </w:tcPr>
          <w:p w14:paraId="089870C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Quantitative design</w:t>
            </w:r>
          </w:p>
        </w:tc>
        <w:tc>
          <w:tcPr>
            <w:tcW w:w="0" w:type="auto"/>
            <w:shd w:val="clear" w:color="auto" w:fill="auto"/>
            <w:hideMark/>
          </w:tcPr>
          <w:p w14:paraId="5B2BA902"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Different professional settings</w:t>
            </w:r>
          </w:p>
        </w:tc>
        <w:tc>
          <w:tcPr>
            <w:tcW w:w="0" w:type="auto"/>
            <w:shd w:val="clear" w:color="auto" w:fill="auto"/>
            <w:hideMark/>
          </w:tcPr>
          <w:p w14:paraId="34FF915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Medical education</w:t>
            </w:r>
          </w:p>
        </w:tc>
        <w:tc>
          <w:tcPr>
            <w:tcW w:w="0" w:type="auto"/>
            <w:shd w:val="clear" w:color="auto" w:fill="auto"/>
            <w:hideMark/>
          </w:tcPr>
          <w:p w14:paraId="4B77616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professionals in medical professions</w:t>
            </w:r>
          </w:p>
        </w:tc>
        <w:tc>
          <w:tcPr>
            <w:tcW w:w="0" w:type="auto"/>
            <w:shd w:val="clear" w:color="auto" w:fill="auto"/>
            <w:hideMark/>
          </w:tcPr>
          <w:p w14:paraId="3DE0084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071D5E7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Designer (ID) role to help achieve and elevate results of innovative educational redesigns. They have a variety of titles: educational technologists; instructional system design; education analyst; Academic Technologist; Instructional technology; instructional learning</w:t>
            </w:r>
          </w:p>
        </w:tc>
        <w:tc>
          <w:tcPr>
            <w:tcW w:w="0" w:type="auto"/>
            <w:tcBorders>
              <w:left w:val="nil"/>
              <w:right w:val="nil"/>
            </w:tcBorders>
            <w:shd w:val="clear" w:color="auto" w:fill="auto"/>
          </w:tcPr>
          <w:p w14:paraId="61C378FC" w14:textId="64A7D478"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 xml:space="preserve">Expectation setting from employer side on role, </w:t>
            </w:r>
            <w:r w:rsidR="00536F98" w:rsidRPr="0043286F">
              <w:rPr>
                <w:rFonts w:ascii="Times New Roman" w:hAnsi="Times New Roman" w:cs="Times New Roman"/>
                <w:sz w:val="15"/>
                <w:szCs w:val="15"/>
              </w:rPr>
              <w:t>number</w:t>
            </w:r>
            <w:r w:rsidRPr="0043286F">
              <w:rPr>
                <w:rFonts w:ascii="Times New Roman" w:hAnsi="Times New Roman" w:cs="Times New Roman"/>
                <w:sz w:val="15"/>
                <w:szCs w:val="15"/>
              </w:rPr>
              <w:t xml:space="preserve"> of IDs, hierarchy, skills, recruiting</w:t>
            </w:r>
          </w:p>
        </w:tc>
      </w:tr>
      <w:tr w:rsidR="00D24A7B" w:rsidRPr="0043286F" w14:paraId="0D823A0F" w14:textId="77777777" w:rsidTr="0043286F">
        <w:trPr>
          <w:cantSplit/>
          <w:trHeight w:val="340"/>
        </w:trPr>
        <w:tc>
          <w:tcPr>
            <w:tcW w:w="0" w:type="auto"/>
            <w:shd w:val="clear" w:color="auto" w:fill="auto"/>
            <w:hideMark/>
          </w:tcPr>
          <w:p w14:paraId="07DB1316" w14:textId="77777777" w:rsidR="00D24A7B" w:rsidRPr="00A5502C" w:rsidRDefault="00D24A7B" w:rsidP="0043286F">
            <w:pPr>
              <w:rPr>
                <w:rFonts w:ascii="Times New Roman" w:hAnsi="Times New Roman" w:cs="Times New Roman"/>
                <w:sz w:val="15"/>
                <w:szCs w:val="15"/>
              </w:rPr>
            </w:pPr>
            <w:proofErr w:type="spellStart"/>
            <w:r w:rsidRPr="00A5502C">
              <w:rPr>
                <w:rFonts w:ascii="Times New Roman" w:hAnsi="Times New Roman" w:cs="Times New Roman"/>
                <w:sz w:val="15"/>
                <w:szCs w:val="15"/>
              </w:rPr>
              <w:t>Bigirwa</w:t>
            </w:r>
            <w:proofErr w:type="spellEnd"/>
            <w:r w:rsidRPr="00A5502C">
              <w:rPr>
                <w:rFonts w:ascii="Times New Roman" w:hAnsi="Times New Roman" w:cs="Times New Roman"/>
                <w:sz w:val="15"/>
                <w:szCs w:val="15"/>
              </w:rPr>
              <w:t xml:space="preserve"> et al. (2020)</w:t>
            </w:r>
          </w:p>
        </w:tc>
        <w:tc>
          <w:tcPr>
            <w:tcW w:w="0" w:type="auto"/>
            <w:shd w:val="clear" w:color="auto" w:fill="auto"/>
            <w:hideMark/>
          </w:tcPr>
          <w:p w14:paraId="7A77F1C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Explanatory sequential mixed-methods design</w:t>
            </w:r>
          </w:p>
        </w:tc>
        <w:tc>
          <w:tcPr>
            <w:tcW w:w="0" w:type="auto"/>
            <w:shd w:val="clear" w:color="auto" w:fill="auto"/>
            <w:hideMark/>
          </w:tcPr>
          <w:p w14:paraId="668367BC"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5A2F8EA8"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Vocational education (Midwifery)</w:t>
            </w:r>
          </w:p>
        </w:tc>
        <w:tc>
          <w:tcPr>
            <w:tcW w:w="0" w:type="auto"/>
            <w:shd w:val="clear" w:color="auto" w:fill="auto"/>
            <w:hideMark/>
          </w:tcPr>
          <w:p w14:paraId="6D80AA6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Midwifery school tutors/students </w:t>
            </w:r>
          </w:p>
        </w:tc>
        <w:tc>
          <w:tcPr>
            <w:tcW w:w="0" w:type="auto"/>
            <w:shd w:val="clear" w:color="auto" w:fill="auto"/>
            <w:hideMark/>
          </w:tcPr>
          <w:p w14:paraId="7C17314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Instructional design is defined as a process of </w:t>
            </w:r>
            <w:proofErr w:type="spellStart"/>
            <w:r w:rsidRPr="00A5502C">
              <w:rPr>
                <w:rFonts w:ascii="Times New Roman" w:hAnsi="Times New Roman" w:cs="Times New Roman"/>
                <w:sz w:val="15"/>
                <w:szCs w:val="15"/>
              </w:rPr>
              <w:t>analysing</w:t>
            </w:r>
            <w:proofErr w:type="spellEnd"/>
            <w:r w:rsidRPr="00A5502C">
              <w:rPr>
                <w:rFonts w:ascii="Times New Roman" w:hAnsi="Times New Roman" w:cs="Times New Roman"/>
                <w:sz w:val="15"/>
                <w:szCs w:val="15"/>
              </w:rPr>
              <w:t xml:space="preserve"> learning needs and goals and the development of a delivery system to meet those needs. It includes development of instructional materials and activities and evaluation of all instruction and learner activities (Berger and Kam, 1996). In e-learning, instruction design is the process where learning, not technology, is kept at the </w:t>
            </w:r>
            <w:proofErr w:type="spellStart"/>
            <w:r w:rsidRPr="00A5502C">
              <w:rPr>
                <w:rFonts w:ascii="Times New Roman" w:hAnsi="Times New Roman" w:cs="Times New Roman"/>
                <w:sz w:val="15"/>
                <w:szCs w:val="15"/>
              </w:rPr>
              <w:t>centre</w:t>
            </w:r>
            <w:proofErr w:type="spellEnd"/>
            <w:r w:rsidRPr="00A5502C">
              <w:rPr>
                <w:rFonts w:ascii="Times New Roman" w:hAnsi="Times New Roman" w:cs="Times New Roman"/>
                <w:sz w:val="15"/>
                <w:szCs w:val="15"/>
              </w:rPr>
              <w:t xml:space="preserve"> of e-learning development (Siemens, 2002). Instructional design is like a roadmap for learning.</w:t>
            </w:r>
          </w:p>
        </w:tc>
        <w:tc>
          <w:tcPr>
            <w:tcW w:w="0" w:type="auto"/>
            <w:shd w:val="clear" w:color="auto" w:fill="auto"/>
            <w:hideMark/>
          </w:tcPr>
          <w:p w14:paraId="0903189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Petty (2005) argues that instructional design for e-learning requires that faculty possess a conceptual model of instructional design for both traditional and virtual classrooms.</w:t>
            </w:r>
          </w:p>
        </w:tc>
        <w:tc>
          <w:tcPr>
            <w:tcW w:w="0" w:type="auto"/>
            <w:tcBorders>
              <w:left w:val="nil"/>
              <w:right w:val="nil"/>
            </w:tcBorders>
            <w:shd w:val="clear" w:color="auto" w:fill="auto"/>
          </w:tcPr>
          <w:p w14:paraId="1CBDC788" w14:textId="4C09F1DF"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Establish own instructional design model for learning program</w:t>
            </w:r>
          </w:p>
        </w:tc>
      </w:tr>
      <w:tr w:rsidR="00D24A7B" w:rsidRPr="0043286F" w14:paraId="2089D752" w14:textId="77777777" w:rsidTr="0043286F">
        <w:trPr>
          <w:cantSplit/>
          <w:trHeight w:val="340"/>
        </w:trPr>
        <w:tc>
          <w:tcPr>
            <w:tcW w:w="0" w:type="auto"/>
            <w:shd w:val="clear" w:color="auto" w:fill="auto"/>
            <w:hideMark/>
          </w:tcPr>
          <w:p w14:paraId="57FA112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Brill (2016)</w:t>
            </w:r>
          </w:p>
        </w:tc>
        <w:tc>
          <w:tcPr>
            <w:tcW w:w="0" w:type="auto"/>
            <w:shd w:val="clear" w:color="auto" w:fill="auto"/>
            <w:hideMark/>
          </w:tcPr>
          <w:p w14:paraId="2F7054B1"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Mixed-method study</w:t>
            </w:r>
          </w:p>
        </w:tc>
        <w:tc>
          <w:tcPr>
            <w:tcW w:w="0" w:type="auto"/>
            <w:shd w:val="clear" w:color="auto" w:fill="auto"/>
            <w:hideMark/>
          </w:tcPr>
          <w:p w14:paraId="036DD02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26D68D48"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pedagogy via HE</w:t>
            </w:r>
          </w:p>
        </w:tc>
        <w:tc>
          <w:tcPr>
            <w:tcW w:w="0" w:type="auto"/>
            <w:shd w:val="clear" w:color="auto" w:fill="auto"/>
            <w:hideMark/>
          </w:tcPr>
          <w:p w14:paraId="0FF6D05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First semester students of IDT majors required course</w:t>
            </w:r>
          </w:p>
        </w:tc>
        <w:tc>
          <w:tcPr>
            <w:tcW w:w="0" w:type="auto"/>
            <w:shd w:val="clear" w:color="auto" w:fill="auto"/>
            <w:hideMark/>
          </w:tcPr>
          <w:p w14:paraId="0AA32A2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The field of Instructional Design and Technology (IDT) is defined as ‘‘the analysis of learning and performance problems, and the design, development, implementation, evaluation and management of instructional and non-instructional processes and resources intended to improve learning and performance’’ (Reiser 2002, p. 12).</w:t>
            </w:r>
          </w:p>
        </w:tc>
        <w:tc>
          <w:tcPr>
            <w:tcW w:w="0" w:type="auto"/>
            <w:shd w:val="clear" w:color="auto" w:fill="auto"/>
            <w:hideMark/>
          </w:tcPr>
          <w:p w14:paraId="6F72D24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Novice designers, most of whom enter graduate IDT programs with education and experience in other fields but little experience collaborating in a design discipline,</w:t>
            </w:r>
          </w:p>
        </w:tc>
        <w:tc>
          <w:tcPr>
            <w:tcW w:w="0" w:type="auto"/>
            <w:tcBorders>
              <w:left w:val="nil"/>
              <w:right w:val="nil"/>
            </w:tcBorders>
            <w:shd w:val="clear" w:color="auto" w:fill="auto"/>
          </w:tcPr>
          <w:p w14:paraId="07E5D272" w14:textId="3490E8EE"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Foster understanding of ID; integrate peer review in ID education; participating in ID product improvement; create templates for practice</w:t>
            </w:r>
          </w:p>
        </w:tc>
      </w:tr>
      <w:tr w:rsidR="00D24A7B" w:rsidRPr="0043286F" w14:paraId="7AB9A0B1" w14:textId="77777777" w:rsidTr="0043286F">
        <w:trPr>
          <w:cantSplit/>
          <w:trHeight w:val="340"/>
        </w:trPr>
        <w:tc>
          <w:tcPr>
            <w:tcW w:w="0" w:type="auto"/>
            <w:shd w:val="clear" w:color="auto" w:fill="auto"/>
            <w:hideMark/>
          </w:tcPr>
          <w:p w14:paraId="631634F6" w14:textId="77777777" w:rsidR="00D24A7B" w:rsidRPr="00A5502C" w:rsidRDefault="00D24A7B" w:rsidP="0043286F">
            <w:pPr>
              <w:rPr>
                <w:rFonts w:ascii="Times New Roman" w:hAnsi="Times New Roman" w:cs="Times New Roman"/>
                <w:sz w:val="15"/>
                <w:szCs w:val="15"/>
              </w:rPr>
            </w:pPr>
            <w:proofErr w:type="spellStart"/>
            <w:r w:rsidRPr="00A5502C">
              <w:rPr>
                <w:rFonts w:ascii="Times New Roman" w:hAnsi="Times New Roman" w:cs="Times New Roman"/>
                <w:sz w:val="15"/>
                <w:szCs w:val="15"/>
              </w:rPr>
              <w:lastRenderedPageBreak/>
              <w:t>Caskurlu</w:t>
            </w:r>
            <w:proofErr w:type="spellEnd"/>
            <w:r w:rsidRPr="00A5502C">
              <w:rPr>
                <w:rFonts w:ascii="Times New Roman" w:hAnsi="Times New Roman" w:cs="Times New Roman"/>
                <w:sz w:val="15"/>
                <w:szCs w:val="15"/>
              </w:rPr>
              <w:t xml:space="preserve"> et al. (2021)</w:t>
            </w:r>
          </w:p>
        </w:tc>
        <w:tc>
          <w:tcPr>
            <w:tcW w:w="0" w:type="auto"/>
            <w:shd w:val="clear" w:color="auto" w:fill="auto"/>
            <w:hideMark/>
          </w:tcPr>
          <w:p w14:paraId="65FAA8D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Mixed-method study</w:t>
            </w:r>
          </w:p>
        </w:tc>
        <w:tc>
          <w:tcPr>
            <w:tcW w:w="0" w:type="auto"/>
            <w:shd w:val="clear" w:color="auto" w:fill="auto"/>
            <w:hideMark/>
          </w:tcPr>
          <w:p w14:paraId="5C2C3A6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27C8D29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5E43B08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5 IDs at large midwestern university </w:t>
            </w:r>
          </w:p>
        </w:tc>
        <w:tc>
          <w:tcPr>
            <w:tcW w:w="0" w:type="auto"/>
            <w:shd w:val="clear" w:color="auto" w:fill="auto"/>
            <w:hideMark/>
          </w:tcPr>
          <w:p w14:paraId="65D8751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1EB0DC89" w14:textId="6924516A"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designers as key stakeholders and experts who are knowledgeable and skilled at understanding and designing for quality online learning experiences while managing complex, instructional design tasks. Instructional designers are often considered key stakeholders to support faculty in managing cognitive load (CL) and designing quality online courses (</w:t>
            </w:r>
            <w:r w:rsidR="00536F98" w:rsidRPr="00A5502C">
              <w:rPr>
                <w:rFonts w:ascii="Times New Roman" w:hAnsi="Times New Roman" w:cs="Times New Roman"/>
                <w:sz w:val="15"/>
                <w:szCs w:val="15"/>
              </w:rPr>
              <w:t>e.g.</w:t>
            </w:r>
            <w:r w:rsidRPr="00A5502C">
              <w:rPr>
                <w:rFonts w:ascii="Times New Roman" w:hAnsi="Times New Roman" w:cs="Times New Roman"/>
                <w:sz w:val="15"/>
                <w:szCs w:val="15"/>
              </w:rPr>
              <w:t xml:space="preserve">, Brigance, 2011; </w:t>
            </w:r>
            <w:proofErr w:type="spellStart"/>
            <w:r w:rsidRPr="00A5502C">
              <w:rPr>
                <w:rFonts w:ascii="Times New Roman" w:hAnsi="Times New Roman" w:cs="Times New Roman"/>
                <w:sz w:val="15"/>
                <w:szCs w:val="15"/>
              </w:rPr>
              <w:t>Sentz</w:t>
            </w:r>
            <w:proofErr w:type="spellEnd"/>
            <w:r w:rsidRPr="00A5502C">
              <w:rPr>
                <w:rFonts w:ascii="Times New Roman" w:hAnsi="Times New Roman" w:cs="Times New Roman"/>
                <w:sz w:val="15"/>
                <w:szCs w:val="15"/>
              </w:rPr>
              <w:t xml:space="preserve">, </w:t>
            </w:r>
            <w:proofErr w:type="spellStart"/>
            <w:r w:rsidRPr="00A5502C">
              <w:rPr>
                <w:rFonts w:ascii="Times New Roman" w:hAnsi="Times New Roman" w:cs="Times New Roman"/>
                <w:sz w:val="15"/>
                <w:szCs w:val="15"/>
              </w:rPr>
              <w:t>Stefaniak</w:t>
            </w:r>
            <w:proofErr w:type="spellEnd"/>
            <w:r w:rsidRPr="00A5502C">
              <w:rPr>
                <w:rFonts w:ascii="Times New Roman" w:hAnsi="Times New Roman" w:cs="Times New Roman"/>
                <w:sz w:val="15"/>
                <w:szCs w:val="15"/>
              </w:rPr>
              <w:t xml:space="preserve">, </w:t>
            </w:r>
            <w:proofErr w:type="spellStart"/>
            <w:r w:rsidRPr="00A5502C">
              <w:rPr>
                <w:rFonts w:ascii="Times New Roman" w:hAnsi="Times New Roman" w:cs="Times New Roman"/>
                <w:sz w:val="15"/>
                <w:szCs w:val="15"/>
              </w:rPr>
              <w:t>Baaki</w:t>
            </w:r>
            <w:proofErr w:type="spellEnd"/>
            <w:r w:rsidRPr="00A5502C">
              <w:rPr>
                <w:rFonts w:ascii="Times New Roman" w:hAnsi="Times New Roman" w:cs="Times New Roman"/>
                <w:sz w:val="15"/>
                <w:szCs w:val="15"/>
              </w:rPr>
              <w:t xml:space="preserve">, &amp; </w:t>
            </w:r>
            <w:proofErr w:type="spellStart"/>
            <w:r w:rsidRPr="00A5502C">
              <w:rPr>
                <w:rFonts w:ascii="Times New Roman" w:hAnsi="Times New Roman" w:cs="Times New Roman"/>
                <w:sz w:val="15"/>
                <w:szCs w:val="15"/>
              </w:rPr>
              <w:t>Eckhoff</w:t>
            </w:r>
            <w:proofErr w:type="spellEnd"/>
            <w:r w:rsidRPr="00A5502C">
              <w:rPr>
                <w:rFonts w:ascii="Times New Roman" w:hAnsi="Times New Roman" w:cs="Times New Roman"/>
                <w:sz w:val="15"/>
                <w:szCs w:val="15"/>
              </w:rPr>
              <w:t>, 2019).</w:t>
            </w:r>
          </w:p>
        </w:tc>
        <w:tc>
          <w:tcPr>
            <w:tcW w:w="0" w:type="auto"/>
            <w:tcBorders>
              <w:left w:val="nil"/>
              <w:right w:val="nil"/>
            </w:tcBorders>
            <w:shd w:val="clear" w:color="auto" w:fill="auto"/>
          </w:tcPr>
          <w:p w14:paraId="6EEFFDB4" w14:textId="3644C209"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Basics of ID; use guidelines</w:t>
            </w:r>
          </w:p>
        </w:tc>
      </w:tr>
      <w:tr w:rsidR="00D24A7B" w:rsidRPr="0043286F" w14:paraId="76AD4FB1" w14:textId="77777777" w:rsidTr="0043286F">
        <w:trPr>
          <w:cantSplit/>
          <w:trHeight w:val="340"/>
        </w:trPr>
        <w:tc>
          <w:tcPr>
            <w:tcW w:w="0" w:type="auto"/>
            <w:shd w:val="clear" w:color="auto" w:fill="auto"/>
            <w:hideMark/>
          </w:tcPr>
          <w:p w14:paraId="3E56A90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Cuesta-</w:t>
            </w:r>
            <w:proofErr w:type="spellStart"/>
            <w:r w:rsidRPr="00A5502C">
              <w:rPr>
                <w:rFonts w:ascii="Times New Roman" w:hAnsi="Times New Roman" w:cs="Times New Roman"/>
                <w:sz w:val="15"/>
                <w:szCs w:val="15"/>
              </w:rPr>
              <w:t>Hincapie</w:t>
            </w:r>
            <w:proofErr w:type="spellEnd"/>
            <w:r w:rsidRPr="00A5502C">
              <w:rPr>
                <w:rFonts w:ascii="Times New Roman" w:hAnsi="Times New Roman" w:cs="Times New Roman"/>
                <w:sz w:val="15"/>
                <w:szCs w:val="15"/>
              </w:rPr>
              <w:t xml:space="preserve"> et al. (2024) </w:t>
            </w:r>
          </w:p>
        </w:tc>
        <w:tc>
          <w:tcPr>
            <w:tcW w:w="0" w:type="auto"/>
            <w:shd w:val="clear" w:color="auto" w:fill="auto"/>
            <w:hideMark/>
          </w:tcPr>
          <w:p w14:paraId="1DA0303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study</w:t>
            </w:r>
          </w:p>
        </w:tc>
        <w:tc>
          <w:tcPr>
            <w:tcW w:w="0" w:type="auto"/>
            <w:shd w:val="clear" w:color="auto" w:fill="auto"/>
            <w:hideMark/>
          </w:tcPr>
          <w:p w14:paraId="2566755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66AF54E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6F590FC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Course designers not students - online master’s ID program at a large, land grant, Midwestern</w:t>
            </w:r>
            <w:r w:rsidRPr="00A5502C">
              <w:rPr>
                <w:rFonts w:ascii="Times New Roman" w:hAnsi="Times New Roman" w:cs="Times New Roman"/>
                <w:sz w:val="15"/>
                <w:szCs w:val="15"/>
              </w:rPr>
              <w:br/>
              <w:t>University</w:t>
            </w:r>
          </w:p>
        </w:tc>
        <w:tc>
          <w:tcPr>
            <w:tcW w:w="0" w:type="auto"/>
            <w:shd w:val="clear" w:color="auto" w:fill="auto"/>
            <w:hideMark/>
          </w:tcPr>
          <w:p w14:paraId="46BE909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is a dynamic field focused on designing effective learning experiences using technology (</w:t>
            </w:r>
            <w:proofErr w:type="spellStart"/>
            <w:r w:rsidRPr="00A5502C">
              <w:rPr>
                <w:rFonts w:ascii="Times New Roman" w:hAnsi="Times New Roman" w:cs="Times New Roman"/>
                <w:sz w:val="15"/>
                <w:szCs w:val="15"/>
              </w:rPr>
              <w:t>Hokanson</w:t>
            </w:r>
            <w:proofErr w:type="spellEnd"/>
            <w:r w:rsidRPr="00A5502C">
              <w:rPr>
                <w:rFonts w:ascii="Times New Roman" w:hAnsi="Times New Roman" w:cs="Times New Roman"/>
                <w:sz w:val="15"/>
                <w:szCs w:val="15"/>
              </w:rPr>
              <w:t xml:space="preserve"> et al., 2008). As practiced by professionals today, ID exhibits a high level of variability and complexity (Clinton &amp; </w:t>
            </w:r>
            <w:proofErr w:type="spellStart"/>
            <w:r w:rsidRPr="00A5502C">
              <w:rPr>
                <w:rFonts w:ascii="Times New Roman" w:hAnsi="Times New Roman" w:cs="Times New Roman"/>
                <w:sz w:val="15"/>
                <w:szCs w:val="15"/>
              </w:rPr>
              <w:t>Hokanson</w:t>
            </w:r>
            <w:proofErr w:type="spellEnd"/>
            <w:r w:rsidRPr="00A5502C">
              <w:rPr>
                <w:rFonts w:ascii="Times New Roman" w:hAnsi="Times New Roman" w:cs="Times New Roman"/>
                <w:sz w:val="15"/>
                <w:szCs w:val="15"/>
              </w:rPr>
              <w:t>, 2012). This complexity is reflected in the use of a variety of ID process models, especially for novices.</w:t>
            </w:r>
          </w:p>
        </w:tc>
        <w:tc>
          <w:tcPr>
            <w:tcW w:w="0" w:type="auto"/>
            <w:shd w:val="clear" w:color="auto" w:fill="auto"/>
            <w:hideMark/>
          </w:tcPr>
          <w:p w14:paraId="111A3C67" w14:textId="572FD51E"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Was designed by a full-time faculty member who serves as a “lead instructor.” Lead instructor responsibilities included course design and supervising other instructors who teach sections of that course. </w:t>
            </w:r>
            <w:proofErr w:type="spellStart"/>
            <w:r w:rsidRPr="00A5502C">
              <w:rPr>
                <w:rFonts w:ascii="Times New Roman" w:hAnsi="Times New Roman" w:cs="Times New Roman"/>
                <w:sz w:val="15"/>
                <w:szCs w:val="15"/>
              </w:rPr>
              <w:t>IDers</w:t>
            </w:r>
            <w:proofErr w:type="spellEnd"/>
            <w:r w:rsidRPr="00A5502C">
              <w:rPr>
                <w:rFonts w:ascii="Times New Roman" w:hAnsi="Times New Roman" w:cs="Times New Roman"/>
                <w:sz w:val="15"/>
                <w:szCs w:val="15"/>
              </w:rPr>
              <w:t xml:space="preserve"> are called to design learning environments to foster learners’ creativity (McDonald et al., 2020; Richardson &amp; Mishra, 2018) using a complex contextual analysis of ill-defined learning problems that involve idea generation, reflective judgment, attitudes and dispositions, and </w:t>
            </w:r>
            <w:r w:rsidR="00536F98" w:rsidRPr="00A5502C">
              <w:rPr>
                <w:rFonts w:ascii="Times New Roman" w:hAnsi="Times New Roman" w:cs="Times New Roman"/>
                <w:sz w:val="15"/>
                <w:szCs w:val="15"/>
              </w:rPr>
              <w:t>self-regulation</w:t>
            </w:r>
            <w:r w:rsidRPr="00A5502C">
              <w:rPr>
                <w:rFonts w:ascii="Times New Roman" w:hAnsi="Times New Roman" w:cs="Times New Roman"/>
                <w:sz w:val="15"/>
                <w:szCs w:val="15"/>
              </w:rPr>
              <w:t xml:space="preserve"> (Baum &amp; Newbill, 2010).</w:t>
            </w:r>
          </w:p>
        </w:tc>
        <w:tc>
          <w:tcPr>
            <w:tcW w:w="0" w:type="auto"/>
            <w:tcBorders>
              <w:left w:val="nil"/>
              <w:right w:val="nil"/>
            </w:tcBorders>
            <w:shd w:val="clear" w:color="auto" w:fill="auto"/>
          </w:tcPr>
          <w:p w14:paraId="710407EA" w14:textId="06D4A95E"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Develop creativity and creative thinking as program objective</w:t>
            </w:r>
          </w:p>
        </w:tc>
      </w:tr>
      <w:tr w:rsidR="00D24A7B" w:rsidRPr="0043286F" w14:paraId="4FA31E59" w14:textId="77777777" w:rsidTr="0043286F">
        <w:trPr>
          <w:cantSplit/>
          <w:trHeight w:val="340"/>
        </w:trPr>
        <w:tc>
          <w:tcPr>
            <w:tcW w:w="0" w:type="auto"/>
            <w:shd w:val="clear" w:color="auto" w:fill="auto"/>
            <w:hideMark/>
          </w:tcPr>
          <w:p w14:paraId="71D7359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DeVaughn &amp; </w:t>
            </w:r>
            <w:proofErr w:type="spellStart"/>
            <w:r w:rsidRPr="00A5502C">
              <w:rPr>
                <w:rFonts w:ascii="Times New Roman" w:hAnsi="Times New Roman" w:cs="Times New Roman"/>
                <w:sz w:val="15"/>
                <w:szCs w:val="15"/>
              </w:rPr>
              <w:t>Stefaniak</w:t>
            </w:r>
            <w:proofErr w:type="spellEnd"/>
            <w:r w:rsidRPr="00A5502C">
              <w:rPr>
                <w:rFonts w:ascii="Times New Roman" w:hAnsi="Times New Roman" w:cs="Times New Roman"/>
                <w:sz w:val="15"/>
                <w:szCs w:val="15"/>
              </w:rPr>
              <w:t xml:space="preserve"> (2020)</w:t>
            </w:r>
          </w:p>
        </w:tc>
        <w:tc>
          <w:tcPr>
            <w:tcW w:w="0" w:type="auto"/>
            <w:shd w:val="clear" w:color="auto" w:fill="auto"/>
            <w:hideMark/>
          </w:tcPr>
          <w:p w14:paraId="6830625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study</w:t>
            </w:r>
          </w:p>
        </w:tc>
        <w:tc>
          <w:tcPr>
            <w:tcW w:w="0" w:type="auto"/>
            <w:shd w:val="clear" w:color="auto" w:fill="auto"/>
            <w:hideMark/>
          </w:tcPr>
          <w:p w14:paraId="23394DC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686A225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pedagogy via HE</w:t>
            </w:r>
          </w:p>
        </w:tc>
        <w:tc>
          <w:tcPr>
            <w:tcW w:w="0" w:type="auto"/>
            <w:shd w:val="clear" w:color="auto" w:fill="auto"/>
            <w:hideMark/>
          </w:tcPr>
          <w:p w14:paraId="4AB422E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programs´ faculty and alumni</w:t>
            </w:r>
          </w:p>
        </w:tc>
        <w:tc>
          <w:tcPr>
            <w:tcW w:w="0" w:type="auto"/>
            <w:shd w:val="clear" w:color="auto" w:fill="auto"/>
            <w:hideMark/>
          </w:tcPr>
          <w:p w14:paraId="7BAC7DD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 is described as a defined field with specific concentration boundaries and emphasis (</w:t>
            </w:r>
            <w:proofErr w:type="spellStart"/>
            <w:r w:rsidRPr="00A5502C">
              <w:rPr>
                <w:rFonts w:ascii="Times New Roman" w:hAnsi="Times New Roman" w:cs="Times New Roman"/>
                <w:sz w:val="15"/>
                <w:szCs w:val="15"/>
              </w:rPr>
              <w:t>Koszalka</w:t>
            </w:r>
            <w:proofErr w:type="spellEnd"/>
            <w:r w:rsidRPr="00A5502C">
              <w:rPr>
                <w:rFonts w:ascii="Times New Roman" w:hAnsi="Times New Roman" w:cs="Times New Roman"/>
                <w:sz w:val="15"/>
                <w:szCs w:val="15"/>
              </w:rPr>
              <w:t xml:space="preserve"> et al. 2013).</w:t>
            </w:r>
          </w:p>
        </w:tc>
        <w:tc>
          <w:tcPr>
            <w:tcW w:w="0" w:type="auto"/>
            <w:shd w:val="clear" w:color="auto" w:fill="auto"/>
            <w:hideMark/>
          </w:tcPr>
          <w:p w14:paraId="0922972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Seventy percent of instructional design professionals hold a degree in Instructional Technology or Educational Technology, 9% hold a degree in Instructional Systems, and 43% of these professionals, work in higher education, with 27% working in business and industry (Larson 2004).</w:t>
            </w:r>
          </w:p>
        </w:tc>
        <w:tc>
          <w:tcPr>
            <w:tcW w:w="0" w:type="auto"/>
            <w:tcBorders>
              <w:left w:val="nil"/>
              <w:right w:val="nil"/>
            </w:tcBorders>
            <w:shd w:val="clear" w:color="auto" w:fill="auto"/>
          </w:tcPr>
          <w:p w14:paraId="09F0119D" w14:textId="27722350"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Evaluation competency; Consider industry standards; Analytical skills; Communicating</w:t>
            </w:r>
          </w:p>
        </w:tc>
      </w:tr>
      <w:tr w:rsidR="00D24A7B" w:rsidRPr="0043286F" w14:paraId="5CB7E60E" w14:textId="77777777" w:rsidTr="0043286F">
        <w:trPr>
          <w:cantSplit/>
          <w:trHeight w:val="340"/>
        </w:trPr>
        <w:tc>
          <w:tcPr>
            <w:tcW w:w="0" w:type="auto"/>
            <w:shd w:val="clear" w:color="auto" w:fill="auto"/>
            <w:hideMark/>
          </w:tcPr>
          <w:p w14:paraId="3FD017AC"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lastRenderedPageBreak/>
              <w:t>Drysdale (2021)</w:t>
            </w:r>
          </w:p>
        </w:tc>
        <w:tc>
          <w:tcPr>
            <w:tcW w:w="0" w:type="auto"/>
            <w:shd w:val="clear" w:color="auto" w:fill="auto"/>
            <w:hideMark/>
          </w:tcPr>
          <w:p w14:paraId="2D28E512"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study</w:t>
            </w:r>
          </w:p>
        </w:tc>
        <w:tc>
          <w:tcPr>
            <w:tcW w:w="0" w:type="auto"/>
            <w:shd w:val="clear" w:color="auto" w:fill="auto"/>
            <w:hideMark/>
          </w:tcPr>
          <w:p w14:paraId="14E8B73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3ECA4E8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7232EFF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designers, online faculty, and online learning administrators from each participating university</w:t>
            </w:r>
          </w:p>
        </w:tc>
        <w:tc>
          <w:tcPr>
            <w:tcW w:w="0" w:type="auto"/>
            <w:shd w:val="clear" w:color="auto" w:fill="auto"/>
            <w:hideMark/>
          </w:tcPr>
          <w:p w14:paraId="272E05D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4C13157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designers in higher education are experts in pedagogy; course design and development; teaching with technology; and a host of related skills and practices. They often work alongside faculty to create and redesign courses, equip faculty with new skills through workshops and professional learning, and provide expert coaching on the unique experience of teaching and learning in a digital environment. Instructional designers also conduct and participate in research on teaching and learning (</w:t>
            </w:r>
            <w:proofErr w:type="spellStart"/>
            <w:r w:rsidRPr="00A5502C">
              <w:rPr>
                <w:rFonts w:ascii="Times New Roman" w:hAnsi="Times New Roman" w:cs="Times New Roman"/>
                <w:sz w:val="15"/>
                <w:szCs w:val="15"/>
              </w:rPr>
              <w:t>Beirne</w:t>
            </w:r>
            <w:proofErr w:type="spellEnd"/>
            <w:r w:rsidRPr="00A5502C">
              <w:rPr>
                <w:rFonts w:ascii="Times New Roman" w:hAnsi="Times New Roman" w:cs="Times New Roman"/>
                <w:sz w:val="15"/>
                <w:szCs w:val="15"/>
              </w:rPr>
              <w:t xml:space="preserve"> &amp; </w:t>
            </w:r>
            <w:proofErr w:type="spellStart"/>
            <w:r w:rsidRPr="00A5502C">
              <w:rPr>
                <w:rFonts w:ascii="Times New Roman" w:hAnsi="Times New Roman" w:cs="Times New Roman"/>
                <w:sz w:val="15"/>
                <w:szCs w:val="15"/>
              </w:rPr>
              <w:t>Romanoski</w:t>
            </w:r>
            <w:proofErr w:type="spellEnd"/>
            <w:r w:rsidRPr="00A5502C">
              <w:rPr>
                <w:rFonts w:ascii="Times New Roman" w:hAnsi="Times New Roman" w:cs="Times New Roman"/>
                <w:sz w:val="15"/>
                <w:szCs w:val="15"/>
              </w:rPr>
              <w:t>, 2018). Instructional designers work in a wide variety of organizational structures, varying from institution to institution across a range of different dimensions: centralization, reporting lines, curricular authority, position classification, and others. Instructional designers have identified themselves as working within IT departments, continuing education departments, and academic affairs, as well as in centers for teaching and learning, dedicated online learning teams, and university libraries (Intentional Futures, 2016). The roles of these instructional designers vary from team to team, although there are several key attributes that most instructional designers associate with their roles and work such as course design, course development, technology training, pedagogy, and teaching.</w:t>
            </w:r>
          </w:p>
        </w:tc>
        <w:tc>
          <w:tcPr>
            <w:tcW w:w="0" w:type="auto"/>
            <w:tcBorders>
              <w:left w:val="nil"/>
              <w:right w:val="nil"/>
            </w:tcBorders>
            <w:shd w:val="clear" w:color="auto" w:fill="auto"/>
          </w:tcPr>
          <w:p w14:paraId="13E3DC41" w14:textId="60C17553"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Implement centralized structures; build bigger design teams; leaders of ID teams must have experience in ID</w:t>
            </w:r>
          </w:p>
        </w:tc>
      </w:tr>
      <w:tr w:rsidR="00D24A7B" w:rsidRPr="0043286F" w14:paraId="1815BB11" w14:textId="77777777" w:rsidTr="0043286F">
        <w:trPr>
          <w:cantSplit/>
          <w:trHeight w:val="340"/>
        </w:trPr>
        <w:tc>
          <w:tcPr>
            <w:tcW w:w="0" w:type="auto"/>
            <w:shd w:val="clear" w:color="auto" w:fill="auto"/>
            <w:hideMark/>
          </w:tcPr>
          <w:p w14:paraId="1601881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Fiock et al. (2022)</w:t>
            </w:r>
          </w:p>
        </w:tc>
        <w:tc>
          <w:tcPr>
            <w:tcW w:w="0" w:type="auto"/>
            <w:shd w:val="clear" w:color="auto" w:fill="auto"/>
            <w:hideMark/>
          </w:tcPr>
          <w:p w14:paraId="53CFC95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study</w:t>
            </w:r>
          </w:p>
        </w:tc>
        <w:tc>
          <w:tcPr>
            <w:tcW w:w="0" w:type="auto"/>
            <w:shd w:val="clear" w:color="auto" w:fill="auto"/>
            <w:hideMark/>
          </w:tcPr>
          <w:p w14:paraId="656C757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0CE2FBB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pedagogy via HE</w:t>
            </w:r>
          </w:p>
        </w:tc>
        <w:tc>
          <w:tcPr>
            <w:tcW w:w="0" w:type="auto"/>
            <w:shd w:val="clear" w:color="auto" w:fill="auto"/>
            <w:hideMark/>
          </w:tcPr>
          <w:p w14:paraId="7ADEAE9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US Midwestern public ID program university students </w:t>
            </w:r>
          </w:p>
        </w:tc>
        <w:tc>
          <w:tcPr>
            <w:tcW w:w="0" w:type="auto"/>
            <w:shd w:val="clear" w:color="auto" w:fill="auto"/>
            <w:hideMark/>
          </w:tcPr>
          <w:p w14:paraId="4BDD736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ID theory is not a learning or curriculum theory (i.e., content of instruction or what should be learned) and is not an instructional design process (i.e., a guide, plan, or preparation procedure for instruction; </w:t>
            </w:r>
            <w:proofErr w:type="spellStart"/>
            <w:r w:rsidRPr="00A5502C">
              <w:rPr>
                <w:rFonts w:ascii="Times New Roman" w:hAnsi="Times New Roman" w:cs="Times New Roman"/>
                <w:sz w:val="15"/>
                <w:szCs w:val="15"/>
              </w:rPr>
              <w:t>Reigeluth</w:t>
            </w:r>
            <w:proofErr w:type="spellEnd"/>
            <w:r w:rsidRPr="00A5502C">
              <w:rPr>
                <w:rFonts w:ascii="Times New Roman" w:hAnsi="Times New Roman" w:cs="Times New Roman"/>
                <w:sz w:val="15"/>
                <w:szCs w:val="15"/>
              </w:rPr>
              <w:t>, 1999, p. 12). Rather, ID theory “offers guidance on how to better help people learn and develop” and is described as design-oriented, prescriptive, and probabilistic (</w:t>
            </w:r>
            <w:proofErr w:type="spellStart"/>
            <w:r w:rsidRPr="00A5502C">
              <w:rPr>
                <w:rFonts w:ascii="Times New Roman" w:hAnsi="Times New Roman" w:cs="Times New Roman"/>
                <w:sz w:val="15"/>
                <w:szCs w:val="15"/>
              </w:rPr>
              <w:t>Reigeluth</w:t>
            </w:r>
            <w:proofErr w:type="spellEnd"/>
            <w:r w:rsidRPr="00A5502C">
              <w:rPr>
                <w:rFonts w:ascii="Times New Roman" w:hAnsi="Times New Roman" w:cs="Times New Roman"/>
                <w:sz w:val="15"/>
                <w:szCs w:val="15"/>
              </w:rPr>
              <w:t>, 1999, p. 5).</w:t>
            </w:r>
          </w:p>
        </w:tc>
        <w:tc>
          <w:tcPr>
            <w:tcW w:w="0" w:type="auto"/>
            <w:shd w:val="clear" w:color="auto" w:fill="auto"/>
            <w:hideMark/>
          </w:tcPr>
          <w:p w14:paraId="3039BC7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tcBorders>
              <w:left w:val="nil"/>
              <w:right w:val="nil"/>
            </w:tcBorders>
            <w:shd w:val="clear" w:color="auto" w:fill="auto"/>
          </w:tcPr>
          <w:p w14:paraId="40CCFE7D" w14:textId="343E2EDC" w:rsidR="00D24A7B" w:rsidRPr="00A5502C" w:rsidRDefault="00536F98" w:rsidP="0043286F">
            <w:pPr>
              <w:rPr>
                <w:rFonts w:ascii="Times New Roman" w:hAnsi="Times New Roman" w:cs="Times New Roman"/>
                <w:sz w:val="15"/>
                <w:szCs w:val="15"/>
              </w:rPr>
            </w:pPr>
            <w:r w:rsidRPr="0043286F">
              <w:rPr>
                <w:rFonts w:ascii="Times New Roman" w:hAnsi="Times New Roman" w:cs="Times New Roman"/>
                <w:sz w:val="15"/>
                <w:szCs w:val="15"/>
              </w:rPr>
              <w:t>Self-reflection</w:t>
            </w:r>
            <w:r w:rsidR="00D24A7B" w:rsidRPr="0043286F">
              <w:rPr>
                <w:rFonts w:ascii="Times New Roman" w:hAnsi="Times New Roman" w:cs="Times New Roman"/>
                <w:sz w:val="15"/>
                <w:szCs w:val="15"/>
              </w:rPr>
              <w:t xml:space="preserve"> activities; Foster understanding of ID basics</w:t>
            </w:r>
          </w:p>
        </w:tc>
      </w:tr>
      <w:tr w:rsidR="00D24A7B" w:rsidRPr="0043286F" w14:paraId="47709608" w14:textId="77777777" w:rsidTr="0043286F">
        <w:trPr>
          <w:cantSplit/>
          <w:trHeight w:val="340"/>
        </w:trPr>
        <w:tc>
          <w:tcPr>
            <w:tcW w:w="0" w:type="auto"/>
            <w:shd w:val="clear" w:color="auto" w:fill="auto"/>
            <w:hideMark/>
          </w:tcPr>
          <w:p w14:paraId="14B62D28" w14:textId="77777777" w:rsidR="00D24A7B" w:rsidRPr="00A5502C" w:rsidRDefault="00D24A7B" w:rsidP="0043286F">
            <w:pPr>
              <w:rPr>
                <w:rFonts w:ascii="Times New Roman" w:hAnsi="Times New Roman" w:cs="Times New Roman"/>
                <w:sz w:val="15"/>
                <w:szCs w:val="15"/>
              </w:rPr>
            </w:pPr>
            <w:proofErr w:type="spellStart"/>
            <w:r w:rsidRPr="00A5502C">
              <w:rPr>
                <w:rFonts w:ascii="Times New Roman" w:hAnsi="Times New Roman" w:cs="Times New Roman"/>
                <w:sz w:val="15"/>
                <w:szCs w:val="15"/>
              </w:rPr>
              <w:lastRenderedPageBreak/>
              <w:t>Gameil</w:t>
            </w:r>
            <w:proofErr w:type="spellEnd"/>
            <w:r w:rsidRPr="00A5502C">
              <w:rPr>
                <w:rFonts w:ascii="Times New Roman" w:hAnsi="Times New Roman" w:cs="Times New Roman"/>
                <w:sz w:val="15"/>
                <w:szCs w:val="15"/>
              </w:rPr>
              <w:t xml:space="preserve"> &amp; Al-Abdullatif (2023)</w:t>
            </w:r>
          </w:p>
        </w:tc>
        <w:tc>
          <w:tcPr>
            <w:tcW w:w="0" w:type="auto"/>
            <w:shd w:val="clear" w:color="auto" w:fill="auto"/>
            <w:hideMark/>
          </w:tcPr>
          <w:p w14:paraId="2BEF10E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Quantitative, quasi experimental study</w:t>
            </w:r>
          </w:p>
        </w:tc>
        <w:tc>
          <w:tcPr>
            <w:tcW w:w="0" w:type="auto"/>
            <w:shd w:val="clear" w:color="auto" w:fill="auto"/>
            <w:hideMark/>
          </w:tcPr>
          <w:p w14:paraId="0D69332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17DD58C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Teacher education</w:t>
            </w:r>
          </w:p>
        </w:tc>
        <w:tc>
          <w:tcPr>
            <w:tcW w:w="0" w:type="auto"/>
            <w:shd w:val="clear" w:color="auto" w:fill="auto"/>
            <w:hideMark/>
          </w:tcPr>
          <w:p w14:paraId="21A4C2A9"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Female preservice teachers from Saudi Arabia</w:t>
            </w:r>
          </w:p>
        </w:tc>
        <w:tc>
          <w:tcPr>
            <w:tcW w:w="0" w:type="auto"/>
            <w:shd w:val="clear" w:color="auto" w:fill="auto"/>
            <w:hideMark/>
          </w:tcPr>
          <w:p w14:paraId="48CC8F7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Instructional design is defined as a systematic process that reflects the translation of the theories and principles of teaching and learning into practical methods for planning, improving, developing, and continuing education. Raza et al. defined instructional design as a framework for integrating multimedia features into the curricula </w:t>
            </w:r>
            <w:proofErr w:type="gramStart"/>
            <w:r w:rsidRPr="00A5502C">
              <w:rPr>
                <w:rFonts w:ascii="Times New Roman" w:hAnsi="Times New Roman" w:cs="Times New Roman"/>
                <w:sz w:val="15"/>
                <w:szCs w:val="15"/>
              </w:rPr>
              <w:t>in order to</w:t>
            </w:r>
            <w:proofErr w:type="gramEnd"/>
            <w:r w:rsidRPr="00A5502C">
              <w:rPr>
                <w:rFonts w:ascii="Times New Roman" w:hAnsi="Times New Roman" w:cs="Times New Roman"/>
                <w:sz w:val="15"/>
                <w:szCs w:val="15"/>
              </w:rPr>
              <w:t xml:space="preserve"> create an educational environment that is accessible, interactive, and student-</w:t>
            </w:r>
            <w:proofErr w:type="spellStart"/>
            <w:r w:rsidRPr="00A5502C">
              <w:rPr>
                <w:rFonts w:ascii="Times New Roman" w:hAnsi="Times New Roman" w:cs="Times New Roman"/>
                <w:sz w:val="15"/>
                <w:szCs w:val="15"/>
              </w:rPr>
              <w:t>centred</w:t>
            </w:r>
            <w:proofErr w:type="spellEnd"/>
            <w:r w:rsidRPr="00A5502C">
              <w:rPr>
                <w:rFonts w:ascii="Times New Roman" w:hAnsi="Times New Roman" w:cs="Times New Roman"/>
                <w:sz w:val="15"/>
                <w:szCs w:val="15"/>
              </w:rPr>
              <w:t>. Instructional design entails searching for the best educational methods and models that can contribute to achieving optimal learning outcomes. Instructional design is a purposeful activity in which a series of strategies and steps are produced to enhance the learning process.</w:t>
            </w:r>
          </w:p>
        </w:tc>
        <w:tc>
          <w:tcPr>
            <w:tcW w:w="0" w:type="auto"/>
            <w:shd w:val="clear" w:color="auto" w:fill="auto"/>
            <w:hideMark/>
          </w:tcPr>
          <w:p w14:paraId="7A8E07A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Teachers are instructional designers</w:t>
            </w:r>
          </w:p>
        </w:tc>
        <w:tc>
          <w:tcPr>
            <w:tcW w:w="0" w:type="auto"/>
            <w:tcBorders>
              <w:left w:val="nil"/>
              <w:right w:val="nil"/>
            </w:tcBorders>
            <w:shd w:val="clear" w:color="auto" w:fill="auto"/>
          </w:tcPr>
          <w:p w14:paraId="5D38B9AD" w14:textId="4BB1D61B"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Use digital platforms</w:t>
            </w:r>
          </w:p>
        </w:tc>
      </w:tr>
      <w:tr w:rsidR="00D24A7B" w:rsidRPr="0043286F" w14:paraId="4CA966EB" w14:textId="77777777" w:rsidTr="0043286F">
        <w:trPr>
          <w:cantSplit/>
          <w:trHeight w:val="340"/>
        </w:trPr>
        <w:tc>
          <w:tcPr>
            <w:tcW w:w="0" w:type="auto"/>
            <w:shd w:val="clear" w:color="auto" w:fill="auto"/>
            <w:hideMark/>
          </w:tcPr>
          <w:p w14:paraId="453898E8"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Hoard et al. (2019)</w:t>
            </w:r>
          </w:p>
        </w:tc>
        <w:tc>
          <w:tcPr>
            <w:tcW w:w="0" w:type="auto"/>
            <w:shd w:val="clear" w:color="auto" w:fill="auto"/>
            <w:hideMark/>
          </w:tcPr>
          <w:p w14:paraId="274EDA9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Mixed-method study</w:t>
            </w:r>
          </w:p>
        </w:tc>
        <w:tc>
          <w:tcPr>
            <w:tcW w:w="0" w:type="auto"/>
            <w:shd w:val="clear" w:color="auto" w:fill="auto"/>
            <w:hideMark/>
          </w:tcPr>
          <w:p w14:paraId="1725AD2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Different professional settings</w:t>
            </w:r>
          </w:p>
        </w:tc>
        <w:tc>
          <w:tcPr>
            <w:tcW w:w="0" w:type="auto"/>
            <w:shd w:val="clear" w:color="auto" w:fill="auto"/>
            <w:hideMark/>
          </w:tcPr>
          <w:p w14:paraId="1B715FA8"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676F6E5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IDs of both the Association for Educational</w:t>
            </w:r>
            <w:r w:rsidRPr="00A5502C">
              <w:rPr>
                <w:rFonts w:ascii="Times New Roman" w:hAnsi="Times New Roman" w:cs="Times New Roman"/>
                <w:sz w:val="15"/>
                <w:szCs w:val="15"/>
              </w:rPr>
              <w:br/>
              <w:t>Communications and Technology (AECT) and the International Society for Performance</w:t>
            </w:r>
            <w:r w:rsidRPr="00A5502C">
              <w:rPr>
                <w:rFonts w:ascii="Times New Roman" w:hAnsi="Times New Roman" w:cs="Times New Roman"/>
                <w:sz w:val="15"/>
                <w:szCs w:val="15"/>
              </w:rPr>
              <w:br/>
              <w:t>Improvement (ISPI), two large professional societies</w:t>
            </w:r>
          </w:p>
        </w:tc>
        <w:tc>
          <w:tcPr>
            <w:tcW w:w="0" w:type="auto"/>
            <w:shd w:val="clear" w:color="auto" w:fill="auto"/>
            <w:hideMark/>
          </w:tcPr>
          <w:p w14:paraId="38EA112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5B772A8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The instructional designer is a busy and influential employee who has many time commitments and faces resource constraints (Kenny et al. 2005; Larson and </w:t>
            </w:r>
            <w:proofErr w:type="spellStart"/>
            <w:r w:rsidRPr="00A5502C">
              <w:rPr>
                <w:rFonts w:ascii="Times New Roman" w:hAnsi="Times New Roman" w:cs="Times New Roman"/>
                <w:sz w:val="15"/>
                <w:szCs w:val="15"/>
              </w:rPr>
              <w:t>Lockee</w:t>
            </w:r>
            <w:proofErr w:type="spellEnd"/>
            <w:r w:rsidRPr="00A5502C">
              <w:rPr>
                <w:rFonts w:ascii="Times New Roman" w:hAnsi="Times New Roman" w:cs="Times New Roman"/>
                <w:sz w:val="15"/>
                <w:szCs w:val="15"/>
              </w:rPr>
              <w:t xml:space="preserve"> 2009).</w:t>
            </w:r>
          </w:p>
        </w:tc>
        <w:tc>
          <w:tcPr>
            <w:tcW w:w="0" w:type="auto"/>
            <w:tcBorders>
              <w:left w:val="nil"/>
              <w:right w:val="nil"/>
            </w:tcBorders>
            <w:shd w:val="clear" w:color="auto" w:fill="auto"/>
          </w:tcPr>
          <w:p w14:paraId="52E4BEED" w14:textId="006FB6AF"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Include analysis to begin quantifying potential cost savings on projects</w:t>
            </w:r>
          </w:p>
        </w:tc>
      </w:tr>
      <w:tr w:rsidR="00D24A7B" w:rsidRPr="0043286F" w14:paraId="62015027" w14:textId="77777777" w:rsidTr="0043286F">
        <w:trPr>
          <w:cantSplit/>
          <w:trHeight w:val="340"/>
        </w:trPr>
        <w:tc>
          <w:tcPr>
            <w:tcW w:w="0" w:type="auto"/>
            <w:shd w:val="clear" w:color="auto" w:fill="auto"/>
            <w:hideMark/>
          </w:tcPr>
          <w:p w14:paraId="19DE31DF" w14:textId="77777777" w:rsidR="00D24A7B" w:rsidRPr="00A5502C" w:rsidRDefault="00D24A7B" w:rsidP="0043286F">
            <w:pPr>
              <w:rPr>
                <w:rFonts w:ascii="Times New Roman" w:hAnsi="Times New Roman" w:cs="Times New Roman"/>
                <w:sz w:val="15"/>
                <w:szCs w:val="15"/>
              </w:rPr>
            </w:pPr>
            <w:proofErr w:type="spellStart"/>
            <w:r w:rsidRPr="00A5502C">
              <w:rPr>
                <w:rFonts w:ascii="Times New Roman" w:hAnsi="Times New Roman" w:cs="Times New Roman"/>
                <w:sz w:val="15"/>
                <w:szCs w:val="15"/>
              </w:rPr>
              <w:t>Lachheb</w:t>
            </w:r>
            <w:proofErr w:type="spellEnd"/>
            <w:r w:rsidRPr="00A5502C">
              <w:rPr>
                <w:rFonts w:ascii="Times New Roman" w:hAnsi="Times New Roman" w:cs="Times New Roman"/>
                <w:sz w:val="15"/>
                <w:szCs w:val="15"/>
              </w:rPr>
              <w:t xml:space="preserve"> &amp; Boling (2018)</w:t>
            </w:r>
          </w:p>
        </w:tc>
        <w:tc>
          <w:tcPr>
            <w:tcW w:w="0" w:type="auto"/>
            <w:shd w:val="clear" w:color="auto" w:fill="auto"/>
            <w:hideMark/>
          </w:tcPr>
          <w:p w14:paraId="7C2BEC1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study</w:t>
            </w:r>
          </w:p>
        </w:tc>
        <w:tc>
          <w:tcPr>
            <w:tcW w:w="0" w:type="auto"/>
            <w:shd w:val="clear" w:color="auto" w:fill="auto"/>
            <w:hideMark/>
          </w:tcPr>
          <w:p w14:paraId="3C0CEB0C"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Different professional settings</w:t>
            </w:r>
          </w:p>
        </w:tc>
        <w:tc>
          <w:tcPr>
            <w:tcW w:w="0" w:type="auto"/>
            <w:shd w:val="clear" w:color="auto" w:fill="auto"/>
            <w:hideMark/>
          </w:tcPr>
          <w:p w14:paraId="56A20A2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216BFEA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professionals of different profession settings</w:t>
            </w:r>
          </w:p>
        </w:tc>
        <w:tc>
          <w:tcPr>
            <w:tcW w:w="0" w:type="auto"/>
            <w:shd w:val="clear" w:color="auto" w:fill="auto"/>
            <w:hideMark/>
          </w:tcPr>
          <w:p w14:paraId="471595B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Morrison et al. (2011) define instructional design (ID) as ‘‘the process for designing instruction based on sound practices’’ (p. 6). The practice of a profession, (ID in this case) as argued by Crouch and Pearce (2012) refers to activities that are standardized and approved by an agreed-upon professional authority (e.g., professional association).</w:t>
            </w:r>
          </w:p>
        </w:tc>
        <w:tc>
          <w:tcPr>
            <w:tcW w:w="0" w:type="auto"/>
            <w:shd w:val="clear" w:color="auto" w:fill="auto"/>
            <w:hideMark/>
          </w:tcPr>
          <w:p w14:paraId="480998B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designer, instructional consultants</w:t>
            </w:r>
          </w:p>
        </w:tc>
        <w:tc>
          <w:tcPr>
            <w:tcW w:w="0" w:type="auto"/>
            <w:tcBorders>
              <w:left w:val="nil"/>
              <w:right w:val="nil"/>
            </w:tcBorders>
            <w:shd w:val="clear" w:color="auto" w:fill="auto"/>
          </w:tcPr>
          <w:p w14:paraId="64D6B8AC" w14:textId="58C00820"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Include instrumental judgement</w:t>
            </w:r>
          </w:p>
        </w:tc>
      </w:tr>
      <w:tr w:rsidR="00D24A7B" w:rsidRPr="0043286F" w14:paraId="0117E1E4" w14:textId="77777777" w:rsidTr="0043286F">
        <w:trPr>
          <w:cantSplit/>
          <w:trHeight w:val="340"/>
        </w:trPr>
        <w:tc>
          <w:tcPr>
            <w:tcW w:w="0" w:type="auto"/>
            <w:shd w:val="clear" w:color="auto" w:fill="auto"/>
            <w:hideMark/>
          </w:tcPr>
          <w:p w14:paraId="676CDDF4" w14:textId="49FF04CF" w:rsidR="00D24A7B" w:rsidRPr="00A5502C" w:rsidRDefault="00D24A7B" w:rsidP="0043286F">
            <w:pPr>
              <w:rPr>
                <w:rFonts w:ascii="Times New Roman" w:hAnsi="Times New Roman" w:cs="Times New Roman"/>
                <w:sz w:val="15"/>
                <w:szCs w:val="15"/>
              </w:rPr>
            </w:pPr>
            <w:proofErr w:type="spellStart"/>
            <w:r w:rsidRPr="00A5502C">
              <w:rPr>
                <w:rFonts w:ascii="Times New Roman" w:hAnsi="Times New Roman" w:cs="Times New Roman"/>
                <w:sz w:val="15"/>
                <w:szCs w:val="15"/>
              </w:rPr>
              <w:t>Lachheb</w:t>
            </w:r>
            <w:proofErr w:type="spellEnd"/>
            <w:r w:rsidRPr="00A5502C">
              <w:rPr>
                <w:rFonts w:ascii="Times New Roman" w:hAnsi="Times New Roman" w:cs="Times New Roman"/>
                <w:sz w:val="15"/>
                <w:szCs w:val="15"/>
              </w:rPr>
              <w:t xml:space="preserve"> &amp; Boling (20</w:t>
            </w:r>
            <w:r w:rsidR="00BC00EE">
              <w:rPr>
                <w:rFonts w:ascii="Times New Roman" w:hAnsi="Times New Roman" w:cs="Times New Roman"/>
                <w:sz w:val="15"/>
                <w:szCs w:val="15"/>
              </w:rPr>
              <w:t>24</w:t>
            </w:r>
            <w:r w:rsidRPr="00A5502C">
              <w:rPr>
                <w:rFonts w:ascii="Times New Roman" w:hAnsi="Times New Roman" w:cs="Times New Roman"/>
                <w:sz w:val="15"/>
                <w:szCs w:val="15"/>
              </w:rPr>
              <w:t>)</w:t>
            </w:r>
          </w:p>
        </w:tc>
        <w:tc>
          <w:tcPr>
            <w:tcW w:w="0" w:type="auto"/>
            <w:shd w:val="clear" w:color="auto" w:fill="auto"/>
            <w:hideMark/>
          </w:tcPr>
          <w:p w14:paraId="568BC829"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Interpretive phenomenological study</w:t>
            </w:r>
          </w:p>
        </w:tc>
        <w:tc>
          <w:tcPr>
            <w:tcW w:w="0" w:type="auto"/>
            <w:shd w:val="clear" w:color="auto" w:fill="auto"/>
            <w:hideMark/>
          </w:tcPr>
          <w:p w14:paraId="4B8AA3A9"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Different professional settings</w:t>
            </w:r>
          </w:p>
        </w:tc>
        <w:tc>
          <w:tcPr>
            <w:tcW w:w="0" w:type="auto"/>
            <w:shd w:val="clear" w:color="auto" w:fill="auto"/>
            <w:hideMark/>
          </w:tcPr>
          <w:p w14:paraId="20B5714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6BC74CF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ID practitioners with differing job titles, working in diverse professional settings </w:t>
            </w:r>
          </w:p>
        </w:tc>
        <w:tc>
          <w:tcPr>
            <w:tcW w:w="0" w:type="auto"/>
            <w:shd w:val="clear" w:color="auto" w:fill="auto"/>
            <w:hideMark/>
          </w:tcPr>
          <w:p w14:paraId="57E084F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 is defined in this study not just as a systematic “process for designing instruction based on sound practices” (Morrison et al., 2011, p. 6). Rather, it is defined as the entire series of design activities carried out by ID practitioners, regardless of their job title, intertwined with ideas and theories originating from personal experiences and educational norms, not as prescribed by a given professional authority or a model (e.g., ISPI Standards or the ADDIE/4C ID models).</w:t>
            </w:r>
          </w:p>
        </w:tc>
        <w:tc>
          <w:tcPr>
            <w:tcW w:w="0" w:type="auto"/>
            <w:shd w:val="clear" w:color="auto" w:fill="auto"/>
            <w:hideMark/>
          </w:tcPr>
          <w:p w14:paraId="169489C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This act of creation is carried out by a professional practitioner called a designer and enacted through a process called the design process to achieve the design goal—introducing an intentional change to the world. They are working in diverse professional settings (i.e., higher education, corporate, independent consulting, non-profit),</w:t>
            </w:r>
          </w:p>
        </w:tc>
        <w:tc>
          <w:tcPr>
            <w:tcW w:w="0" w:type="auto"/>
            <w:tcBorders>
              <w:left w:val="nil"/>
              <w:right w:val="nil"/>
            </w:tcBorders>
            <w:shd w:val="clear" w:color="auto" w:fill="auto"/>
          </w:tcPr>
          <w:p w14:paraId="30D69CBA" w14:textId="18EA21E4" w:rsidR="00D24A7B" w:rsidRPr="00A5502C" w:rsidRDefault="00536F98" w:rsidP="0043286F">
            <w:pPr>
              <w:rPr>
                <w:rFonts w:ascii="Times New Roman" w:hAnsi="Times New Roman" w:cs="Times New Roman"/>
                <w:sz w:val="15"/>
                <w:szCs w:val="15"/>
              </w:rPr>
            </w:pPr>
            <w:r w:rsidRPr="0043286F">
              <w:rPr>
                <w:rFonts w:ascii="Times New Roman" w:hAnsi="Times New Roman" w:cs="Times New Roman"/>
                <w:sz w:val="15"/>
                <w:szCs w:val="15"/>
              </w:rPr>
              <w:t>Address</w:t>
            </w:r>
            <w:r w:rsidR="00D24A7B" w:rsidRPr="0043286F">
              <w:rPr>
                <w:rFonts w:ascii="Times New Roman" w:hAnsi="Times New Roman" w:cs="Times New Roman"/>
                <w:sz w:val="15"/>
                <w:szCs w:val="15"/>
              </w:rPr>
              <w:t xml:space="preserve"> design failures in programs; </w:t>
            </w:r>
          </w:p>
        </w:tc>
      </w:tr>
      <w:tr w:rsidR="00D24A7B" w:rsidRPr="0043286F" w14:paraId="0204C20B" w14:textId="77777777" w:rsidTr="0043286F">
        <w:trPr>
          <w:cantSplit/>
          <w:trHeight w:val="340"/>
        </w:trPr>
        <w:tc>
          <w:tcPr>
            <w:tcW w:w="0" w:type="auto"/>
            <w:shd w:val="clear" w:color="auto" w:fill="auto"/>
            <w:hideMark/>
          </w:tcPr>
          <w:p w14:paraId="0C41A0D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lastRenderedPageBreak/>
              <w:t>Lin &amp; Chen (2023)</w:t>
            </w:r>
          </w:p>
        </w:tc>
        <w:tc>
          <w:tcPr>
            <w:tcW w:w="0" w:type="auto"/>
            <w:shd w:val="clear" w:color="auto" w:fill="auto"/>
            <w:hideMark/>
          </w:tcPr>
          <w:p w14:paraId="4CC4877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Mixed-methods case study</w:t>
            </w:r>
          </w:p>
        </w:tc>
        <w:tc>
          <w:tcPr>
            <w:tcW w:w="0" w:type="auto"/>
            <w:shd w:val="clear" w:color="auto" w:fill="auto"/>
            <w:hideMark/>
          </w:tcPr>
          <w:p w14:paraId="2A8CBA8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73DC9F5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HE</w:t>
            </w:r>
          </w:p>
        </w:tc>
        <w:tc>
          <w:tcPr>
            <w:tcW w:w="0" w:type="auto"/>
            <w:shd w:val="clear" w:color="auto" w:fill="auto"/>
            <w:hideMark/>
          </w:tcPr>
          <w:p w14:paraId="71D8AAD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Undergraduates from different disciplines without ID pre-knowledge (Mechanical engineering and language learning)</w:t>
            </w:r>
          </w:p>
        </w:tc>
        <w:tc>
          <w:tcPr>
            <w:tcW w:w="0" w:type="auto"/>
            <w:shd w:val="clear" w:color="auto" w:fill="auto"/>
            <w:hideMark/>
          </w:tcPr>
          <w:p w14:paraId="201EA77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 is considered an interdisciplinary practice. As it is interdisciplinary, learning by doing with hands-on is employed. Instructional design and technology theories focus on customizing learner‐centered education through various types of technology (e.g., online platforms, mobile apps, mixed reality, and robots). Research on instructional design, therefore, aims to fill the gap between theory and practice to inform future design training programs.</w:t>
            </w:r>
          </w:p>
        </w:tc>
        <w:tc>
          <w:tcPr>
            <w:tcW w:w="0" w:type="auto"/>
            <w:shd w:val="clear" w:color="auto" w:fill="auto"/>
            <w:hideMark/>
          </w:tcPr>
          <w:p w14:paraId="4CB1CCB3" w14:textId="7A079F3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An instructional designer “invents, conceptualizes, or creates concrete products or materials for educational purposes”. Not only are instructional designers responsible for the pedagogical aspects of a product, but they also need to be able to reflect on their work. In particular</w:t>
            </w:r>
            <w:r w:rsidR="00536F98">
              <w:rPr>
                <w:rFonts w:ascii="Times New Roman" w:hAnsi="Times New Roman" w:cs="Times New Roman"/>
                <w:sz w:val="15"/>
                <w:szCs w:val="15"/>
              </w:rPr>
              <w:t>,</w:t>
            </w:r>
            <w:r w:rsidRPr="00A5502C">
              <w:rPr>
                <w:rFonts w:ascii="Times New Roman" w:hAnsi="Times New Roman" w:cs="Times New Roman"/>
                <w:sz w:val="15"/>
                <w:szCs w:val="15"/>
              </w:rPr>
              <w:t xml:space="preserve"> context variables influence instructional designers’ design processes and outcomes.</w:t>
            </w:r>
          </w:p>
        </w:tc>
        <w:tc>
          <w:tcPr>
            <w:tcW w:w="0" w:type="auto"/>
            <w:tcBorders>
              <w:left w:val="nil"/>
              <w:right w:val="nil"/>
            </w:tcBorders>
            <w:shd w:val="clear" w:color="auto" w:fill="auto"/>
          </w:tcPr>
          <w:p w14:paraId="30FEEAD8" w14:textId="7FBEBCCE"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Interdisciplinary knowledge and skills</w:t>
            </w:r>
          </w:p>
        </w:tc>
      </w:tr>
      <w:tr w:rsidR="00D24A7B" w:rsidRPr="0043286F" w14:paraId="3EA872DE" w14:textId="77777777" w:rsidTr="0043286F">
        <w:trPr>
          <w:cantSplit/>
          <w:trHeight w:val="340"/>
        </w:trPr>
        <w:tc>
          <w:tcPr>
            <w:tcW w:w="0" w:type="auto"/>
            <w:shd w:val="clear" w:color="auto" w:fill="auto"/>
            <w:hideMark/>
          </w:tcPr>
          <w:p w14:paraId="0B94C218"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Lowell &amp; Ashby (2018) </w:t>
            </w:r>
          </w:p>
        </w:tc>
        <w:tc>
          <w:tcPr>
            <w:tcW w:w="0" w:type="auto"/>
            <w:shd w:val="clear" w:color="auto" w:fill="auto"/>
            <w:hideMark/>
          </w:tcPr>
          <w:p w14:paraId="64E6B8A2"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Mixed-method study</w:t>
            </w:r>
          </w:p>
        </w:tc>
        <w:tc>
          <w:tcPr>
            <w:tcW w:w="0" w:type="auto"/>
            <w:shd w:val="clear" w:color="auto" w:fill="auto"/>
            <w:hideMark/>
          </w:tcPr>
          <w:p w14:paraId="02460C3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5450523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pedagogy via HE</w:t>
            </w:r>
          </w:p>
        </w:tc>
        <w:tc>
          <w:tcPr>
            <w:tcW w:w="0" w:type="auto"/>
            <w:shd w:val="clear" w:color="auto" w:fill="auto"/>
            <w:hideMark/>
          </w:tcPr>
          <w:p w14:paraId="286E912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Online graduate program in Learning Design and Technology at a large Midwestern university.</w:t>
            </w:r>
          </w:p>
        </w:tc>
        <w:tc>
          <w:tcPr>
            <w:tcW w:w="0" w:type="auto"/>
            <w:shd w:val="clear" w:color="auto" w:fill="auto"/>
            <w:hideMark/>
          </w:tcPr>
          <w:p w14:paraId="34C2494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 is a complex and challenging field of study and practice (</w:t>
            </w:r>
            <w:proofErr w:type="spellStart"/>
            <w:r w:rsidRPr="00A5502C">
              <w:rPr>
                <w:rFonts w:ascii="Times New Roman" w:hAnsi="Times New Roman" w:cs="Times New Roman"/>
                <w:sz w:val="15"/>
                <w:szCs w:val="15"/>
              </w:rPr>
              <w:t>Bannan</w:t>
            </w:r>
            <w:proofErr w:type="spellEnd"/>
            <w:r w:rsidRPr="00A5502C">
              <w:rPr>
                <w:rFonts w:ascii="Times New Roman" w:hAnsi="Times New Roman" w:cs="Times New Roman"/>
                <w:sz w:val="15"/>
                <w:szCs w:val="15"/>
              </w:rPr>
              <w:t>-Ritland 2001).</w:t>
            </w:r>
          </w:p>
        </w:tc>
        <w:tc>
          <w:tcPr>
            <w:tcW w:w="0" w:type="auto"/>
            <w:shd w:val="clear" w:color="auto" w:fill="auto"/>
            <w:hideMark/>
          </w:tcPr>
          <w:p w14:paraId="173D46C2" w14:textId="56BE5022"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Designers like </w:t>
            </w:r>
            <w:r w:rsidR="00536F98">
              <w:rPr>
                <w:rFonts w:ascii="Times New Roman" w:hAnsi="Times New Roman" w:cs="Times New Roman"/>
                <w:sz w:val="15"/>
                <w:szCs w:val="15"/>
              </w:rPr>
              <w:t xml:space="preserve">in </w:t>
            </w:r>
            <w:r w:rsidRPr="00A5502C">
              <w:rPr>
                <w:rFonts w:ascii="Times New Roman" w:hAnsi="Times New Roman" w:cs="Times New Roman"/>
                <w:sz w:val="15"/>
                <w:szCs w:val="15"/>
              </w:rPr>
              <w:t>other design disciplines</w:t>
            </w:r>
          </w:p>
        </w:tc>
        <w:tc>
          <w:tcPr>
            <w:tcW w:w="0" w:type="auto"/>
            <w:tcBorders>
              <w:left w:val="nil"/>
              <w:right w:val="nil"/>
            </w:tcBorders>
            <w:shd w:val="clear" w:color="auto" w:fill="auto"/>
          </w:tcPr>
          <w:p w14:paraId="719E1BCA" w14:textId="535E2F29"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Integrate feedback opportunities in the course, develop feedback and collaboration skills</w:t>
            </w:r>
          </w:p>
        </w:tc>
      </w:tr>
      <w:tr w:rsidR="00D24A7B" w:rsidRPr="0043286F" w14:paraId="048B8C8A" w14:textId="77777777" w:rsidTr="0043286F">
        <w:trPr>
          <w:cantSplit/>
          <w:trHeight w:val="340"/>
        </w:trPr>
        <w:tc>
          <w:tcPr>
            <w:tcW w:w="0" w:type="auto"/>
            <w:shd w:val="clear" w:color="auto" w:fill="auto"/>
            <w:hideMark/>
          </w:tcPr>
          <w:p w14:paraId="5F4B94A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Luo &amp; </w:t>
            </w:r>
            <w:proofErr w:type="spellStart"/>
            <w:r w:rsidRPr="00A5502C">
              <w:rPr>
                <w:rFonts w:ascii="Times New Roman" w:hAnsi="Times New Roman" w:cs="Times New Roman"/>
                <w:sz w:val="15"/>
                <w:szCs w:val="15"/>
              </w:rPr>
              <w:t>Baaki</w:t>
            </w:r>
            <w:proofErr w:type="spellEnd"/>
            <w:r w:rsidRPr="00A5502C">
              <w:rPr>
                <w:rFonts w:ascii="Times New Roman" w:hAnsi="Times New Roman" w:cs="Times New Roman"/>
                <w:sz w:val="15"/>
                <w:szCs w:val="15"/>
              </w:rPr>
              <w:t xml:space="preserve"> (2019)</w:t>
            </w:r>
          </w:p>
        </w:tc>
        <w:tc>
          <w:tcPr>
            <w:tcW w:w="0" w:type="auto"/>
            <w:shd w:val="clear" w:color="auto" w:fill="auto"/>
            <w:hideMark/>
          </w:tcPr>
          <w:p w14:paraId="7191A021"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Quantitative design</w:t>
            </w:r>
          </w:p>
        </w:tc>
        <w:tc>
          <w:tcPr>
            <w:tcW w:w="0" w:type="auto"/>
            <w:shd w:val="clear" w:color="auto" w:fill="auto"/>
            <w:hideMark/>
          </w:tcPr>
          <w:p w14:paraId="7AB9024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269A4EF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pedagogy via HE</w:t>
            </w:r>
          </w:p>
        </w:tc>
        <w:tc>
          <w:tcPr>
            <w:tcW w:w="0" w:type="auto"/>
            <w:shd w:val="clear" w:color="auto" w:fill="auto"/>
            <w:hideMark/>
          </w:tcPr>
          <w:p w14:paraId="08D4317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Master´s and doctoral instructional design and technology students at large public university in USA</w:t>
            </w:r>
          </w:p>
        </w:tc>
        <w:tc>
          <w:tcPr>
            <w:tcW w:w="0" w:type="auto"/>
            <w:shd w:val="clear" w:color="auto" w:fill="auto"/>
            <w:hideMark/>
          </w:tcPr>
          <w:p w14:paraId="4F7ABD5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 is a field rife with complexities, with is chief focus based upon problem-solving (Perez and Emery 1995). There is not a "one-size fits all" approach in instructional design.</w:t>
            </w:r>
          </w:p>
        </w:tc>
        <w:tc>
          <w:tcPr>
            <w:tcW w:w="0" w:type="auto"/>
            <w:shd w:val="clear" w:color="auto" w:fill="auto"/>
            <w:hideMark/>
          </w:tcPr>
          <w:p w14:paraId="479987C6" w14:textId="6A859AFE"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We contend that instructional </w:t>
            </w:r>
            <w:r w:rsidR="00536F98" w:rsidRPr="00A5502C">
              <w:rPr>
                <w:rFonts w:ascii="Times New Roman" w:hAnsi="Times New Roman" w:cs="Times New Roman"/>
                <w:sz w:val="15"/>
                <w:szCs w:val="15"/>
              </w:rPr>
              <w:t>designers are</w:t>
            </w:r>
            <w:r w:rsidRPr="00A5502C">
              <w:rPr>
                <w:rFonts w:ascii="Times New Roman" w:hAnsi="Times New Roman" w:cs="Times New Roman"/>
                <w:sz w:val="15"/>
                <w:szCs w:val="15"/>
              </w:rPr>
              <w:t xml:space="preserve"> designers. Like graphic designers, engineers, and architects, instructional designers are reflective participants in a design process. Designers reflect-in-action as they have a reflective conversation with design situations and think about doing something while doing it (Schön 1983, 1988).</w:t>
            </w:r>
          </w:p>
        </w:tc>
        <w:tc>
          <w:tcPr>
            <w:tcW w:w="0" w:type="auto"/>
            <w:tcBorders>
              <w:left w:val="nil"/>
              <w:right w:val="nil"/>
            </w:tcBorders>
            <w:shd w:val="clear" w:color="auto" w:fill="auto"/>
          </w:tcPr>
          <w:p w14:paraId="7B25A4E9" w14:textId="5F440931"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Include concept mapping activities</w:t>
            </w:r>
          </w:p>
        </w:tc>
      </w:tr>
      <w:tr w:rsidR="00D24A7B" w:rsidRPr="0043286F" w14:paraId="4C8D6EA8" w14:textId="77777777" w:rsidTr="0043286F">
        <w:trPr>
          <w:cantSplit/>
          <w:trHeight w:val="340"/>
        </w:trPr>
        <w:tc>
          <w:tcPr>
            <w:tcW w:w="0" w:type="auto"/>
            <w:shd w:val="clear" w:color="auto" w:fill="auto"/>
            <w:hideMark/>
          </w:tcPr>
          <w:p w14:paraId="789B40E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Matthews &amp; </w:t>
            </w:r>
            <w:proofErr w:type="spellStart"/>
            <w:r w:rsidRPr="00A5502C">
              <w:rPr>
                <w:rFonts w:ascii="Times New Roman" w:hAnsi="Times New Roman" w:cs="Times New Roman"/>
                <w:sz w:val="15"/>
                <w:szCs w:val="15"/>
              </w:rPr>
              <w:t>Yanchar</w:t>
            </w:r>
            <w:proofErr w:type="spellEnd"/>
            <w:r w:rsidRPr="00A5502C">
              <w:rPr>
                <w:rFonts w:ascii="Times New Roman" w:hAnsi="Times New Roman" w:cs="Times New Roman"/>
                <w:sz w:val="15"/>
                <w:szCs w:val="15"/>
              </w:rPr>
              <w:t xml:space="preserve"> (2018)</w:t>
            </w:r>
          </w:p>
        </w:tc>
        <w:tc>
          <w:tcPr>
            <w:tcW w:w="0" w:type="auto"/>
            <w:shd w:val="clear" w:color="auto" w:fill="auto"/>
            <w:hideMark/>
          </w:tcPr>
          <w:p w14:paraId="7715D5A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Hermeneutic investigative approach</w:t>
            </w:r>
          </w:p>
        </w:tc>
        <w:tc>
          <w:tcPr>
            <w:tcW w:w="0" w:type="auto"/>
            <w:shd w:val="clear" w:color="auto" w:fill="auto"/>
            <w:hideMark/>
          </w:tcPr>
          <w:p w14:paraId="1BB24B8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Different professional settings</w:t>
            </w:r>
          </w:p>
        </w:tc>
        <w:tc>
          <w:tcPr>
            <w:tcW w:w="0" w:type="auto"/>
            <w:shd w:val="clear" w:color="auto" w:fill="auto"/>
            <w:hideMark/>
          </w:tcPr>
          <w:p w14:paraId="220918A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5203432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designers employed in different settings with different organizational cultures</w:t>
            </w:r>
          </w:p>
        </w:tc>
        <w:tc>
          <w:tcPr>
            <w:tcW w:w="0" w:type="auto"/>
            <w:shd w:val="clear" w:color="auto" w:fill="auto"/>
            <w:hideMark/>
          </w:tcPr>
          <w:p w14:paraId="6234783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5E01EF3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designers are responsible for creating engaging and effective learning environments. They are employed in different settings with different organizational cultures—for example, in higher education, government, military, corporate-contracted, and in-house corporate settings</w:t>
            </w:r>
          </w:p>
        </w:tc>
        <w:tc>
          <w:tcPr>
            <w:tcW w:w="0" w:type="auto"/>
            <w:tcBorders>
              <w:left w:val="nil"/>
              <w:right w:val="nil"/>
            </w:tcBorders>
            <w:shd w:val="clear" w:color="auto" w:fill="auto"/>
          </w:tcPr>
          <w:p w14:paraId="6CE5142B" w14:textId="502179B6"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Learner agency as key ingredient</w:t>
            </w:r>
          </w:p>
        </w:tc>
      </w:tr>
      <w:tr w:rsidR="00D24A7B" w:rsidRPr="0043286F" w14:paraId="4A8899C6" w14:textId="77777777" w:rsidTr="0043286F">
        <w:trPr>
          <w:cantSplit/>
          <w:trHeight w:val="340"/>
        </w:trPr>
        <w:tc>
          <w:tcPr>
            <w:tcW w:w="0" w:type="auto"/>
            <w:shd w:val="clear" w:color="auto" w:fill="auto"/>
            <w:hideMark/>
          </w:tcPr>
          <w:p w14:paraId="68DAF27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McDonald et al. (2021)</w:t>
            </w:r>
          </w:p>
        </w:tc>
        <w:tc>
          <w:tcPr>
            <w:tcW w:w="0" w:type="auto"/>
            <w:shd w:val="clear" w:color="auto" w:fill="auto"/>
            <w:hideMark/>
          </w:tcPr>
          <w:p w14:paraId="32943AA9"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study</w:t>
            </w:r>
          </w:p>
        </w:tc>
        <w:tc>
          <w:tcPr>
            <w:tcW w:w="0" w:type="auto"/>
            <w:shd w:val="clear" w:color="auto" w:fill="auto"/>
            <w:hideMark/>
          </w:tcPr>
          <w:p w14:paraId="7B9B3C28"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0D5FD7C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30E5898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An instructional design team at an R2 university in the western United States.</w:t>
            </w:r>
          </w:p>
        </w:tc>
        <w:tc>
          <w:tcPr>
            <w:tcW w:w="0" w:type="auto"/>
            <w:shd w:val="clear" w:color="auto" w:fill="auto"/>
            <w:hideMark/>
          </w:tcPr>
          <w:p w14:paraId="70DA5F5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703928A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While they do make quantitative judgments about how to best achieve project goals (e.g., Gray et al., 2015; </w:t>
            </w:r>
            <w:proofErr w:type="spellStart"/>
            <w:r w:rsidRPr="00A5502C">
              <w:rPr>
                <w:rFonts w:ascii="Times New Roman" w:hAnsi="Times New Roman" w:cs="Times New Roman"/>
                <w:sz w:val="15"/>
                <w:szCs w:val="15"/>
              </w:rPr>
              <w:t>Honebein</w:t>
            </w:r>
            <w:proofErr w:type="spellEnd"/>
            <w:r w:rsidRPr="00A5502C">
              <w:rPr>
                <w:rFonts w:ascii="Times New Roman" w:hAnsi="Times New Roman" w:cs="Times New Roman"/>
                <w:sz w:val="15"/>
                <w:szCs w:val="15"/>
              </w:rPr>
              <w:t>, 2017), they are not dispassionate actors who are only concerned with the instrumental inputs and outputs of day-today</w:t>
            </w:r>
            <w:r w:rsidRPr="00A5502C">
              <w:rPr>
                <w:rFonts w:ascii="Times New Roman" w:hAnsi="Times New Roman" w:cs="Times New Roman"/>
                <w:sz w:val="15"/>
                <w:szCs w:val="15"/>
              </w:rPr>
              <w:br/>
              <w:t>project practice. Rather, they are equally concerned with the kinds of designers they are becoming, and whether they are living up to ideals that connect them to a higher or nobler purpose (</w:t>
            </w:r>
            <w:proofErr w:type="spellStart"/>
            <w:r w:rsidRPr="00A5502C">
              <w:rPr>
                <w:rFonts w:ascii="Times New Roman" w:hAnsi="Times New Roman" w:cs="Times New Roman"/>
                <w:sz w:val="15"/>
                <w:szCs w:val="15"/>
              </w:rPr>
              <w:t>Schwier</w:t>
            </w:r>
            <w:proofErr w:type="spellEnd"/>
            <w:r w:rsidRPr="00A5502C">
              <w:rPr>
                <w:rFonts w:ascii="Times New Roman" w:hAnsi="Times New Roman" w:cs="Times New Roman"/>
                <w:sz w:val="15"/>
                <w:szCs w:val="15"/>
              </w:rPr>
              <w:t>, 2004).</w:t>
            </w:r>
          </w:p>
        </w:tc>
        <w:tc>
          <w:tcPr>
            <w:tcW w:w="0" w:type="auto"/>
            <w:tcBorders>
              <w:left w:val="nil"/>
              <w:right w:val="nil"/>
            </w:tcBorders>
            <w:shd w:val="clear" w:color="auto" w:fill="auto"/>
          </w:tcPr>
          <w:p w14:paraId="5D9DC8AD" w14:textId="38FD9E06" w:rsidR="00D24A7B" w:rsidRPr="00A5502C" w:rsidRDefault="00536F98" w:rsidP="0043286F">
            <w:pPr>
              <w:rPr>
                <w:rFonts w:ascii="Times New Roman" w:hAnsi="Times New Roman" w:cs="Times New Roman"/>
                <w:sz w:val="15"/>
                <w:szCs w:val="15"/>
              </w:rPr>
            </w:pPr>
            <w:r w:rsidRPr="0043286F">
              <w:rPr>
                <w:rFonts w:ascii="Times New Roman" w:hAnsi="Times New Roman" w:cs="Times New Roman"/>
                <w:sz w:val="15"/>
                <w:szCs w:val="15"/>
              </w:rPr>
              <w:t>Teamwork</w:t>
            </w:r>
          </w:p>
        </w:tc>
      </w:tr>
      <w:tr w:rsidR="00D24A7B" w:rsidRPr="0043286F" w14:paraId="5EE4AC84" w14:textId="77777777" w:rsidTr="0043286F">
        <w:trPr>
          <w:cantSplit/>
          <w:trHeight w:val="340"/>
        </w:trPr>
        <w:tc>
          <w:tcPr>
            <w:tcW w:w="0" w:type="auto"/>
            <w:shd w:val="clear" w:color="auto" w:fill="auto"/>
            <w:hideMark/>
          </w:tcPr>
          <w:p w14:paraId="758015F8"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Mills et al. (2020)</w:t>
            </w:r>
          </w:p>
        </w:tc>
        <w:tc>
          <w:tcPr>
            <w:tcW w:w="0" w:type="auto"/>
            <w:shd w:val="clear" w:color="auto" w:fill="auto"/>
            <w:hideMark/>
          </w:tcPr>
          <w:p w14:paraId="4DD7D18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Mixed-method study</w:t>
            </w:r>
          </w:p>
        </w:tc>
        <w:tc>
          <w:tcPr>
            <w:tcW w:w="0" w:type="auto"/>
            <w:shd w:val="clear" w:color="auto" w:fill="auto"/>
            <w:hideMark/>
          </w:tcPr>
          <w:p w14:paraId="6B8D898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2FE29C79"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pedagogy via HE</w:t>
            </w:r>
          </w:p>
        </w:tc>
        <w:tc>
          <w:tcPr>
            <w:tcW w:w="0" w:type="auto"/>
            <w:shd w:val="clear" w:color="auto" w:fill="auto"/>
            <w:hideMark/>
          </w:tcPr>
          <w:p w14:paraId="239994E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graduate students</w:t>
            </w:r>
          </w:p>
        </w:tc>
        <w:tc>
          <w:tcPr>
            <w:tcW w:w="0" w:type="auto"/>
            <w:shd w:val="clear" w:color="auto" w:fill="auto"/>
            <w:hideMark/>
          </w:tcPr>
          <w:p w14:paraId="55F2AF5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3149EF7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Role: analyst, evaluator, e-learning specialist and project manager</w:t>
            </w:r>
          </w:p>
        </w:tc>
        <w:tc>
          <w:tcPr>
            <w:tcW w:w="0" w:type="auto"/>
            <w:tcBorders>
              <w:left w:val="nil"/>
              <w:right w:val="nil"/>
            </w:tcBorders>
            <w:shd w:val="clear" w:color="auto" w:fill="auto"/>
          </w:tcPr>
          <w:p w14:paraId="7213A61C" w14:textId="5654BD28"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Adapt job descriptions; Programs must incorporate advising activities and career counseling</w:t>
            </w:r>
          </w:p>
        </w:tc>
      </w:tr>
      <w:tr w:rsidR="00D24A7B" w:rsidRPr="0043286F" w14:paraId="25BADDD3" w14:textId="77777777" w:rsidTr="0043286F">
        <w:trPr>
          <w:cantSplit/>
          <w:trHeight w:val="340"/>
        </w:trPr>
        <w:tc>
          <w:tcPr>
            <w:tcW w:w="0" w:type="auto"/>
            <w:shd w:val="clear" w:color="auto" w:fill="auto"/>
            <w:hideMark/>
          </w:tcPr>
          <w:p w14:paraId="05BB36AC"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lastRenderedPageBreak/>
              <w:t>Moreno et al. (2022)</w:t>
            </w:r>
          </w:p>
        </w:tc>
        <w:tc>
          <w:tcPr>
            <w:tcW w:w="0" w:type="auto"/>
            <w:shd w:val="clear" w:color="auto" w:fill="auto"/>
            <w:hideMark/>
          </w:tcPr>
          <w:p w14:paraId="7A2D1B7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study</w:t>
            </w:r>
          </w:p>
        </w:tc>
        <w:tc>
          <w:tcPr>
            <w:tcW w:w="0" w:type="auto"/>
            <w:shd w:val="clear" w:color="auto" w:fill="auto"/>
            <w:hideMark/>
          </w:tcPr>
          <w:p w14:paraId="2F8423F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7B646BF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568E7CC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5 members of ID team at small university in southeastern US</w:t>
            </w:r>
          </w:p>
        </w:tc>
        <w:tc>
          <w:tcPr>
            <w:tcW w:w="0" w:type="auto"/>
            <w:shd w:val="clear" w:color="auto" w:fill="auto"/>
            <w:hideMark/>
          </w:tcPr>
          <w:p w14:paraId="3356CCC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57F05DE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IDs have played an important role as change agents to help transition faculty both pedagogically and technologically (Campbell et al., 2009; Tracey et al., 2014; </w:t>
            </w:r>
            <w:proofErr w:type="spellStart"/>
            <w:r w:rsidRPr="00A5502C">
              <w:rPr>
                <w:rFonts w:ascii="Times New Roman" w:hAnsi="Times New Roman" w:cs="Times New Roman"/>
                <w:sz w:val="15"/>
                <w:szCs w:val="15"/>
              </w:rPr>
              <w:t>Halupa</w:t>
            </w:r>
            <w:proofErr w:type="spellEnd"/>
            <w:r w:rsidRPr="00A5502C">
              <w:rPr>
                <w:rFonts w:ascii="Times New Roman" w:hAnsi="Times New Roman" w:cs="Times New Roman"/>
                <w:sz w:val="15"/>
                <w:szCs w:val="15"/>
              </w:rPr>
              <w:t>, 2019). Evaluators of their courses; designed/implemented training courses; IDs who were primarily responsible for developing and leading the faculty training program along with two leadership members in academic affairs who oversaw the team efforts and contributed big picture decisions on topics such as content leveling, training duration, and mix ratio of course design and technology. Instructional designers (IDs) went into swift action to better prepare faculty for online instruction using new technologies and pedagogical approaches (Bao, 2020; Kilgore &amp; Diaz, 2020).</w:t>
            </w:r>
          </w:p>
        </w:tc>
        <w:tc>
          <w:tcPr>
            <w:tcW w:w="0" w:type="auto"/>
            <w:tcBorders>
              <w:right w:val="nil"/>
            </w:tcBorders>
            <w:shd w:val="clear" w:color="auto" w:fill="auto"/>
          </w:tcPr>
          <w:p w14:paraId="6BB6098D" w14:textId="57C0C615" w:rsidR="00D24A7B" w:rsidRPr="00A5502C" w:rsidRDefault="00536F98" w:rsidP="0043286F">
            <w:pPr>
              <w:rPr>
                <w:rFonts w:ascii="Times New Roman" w:hAnsi="Times New Roman" w:cs="Times New Roman"/>
                <w:sz w:val="15"/>
                <w:szCs w:val="15"/>
              </w:rPr>
            </w:pPr>
            <w:r w:rsidRPr="0043286F">
              <w:rPr>
                <w:rFonts w:ascii="Times New Roman" w:hAnsi="Times New Roman" w:cs="Times New Roman"/>
                <w:sz w:val="15"/>
                <w:szCs w:val="15"/>
              </w:rPr>
              <w:t>Teamwork</w:t>
            </w:r>
            <w:r w:rsidR="00D24A7B" w:rsidRPr="0043286F">
              <w:rPr>
                <w:rFonts w:ascii="Times New Roman" w:hAnsi="Times New Roman" w:cs="Times New Roman"/>
                <w:sz w:val="15"/>
                <w:szCs w:val="15"/>
              </w:rPr>
              <w:t>: prepare plan of action, regular meetings</w:t>
            </w:r>
          </w:p>
        </w:tc>
      </w:tr>
      <w:tr w:rsidR="00D24A7B" w:rsidRPr="0043286F" w14:paraId="01163666" w14:textId="77777777" w:rsidTr="0043286F">
        <w:trPr>
          <w:cantSplit/>
          <w:trHeight w:val="340"/>
        </w:trPr>
        <w:tc>
          <w:tcPr>
            <w:tcW w:w="0" w:type="auto"/>
            <w:shd w:val="clear" w:color="auto" w:fill="auto"/>
            <w:hideMark/>
          </w:tcPr>
          <w:p w14:paraId="0CDCA64C"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Mueller et al. (2022)</w:t>
            </w:r>
          </w:p>
        </w:tc>
        <w:tc>
          <w:tcPr>
            <w:tcW w:w="0" w:type="auto"/>
            <w:shd w:val="clear" w:color="auto" w:fill="auto"/>
            <w:hideMark/>
          </w:tcPr>
          <w:p w14:paraId="07E45F6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Mixed-method study</w:t>
            </w:r>
          </w:p>
        </w:tc>
        <w:tc>
          <w:tcPr>
            <w:tcW w:w="0" w:type="auto"/>
            <w:shd w:val="clear" w:color="auto" w:fill="auto"/>
            <w:hideMark/>
          </w:tcPr>
          <w:p w14:paraId="5F2C587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434BB97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4B16959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IDs working in HE in US, Canada, Turkey</w:t>
            </w:r>
          </w:p>
        </w:tc>
        <w:tc>
          <w:tcPr>
            <w:tcW w:w="0" w:type="auto"/>
            <w:shd w:val="clear" w:color="auto" w:fill="auto"/>
            <w:hideMark/>
          </w:tcPr>
          <w:p w14:paraId="3C76BF9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0587BBA9" w14:textId="2CD65E3A"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Not faculty members; Instructional designers with faculty to transform their </w:t>
            </w:r>
            <w:proofErr w:type="gramStart"/>
            <w:r w:rsidR="00536F98" w:rsidRPr="00A5502C">
              <w:rPr>
                <w:rFonts w:ascii="Times New Roman" w:hAnsi="Times New Roman" w:cs="Times New Roman"/>
                <w:sz w:val="15"/>
                <w:szCs w:val="15"/>
              </w:rPr>
              <w:t>on campus</w:t>
            </w:r>
            <w:proofErr w:type="gramEnd"/>
            <w:r w:rsidRPr="00A5502C">
              <w:rPr>
                <w:rFonts w:ascii="Times New Roman" w:hAnsi="Times New Roman" w:cs="Times New Roman"/>
                <w:sz w:val="15"/>
                <w:szCs w:val="15"/>
              </w:rPr>
              <w:t xml:space="preserve"> course offerings to online learning environments</w:t>
            </w:r>
          </w:p>
        </w:tc>
        <w:tc>
          <w:tcPr>
            <w:tcW w:w="0" w:type="auto"/>
            <w:tcBorders>
              <w:left w:val="nil"/>
              <w:right w:val="nil"/>
            </w:tcBorders>
            <w:shd w:val="clear" w:color="auto" w:fill="auto"/>
          </w:tcPr>
          <w:p w14:paraId="342C3EA8" w14:textId="4503C73A" w:rsidR="00D24A7B" w:rsidRPr="00A5502C" w:rsidRDefault="00536F98" w:rsidP="0043286F">
            <w:pPr>
              <w:rPr>
                <w:rFonts w:ascii="Times New Roman" w:hAnsi="Times New Roman" w:cs="Times New Roman"/>
                <w:sz w:val="15"/>
                <w:szCs w:val="15"/>
              </w:rPr>
            </w:pPr>
            <w:r w:rsidRPr="0043286F">
              <w:rPr>
                <w:rFonts w:ascii="Times New Roman" w:hAnsi="Times New Roman" w:cs="Times New Roman"/>
                <w:sz w:val="15"/>
                <w:szCs w:val="15"/>
              </w:rPr>
              <w:t>Teamwork</w:t>
            </w:r>
            <w:r w:rsidR="00D24A7B" w:rsidRPr="0043286F">
              <w:rPr>
                <w:rFonts w:ascii="Times New Roman" w:hAnsi="Times New Roman" w:cs="Times New Roman"/>
                <w:sz w:val="15"/>
                <w:szCs w:val="15"/>
              </w:rPr>
              <w:t xml:space="preserve"> with collaboration agreement</w:t>
            </w:r>
          </w:p>
        </w:tc>
      </w:tr>
      <w:tr w:rsidR="00D24A7B" w:rsidRPr="0043286F" w14:paraId="2CEC9F3A" w14:textId="77777777" w:rsidTr="0043286F">
        <w:trPr>
          <w:cantSplit/>
          <w:trHeight w:val="340"/>
        </w:trPr>
        <w:tc>
          <w:tcPr>
            <w:tcW w:w="0" w:type="auto"/>
            <w:shd w:val="clear" w:color="auto" w:fill="auto"/>
            <w:hideMark/>
          </w:tcPr>
          <w:p w14:paraId="4C318D6B" w14:textId="77777777" w:rsidR="00D24A7B" w:rsidRPr="00A5502C" w:rsidRDefault="00D24A7B" w:rsidP="0043286F">
            <w:pPr>
              <w:rPr>
                <w:rFonts w:ascii="Times New Roman" w:hAnsi="Times New Roman" w:cs="Times New Roman"/>
                <w:sz w:val="15"/>
                <w:szCs w:val="15"/>
              </w:rPr>
            </w:pPr>
            <w:proofErr w:type="spellStart"/>
            <w:r w:rsidRPr="00A5502C">
              <w:rPr>
                <w:rFonts w:ascii="Times New Roman" w:hAnsi="Times New Roman" w:cs="Times New Roman"/>
                <w:sz w:val="15"/>
                <w:szCs w:val="15"/>
              </w:rPr>
              <w:t>Muljana</w:t>
            </w:r>
            <w:proofErr w:type="spellEnd"/>
            <w:r w:rsidRPr="00A5502C">
              <w:rPr>
                <w:rFonts w:ascii="Times New Roman" w:hAnsi="Times New Roman" w:cs="Times New Roman"/>
                <w:sz w:val="15"/>
                <w:szCs w:val="15"/>
              </w:rPr>
              <w:t xml:space="preserve"> &amp; Luo (2021) </w:t>
            </w:r>
          </w:p>
        </w:tc>
        <w:tc>
          <w:tcPr>
            <w:tcW w:w="0" w:type="auto"/>
            <w:shd w:val="clear" w:color="auto" w:fill="auto"/>
            <w:hideMark/>
          </w:tcPr>
          <w:p w14:paraId="240B1BB7" w14:textId="62FA9F98"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Phenomenological</w:t>
            </w:r>
            <w:r w:rsidR="00536F98">
              <w:rPr>
                <w:rFonts w:ascii="Times New Roman" w:hAnsi="Times New Roman" w:cs="Times New Roman"/>
                <w:sz w:val="15"/>
                <w:szCs w:val="15"/>
              </w:rPr>
              <w:t xml:space="preserve"> </w:t>
            </w:r>
            <w:r w:rsidRPr="00A5502C">
              <w:rPr>
                <w:rFonts w:ascii="Times New Roman" w:hAnsi="Times New Roman" w:cs="Times New Roman"/>
                <w:sz w:val="15"/>
                <w:szCs w:val="15"/>
              </w:rPr>
              <w:t>study</w:t>
            </w:r>
          </w:p>
        </w:tc>
        <w:tc>
          <w:tcPr>
            <w:tcW w:w="0" w:type="auto"/>
            <w:shd w:val="clear" w:color="auto" w:fill="auto"/>
            <w:hideMark/>
          </w:tcPr>
          <w:p w14:paraId="5932F24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128478F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7F223F6C"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IDs with course design experience in HE</w:t>
            </w:r>
          </w:p>
        </w:tc>
        <w:tc>
          <w:tcPr>
            <w:tcW w:w="0" w:type="auto"/>
            <w:shd w:val="clear" w:color="auto" w:fill="auto"/>
            <w:hideMark/>
          </w:tcPr>
          <w:p w14:paraId="5FE8174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Therefore, the design process is rarely smooth, systematic, or linear (Tracey and Boling 2014).</w:t>
            </w:r>
          </w:p>
        </w:tc>
        <w:tc>
          <w:tcPr>
            <w:tcW w:w="0" w:type="auto"/>
            <w:shd w:val="clear" w:color="auto" w:fill="auto"/>
            <w:hideMark/>
          </w:tcPr>
          <w:p w14:paraId="6A1899B4" w14:textId="58D83A5F"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This quote represents the complex </w:t>
            </w:r>
            <w:r w:rsidR="00536F98" w:rsidRPr="00A5502C">
              <w:rPr>
                <w:rFonts w:ascii="Times New Roman" w:hAnsi="Times New Roman" w:cs="Times New Roman"/>
                <w:sz w:val="15"/>
                <w:szCs w:val="15"/>
              </w:rPr>
              <w:t>decision-making</w:t>
            </w:r>
            <w:r w:rsidRPr="00A5502C">
              <w:rPr>
                <w:rFonts w:ascii="Times New Roman" w:hAnsi="Times New Roman" w:cs="Times New Roman"/>
                <w:sz w:val="15"/>
                <w:szCs w:val="15"/>
              </w:rPr>
              <w:t xml:space="preserve"> process of IDs during the design and development of instruction. In design practices, not a single instructional design model can address every learning issue and design constraint. IDs use their knowledge, skills, experience, and pedagogical beliefs to make judgments and consider contextual factors (</w:t>
            </w:r>
            <w:proofErr w:type="spellStart"/>
            <w:r w:rsidRPr="00A5502C">
              <w:rPr>
                <w:rFonts w:ascii="Times New Roman" w:hAnsi="Times New Roman" w:cs="Times New Roman"/>
                <w:sz w:val="15"/>
                <w:szCs w:val="15"/>
              </w:rPr>
              <w:t>Tessmer</w:t>
            </w:r>
            <w:proofErr w:type="spellEnd"/>
            <w:r w:rsidRPr="00A5502C">
              <w:rPr>
                <w:rFonts w:ascii="Times New Roman" w:hAnsi="Times New Roman" w:cs="Times New Roman"/>
                <w:sz w:val="15"/>
                <w:szCs w:val="15"/>
              </w:rPr>
              <w:t xml:space="preserve"> and Richey 1997). Faculty and administration are not IDs, they are support </w:t>
            </w:r>
            <w:r w:rsidR="00536F98" w:rsidRPr="00A5502C">
              <w:rPr>
                <w:rFonts w:ascii="Times New Roman" w:hAnsi="Times New Roman" w:cs="Times New Roman"/>
                <w:sz w:val="15"/>
                <w:szCs w:val="15"/>
              </w:rPr>
              <w:t>personnel</w:t>
            </w:r>
            <w:r w:rsidRPr="00A5502C">
              <w:rPr>
                <w:rFonts w:ascii="Times New Roman" w:hAnsi="Times New Roman" w:cs="Times New Roman"/>
                <w:sz w:val="15"/>
                <w:szCs w:val="15"/>
              </w:rPr>
              <w:t>, who make course design decisions.</w:t>
            </w:r>
          </w:p>
        </w:tc>
        <w:tc>
          <w:tcPr>
            <w:tcW w:w="0" w:type="auto"/>
            <w:tcBorders>
              <w:left w:val="nil"/>
              <w:right w:val="nil"/>
            </w:tcBorders>
            <w:shd w:val="clear" w:color="auto" w:fill="auto"/>
          </w:tcPr>
          <w:p w14:paraId="7ED83F04" w14:textId="7F4FF1FE"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Use learning analytics and communicate them to instructors; invest further time outside formal education</w:t>
            </w:r>
          </w:p>
        </w:tc>
      </w:tr>
      <w:tr w:rsidR="00D24A7B" w:rsidRPr="0043286F" w14:paraId="79F09C3E" w14:textId="77777777" w:rsidTr="0043286F">
        <w:trPr>
          <w:cantSplit/>
          <w:trHeight w:val="340"/>
        </w:trPr>
        <w:tc>
          <w:tcPr>
            <w:tcW w:w="0" w:type="auto"/>
            <w:shd w:val="clear" w:color="auto" w:fill="auto"/>
            <w:hideMark/>
          </w:tcPr>
          <w:p w14:paraId="0CA5342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lastRenderedPageBreak/>
              <w:t xml:space="preserve">Richardson et al. (2019) </w:t>
            </w:r>
          </w:p>
        </w:tc>
        <w:tc>
          <w:tcPr>
            <w:tcW w:w="0" w:type="auto"/>
            <w:shd w:val="clear" w:color="auto" w:fill="auto"/>
            <w:hideMark/>
          </w:tcPr>
          <w:p w14:paraId="38CDE1C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Exploratory qualitative study</w:t>
            </w:r>
          </w:p>
        </w:tc>
        <w:tc>
          <w:tcPr>
            <w:tcW w:w="0" w:type="auto"/>
            <w:shd w:val="clear" w:color="auto" w:fill="auto"/>
            <w:hideMark/>
          </w:tcPr>
          <w:p w14:paraId="4D5C736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6EC5036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172041F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Faculty and instructional designers</w:t>
            </w:r>
          </w:p>
        </w:tc>
        <w:tc>
          <w:tcPr>
            <w:tcW w:w="0" w:type="auto"/>
            <w:shd w:val="clear" w:color="auto" w:fill="auto"/>
            <w:hideMark/>
          </w:tcPr>
          <w:p w14:paraId="4B9049F8"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 (ID) is a process of enhancing learning and applying instructional principles to solve real-world problems (Kanuka 2006; Reiser and Dempsey 2011).</w:t>
            </w:r>
          </w:p>
        </w:tc>
        <w:tc>
          <w:tcPr>
            <w:tcW w:w="0" w:type="auto"/>
            <w:shd w:val="clear" w:color="auto" w:fill="auto"/>
            <w:hideMark/>
          </w:tcPr>
          <w:p w14:paraId="3D4084DD" w14:textId="70910AD2"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The role of an instructional designer in higher education can be dynamic, yet ambiguous (Pan et al. 2003) and in part contextual to their location and how centralized or decentralized they are within a college or university (</w:t>
            </w:r>
            <w:proofErr w:type="spellStart"/>
            <w:r w:rsidRPr="00A5502C">
              <w:rPr>
                <w:rFonts w:ascii="Times New Roman" w:hAnsi="Times New Roman" w:cs="Times New Roman"/>
                <w:sz w:val="15"/>
                <w:szCs w:val="15"/>
              </w:rPr>
              <w:t>Maitre</w:t>
            </w:r>
            <w:proofErr w:type="spellEnd"/>
            <w:r w:rsidRPr="00A5502C">
              <w:rPr>
                <w:rFonts w:ascii="Times New Roman" w:hAnsi="Times New Roman" w:cs="Times New Roman"/>
                <w:sz w:val="15"/>
                <w:szCs w:val="15"/>
              </w:rPr>
              <w:t xml:space="preserve">, and Smith 2009). As such, designers are expected to possess a range of knowledge and skills, including the implementation of learning and instructional models and theories; application of technologies; evaluation skills; and cross-cultural competencies (Anglin and Morrison 2000; Christensen and </w:t>
            </w:r>
            <w:proofErr w:type="spellStart"/>
            <w:r w:rsidRPr="00A5502C">
              <w:rPr>
                <w:rFonts w:ascii="Times New Roman" w:hAnsi="Times New Roman" w:cs="Times New Roman"/>
                <w:sz w:val="15"/>
                <w:szCs w:val="15"/>
              </w:rPr>
              <w:t>Osguthorpe</w:t>
            </w:r>
            <w:proofErr w:type="spellEnd"/>
            <w:r w:rsidRPr="00A5502C">
              <w:rPr>
                <w:rFonts w:ascii="Times New Roman" w:hAnsi="Times New Roman" w:cs="Times New Roman"/>
                <w:sz w:val="15"/>
                <w:szCs w:val="15"/>
              </w:rPr>
              <w:t xml:space="preserve"> 2004; Dooley et al. 2007; Kenny et al. 2005; Kumar and </w:t>
            </w:r>
            <w:proofErr w:type="spellStart"/>
            <w:r w:rsidRPr="00A5502C">
              <w:rPr>
                <w:rFonts w:ascii="Times New Roman" w:hAnsi="Times New Roman" w:cs="Times New Roman"/>
                <w:sz w:val="15"/>
                <w:szCs w:val="15"/>
              </w:rPr>
              <w:t>Ritzhaupt</w:t>
            </w:r>
            <w:proofErr w:type="spellEnd"/>
            <w:r w:rsidRPr="00A5502C">
              <w:rPr>
                <w:rFonts w:ascii="Times New Roman" w:hAnsi="Times New Roman" w:cs="Times New Roman"/>
                <w:sz w:val="15"/>
                <w:szCs w:val="15"/>
              </w:rPr>
              <w:t xml:space="preserve"> 2017; Rothwell and </w:t>
            </w:r>
            <w:proofErr w:type="spellStart"/>
            <w:r w:rsidRPr="00A5502C">
              <w:rPr>
                <w:rFonts w:ascii="Times New Roman" w:hAnsi="Times New Roman" w:cs="Times New Roman"/>
                <w:sz w:val="15"/>
                <w:szCs w:val="15"/>
              </w:rPr>
              <w:t>Kazanas</w:t>
            </w:r>
            <w:proofErr w:type="spellEnd"/>
            <w:r w:rsidRPr="00A5502C">
              <w:rPr>
                <w:rFonts w:ascii="Times New Roman" w:hAnsi="Times New Roman" w:cs="Times New Roman"/>
                <w:sz w:val="15"/>
                <w:szCs w:val="15"/>
              </w:rPr>
              <w:t xml:space="preserve"> 2008; Russ-Eft et al. 2008). ID vs </w:t>
            </w:r>
            <w:r w:rsidR="00536F98" w:rsidRPr="00A5502C">
              <w:rPr>
                <w:rFonts w:ascii="Times New Roman" w:hAnsi="Times New Roman" w:cs="Times New Roman"/>
                <w:sz w:val="15"/>
                <w:szCs w:val="15"/>
              </w:rPr>
              <w:t>faculty:</w:t>
            </w:r>
            <w:r w:rsidRPr="00A5502C">
              <w:rPr>
                <w:rFonts w:ascii="Times New Roman" w:hAnsi="Times New Roman" w:cs="Times New Roman"/>
                <w:sz w:val="15"/>
                <w:szCs w:val="15"/>
              </w:rPr>
              <w:t xml:space="preserve"> However, a study by Jaschik and Lederman (2017) found that only one in four faculty members reported working with an instructional designer to create or revise face-to-face or online courses. Namely that higher education is experiencing an increased demand for instructional designers, with an expected job growth of over 19% in the next 10 years (CNN Money 2013).</w:t>
            </w:r>
          </w:p>
        </w:tc>
        <w:tc>
          <w:tcPr>
            <w:tcW w:w="0" w:type="auto"/>
            <w:tcBorders>
              <w:left w:val="nil"/>
              <w:right w:val="nil"/>
            </w:tcBorders>
            <w:shd w:val="clear" w:color="auto" w:fill="auto"/>
          </w:tcPr>
          <w:p w14:paraId="348BDA05" w14:textId="24A8103B" w:rsidR="00D24A7B" w:rsidRPr="00A5502C" w:rsidRDefault="00536F98" w:rsidP="0043286F">
            <w:pPr>
              <w:rPr>
                <w:rFonts w:ascii="Times New Roman" w:hAnsi="Times New Roman" w:cs="Times New Roman"/>
                <w:sz w:val="15"/>
                <w:szCs w:val="15"/>
              </w:rPr>
            </w:pPr>
            <w:r w:rsidRPr="0043286F">
              <w:rPr>
                <w:rFonts w:ascii="Times New Roman" w:hAnsi="Times New Roman" w:cs="Times New Roman"/>
                <w:sz w:val="15"/>
                <w:szCs w:val="15"/>
              </w:rPr>
              <w:t>Teamwork</w:t>
            </w:r>
            <w:r w:rsidR="00D24A7B" w:rsidRPr="0043286F">
              <w:rPr>
                <w:rFonts w:ascii="Times New Roman" w:hAnsi="Times New Roman" w:cs="Times New Roman"/>
                <w:sz w:val="15"/>
                <w:szCs w:val="15"/>
              </w:rPr>
              <w:t xml:space="preserve"> with understanding of roles, identify incentives, understand collaboration</w:t>
            </w:r>
          </w:p>
        </w:tc>
      </w:tr>
      <w:tr w:rsidR="00D24A7B" w:rsidRPr="0043286F" w14:paraId="2E674C32" w14:textId="77777777" w:rsidTr="0043286F">
        <w:trPr>
          <w:cantSplit/>
          <w:trHeight w:val="340"/>
        </w:trPr>
        <w:tc>
          <w:tcPr>
            <w:tcW w:w="0" w:type="auto"/>
            <w:shd w:val="clear" w:color="auto" w:fill="auto"/>
            <w:hideMark/>
          </w:tcPr>
          <w:p w14:paraId="1EA6E75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Rosenberger (2019)</w:t>
            </w:r>
          </w:p>
        </w:tc>
        <w:tc>
          <w:tcPr>
            <w:tcW w:w="0" w:type="auto"/>
            <w:shd w:val="clear" w:color="auto" w:fill="auto"/>
            <w:hideMark/>
          </w:tcPr>
          <w:p w14:paraId="0406C9C2"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study</w:t>
            </w:r>
          </w:p>
        </w:tc>
        <w:tc>
          <w:tcPr>
            <w:tcW w:w="0" w:type="auto"/>
            <w:shd w:val="clear" w:color="auto" w:fill="auto"/>
            <w:hideMark/>
          </w:tcPr>
          <w:p w14:paraId="1376CB5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4F6323A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295C1BE8"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designers from</w:t>
            </w:r>
            <w:r w:rsidRPr="00A5502C">
              <w:rPr>
                <w:rFonts w:ascii="Times New Roman" w:hAnsi="Times New Roman" w:cs="Times New Roman"/>
                <w:sz w:val="15"/>
                <w:szCs w:val="15"/>
              </w:rPr>
              <w:br/>
              <w:t xml:space="preserve">around the USA who have been involved in the design or implementation of a digital badging program </w:t>
            </w:r>
          </w:p>
        </w:tc>
        <w:tc>
          <w:tcPr>
            <w:tcW w:w="0" w:type="auto"/>
            <w:shd w:val="clear" w:color="auto" w:fill="auto"/>
            <w:hideMark/>
          </w:tcPr>
          <w:p w14:paraId="4DA76361"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6F38576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The term instructional designer^ includes not only instructional designers, but those with identical or similar roles, such as an instructional technologist. However, for this paper, the term instructional design will act as a representative term for these other titles.</w:t>
            </w:r>
          </w:p>
        </w:tc>
        <w:tc>
          <w:tcPr>
            <w:tcW w:w="0" w:type="auto"/>
            <w:tcBorders>
              <w:left w:val="nil"/>
              <w:right w:val="nil"/>
            </w:tcBorders>
            <w:shd w:val="clear" w:color="auto" w:fill="auto"/>
          </w:tcPr>
          <w:p w14:paraId="1C4D550A" w14:textId="5BCE36B4"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Include design thinking</w:t>
            </w:r>
          </w:p>
        </w:tc>
      </w:tr>
      <w:tr w:rsidR="00D24A7B" w:rsidRPr="0043286F" w14:paraId="1F1DDE5A" w14:textId="77777777" w:rsidTr="0043286F">
        <w:trPr>
          <w:cantSplit/>
          <w:trHeight w:val="340"/>
        </w:trPr>
        <w:tc>
          <w:tcPr>
            <w:tcW w:w="0" w:type="auto"/>
            <w:shd w:val="clear" w:color="auto" w:fill="auto"/>
            <w:hideMark/>
          </w:tcPr>
          <w:p w14:paraId="4BE2E205" w14:textId="77777777" w:rsidR="00D24A7B" w:rsidRPr="00A5502C" w:rsidRDefault="00D24A7B" w:rsidP="0043286F">
            <w:pPr>
              <w:rPr>
                <w:rFonts w:ascii="Times New Roman" w:hAnsi="Times New Roman" w:cs="Times New Roman"/>
                <w:sz w:val="15"/>
                <w:szCs w:val="15"/>
              </w:rPr>
            </w:pPr>
            <w:proofErr w:type="spellStart"/>
            <w:r w:rsidRPr="00A5502C">
              <w:rPr>
                <w:rFonts w:ascii="Times New Roman" w:hAnsi="Times New Roman" w:cs="Times New Roman"/>
                <w:sz w:val="15"/>
                <w:szCs w:val="15"/>
              </w:rPr>
              <w:t>Sendurur</w:t>
            </w:r>
            <w:proofErr w:type="spellEnd"/>
            <w:r w:rsidRPr="00A5502C">
              <w:rPr>
                <w:rFonts w:ascii="Times New Roman" w:hAnsi="Times New Roman" w:cs="Times New Roman"/>
                <w:sz w:val="15"/>
                <w:szCs w:val="15"/>
              </w:rPr>
              <w:t xml:space="preserve"> (2018).</w:t>
            </w:r>
          </w:p>
        </w:tc>
        <w:tc>
          <w:tcPr>
            <w:tcW w:w="0" w:type="auto"/>
            <w:shd w:val="clear" w:color="auto" w:fill="auto"/>
            <w:hideMark/>
          </w:tcPr>
          <w:p w14:paraId="5A05BB12"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study</w:t>
            </w:r>
          </w:p>
        </w:tc>
        <w:tc>
          <w:tcPr>
            <w:tcW w:w="0" w:type="auto"/>
            <w:shd w:val="clear" w:color="auto" w:fill="auto"/>
            <w:hideMark/>
          </w:tcPr>
          <w:p w14:paraId="28E698E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318496F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Teacher education</w:t>
            </w:r>
          </w:p>
        </w:tc>
        <w:tc>
          <w:tcPr>
            <w:tcW w:w="0" w:type="auto"/>
            <w:shd w:val="clear" w:color="auto" w:fill="auto"/>
            <w:hideMark/>
          </w:tcPr>
          <w:p w14:paraId="46A001F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Pre-service IT teachers </w:t>
            </w:r>
            <w:proofErr w:type="gramStart"/>
            <w:r w:rsidRPr="00A5502C">
              <w:rPr>
                <w:rFonts w:ascii="Times New Roman" w:hAnsi="Times New Roman" w:cs="Times New Roman"/>
                <w:sz w:val="15"/>
                <w:szCs w:val="15"/>
              </w:rPr>
              <w:t>of</w:t>
            </w:r>
            <w:proofErr w:type="gramEnd"/>
            <w:r w:rsidRPr="00A5502C">
              <w:rPr>
                <w:rFonts w:ascii="Times New Roman" w:hAnsi="Times New Roman" w:cs="Times New Roman"/>
                <w:sz w:val="15"/>
                <w:szCs w:val="15"/>
              </w:rPr>
              <w:t xml:space="preserve"> elementary schools in Turkey</w:t>
            </w:r>
          </w:p>
        </w:tc>
        <w:tc>
          <w:tcPr>
            <w:tcW w:w="0" w:type="auto"/>
            <w:shd w:val="clear" w:color="auto" w:fill="auto"/>
            <w:hideMark/>
          </w:tcPr>
          <w:p w14:paraId="0377DC63" w14:textId="7FBBFCE1"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can be defined as “a construct that refers to the principles and procedures by which instructional materials, lessons, and whole systems can be developed in a consistent and reliable fashion” (</w:t>
            </w:r>
            <w:proofErr w:type="spellStart"/>
            <w:r w:rsidRPr="00A5502C">
              <w:rPr>
                <w:rFonts w:ascii="Times New Roman" w:hAnsi="Times New Roman" w:cs="Times New Roman"/>
                <w:sz w:val="15"/>
                <w:szCs w:val="15"/>
              </w:rPr>
              <w:t>Molenda</w:t>
            </w:r>
            <w:proofErr w:type="spellEnd"/>
            <w:r w:rsidRPr="00A5502C">
              <w:rPr>
                <w:rFonts w:ascii="Times New Roman" w:hAnsi="Times New Roman" w:cs="Times New Roman"/>
                <w:sz w:val="15"/>
                <w:szCs w:val="15"/>
              </w:rPr>
              <w:t xml:space="preserve">, </w:t>
            </w:r>
            <w:proofErr w:type="spellStart"/>
            <w:r w:rsidRPr="00A5502C">
              <w:rPr>
                <w:rFonts w:ascii="Times New Roman" w:hAnsi="Times New Roman" w:cs="Times New Roman"/>
                <w:sz w:val="15"/>
                <w:szCs w:val="15"/>
              </w:rPr>
              <w:t>Reigeluth</w:t>
            </w:r>
            <w:proofErr w:type="spellEnd"/>
            <w:r w:rsidRPr="00A5502C">
              <w:rPr>
                <w:rFonts w:ascii="Times New Roman" w:hAnsi="Times New Roman" w:cs="Times New Roman"/>
                <w:sz w:val="15"/>
                <w:szCs w:val="15"/>
              </w:rPr>
              <w:t xml:space="preserve">, &amp; Nelson, 2003, p. 574). Therefore, ID is a more comprehensive process than lesson planning, as the latter can be considered as one of the products of ID. ID is part of teaching </w:t>
            </w:r>
            <w:r w:rsidR="00536F98" w:rsidRPr="00A5502C">
              <w:rPr>
                <w:rFonts w:ascii="Times New Roman" w:hAnsi="Times New Roman" w:cs="Times New Roman"/>
                <w:sz w:val="15"/>
                <w:szCs w:val="15"/>
              </w:rPr>
              <w:t>profession,</w:t>
            </w:r>
            <w:r w:rsidRPr="00A5502C">
              <w:rPr>
                <w:rFonts w:ascii="Times New Roman" w:hAnsi="Times New Roman" w:cs="Times New Roman"/>
                <w:sz w:val="15"/>
                <w:szCs w:val="15"/>
              </w:rPr>
              <w:t xml:space="preserve"> but ID differentiates from teaching</w:t>
            </w:r>
          </w:p>
        </w:tc>
        <w:tc>
          <w:tcPr>
            <w:tcW w:w="0" w:type="auto"/>
            <w:shd w:val="clear" w:color="auto" w:fill="auto"/>
            <w:hideMark/>
          </w:tcPr>
          <w:p w14:paraId="67A862F1"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Teachers are instructional designers</w:t>
            </w:r>
          </w:p>
        </w:tc>
        <w:tc>
          <w:tcPr>
            <w:tcW w:w="0" w:type="auto"/>
            <w:tcBorders>
              <w:left w:val="nil"/>
              <w:right w:val="nil"/>
            </w:tcBorders>
            <w:shd w:val="clear" w:color="auto" w:fill="auto"/>
          </w:tcPr>
          <w:p w14:paraId="4AD35356" w14:textId="4B01C6CE" w:rsidR="00D24A7B" w:rsidRPr="00A5502C" w:rsidRDefault="00D24A7B" w:rsidP="0043286F">
            <w:pPr>
              <w:rPr>
                <w:rFonts w:ascii="Times New Roman" w:hAnsi="Times New Roman" w:cs="Times New Roman"/>
                <w:sz w:val="15"/>
                <w:szCs w:val="15"/>
              </w:rPr>
            </w:pPr>
            <w:r>
              <w:rPr>
                <w:rFonts w:ascii="Times New Roman" w:hAnsi="Times New Roman" w:cs="Times New Roman"/>
                <w:sz w:val="15"/>
                <w:szCs w:val="15"/>
              </w:rPr>
              <w:t>/</w:t>
            </w:r>
          </w:p>
        </w:tc>
      </w:tr>
      <w:tr w:rsidR="00D24A7B" w:rsidRPr="0043286F" w14:paraId="6B0A1038" w14:textId="77777777" w:rsidTr="0043286F">
        <w:trPr>
          <w:cantSplit/>
          <w:trHeight w:val="340"/>
        </w:trPr>
        <w:tc>
          <w:tcPr>
            <w:tcW w:w="0" w:type="auto"/>
            <w:shd w:val="clear" w:color="auto" w:fill="auto"/>
            <w:hideMark/>
          </w:tcPr>
          <w:p w14:paraId="57E7F50A" w14:textId="77777777" w:rsidR="00D24A7B" w:rsidRPr="00A5502C" w:rsidRDefault="00D24A7B" w:rsidP="0043286F">
            <w:pPr>
              <w:rPr>
                <w:rFonts w:ascii="Times New Roman" w:hAnsi="Times New Roman" w:cs="Times New Roman"/>
                <w:sz w:val="15"/>
                <w:szCs w:val="15"/>
              </w:rPr>
            </w:pPr>
            <w:proofErr w:type="spellStart"/>
            <w:r w:rsidRPr="00A5502C">
              <w:rPr>
                <w:rFonts w:ascii="Times New Roman" w:hAnsi="Times New Roman" w:cs="Times New Roman"/>
                <w:sz w:val="15"/>
                <w:szCs w:val="15"/>
              </w:rPr>
              <w:t>Sentz</w:t>
            </w:r>
            <w:proofErr w:type="spellEnd"/>
            <w:r w:rsidRPr="00A5502C">
              <w:rPr>
                <w:rFonts w:ascii="Times New Roman" w:hAnsi="Times New Roman" w:cs="Times New Roman"/>
                <w:sz w:val="15"/>
                <w:szCs w:val="15"/>
              </w:rPr>
              <w:t xml:space="preserve"> et al. (2019)</w:t>
            </w:r>
          </w:p>
        </w:tc>
        <w:tc>
          <w:tcPr>
            <w:tcW w:w="0" w:type="auto"/>
            <w:shd w:val="clear" w:color="auto" w:fill="auto"/>
            <w:hideMark/>
          </w:tcPr>
          <w:p w14:paraId="78B0725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Mixed-method study</w:t>
            </w:r>
          </w:p>
        </w:tc>
        <w:tc>
          <w:tcPr>
            <w:tcW w:w="0" w:type="auto"/>
            <w:shd w:val="clear" w:color="auto" w:fill="auto"/>
            <w:hideMark/>
          </w:tcPr>
          <w:p w14:paraId="24209C6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Different professional settings</w:t>
            </w:r>
          </w:p>
        </w:tc>
        <w:tc>
          <w:tcPr>
            <w:tcW w:w="0" w:type="auto"/>
            <w:shd w:val="clear" w:color="auto" w:fill="auto"/>
            <w:hideMark/>
          </w:tcPr>
          <w:p w14:paraId="121BDE1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5223588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IDs from Association for Educational Communications and Technology (AECT)</w:t>
            </w:r>
          </w:p>
        </w:tc>
        <w:tc>
          <w:tcPr>
            <w:tcW w:w="0" w:type="auto"/>
            <w:shd w:val="clear" w:color="auto" w:fill="auto"/>
            <w:hideMark/>
          </w:tcPr>
          <w:p w14:paraId="3107A31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10E776B5"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Instructional designers engaged in as they completed a design project (Pieters and Bergman 1995; Rowland 1992; Wedman and </w:t>
            </w:r>
            <w:proofErr w:type="spellStart"/>
            <w:r w:rsidRPr="00A5502C">
              <w:rPr>
                <w:rFonts w:ascii="Times New Roman" w:hAnsi="Times New Roman" w:cs="Times New Roman"/>
                <w:sz w:val="15"/>
                <w:szCs w:val="15"/>
              </w:rPr>
              <w:t>Tessmer</w:t>
            </w:r>
            <w:proofErr w:type="spellEnd"/>
            <w:r w:rsidRPr="00A5502C">
              <w:rPr>
                <w:rFonts w:ascii="Times New Roman" w:hAnsi="Times New Roman" w:cs="Times New Roman"/>
                <w:sz w:val="15"/>
                <w:szCs w:val="15"/>
              </w:rPr>
              <w:t xml:space="preserve"> 1993; Winer and Vázquez-Abad, 1995). Difference between ID novices and experts</w:t>
            </w:r>
          </w:p>
        </w:tc>
        <w:tc>
          <w:tcPr>
            <w:tcW w:w="0" w:type="auto"/>
            <w:tcBorders>
              <w:left w:val="nil"/>
              <w:right w:val="nil"/>
            </w:tcBorders>
            <w:shd w:val="clear" w:color="auto" w:fill="auto"/>
          </w:tcPr>
          <w:p w14:paraId="78D2B278" w14:textId="11158F47"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Include cognitive load theory</w:t>
            </w:r>
          </w:p>
        </w:tc>
      </w:tr>
      <w:tr w:rsidR="00D24A7B" w:rsidRPr="0043286F" w14:paraId="753772D1" w14:textId="77777777" w:rsidTr="0043286F">
        <w:trPr>
          <w:cantSplit/>
          <w:trHeight w:val="340"/>
        </w:trPr>
        <w:tc>
          <w:tcPr>
            <w:tcW w:w="0" w:type="auto"/>
            <w:shd w:val="clear" w:color="auto" w:fill="auto"/>
            <w:hideMark/>
          </w:tcPr>
          <w:p w14:paraId="7C1D3298"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lastRenderedPageBreak/>
              <w:t>Singleton et al. (2019)</w:t>
            </w:r>
          </w:p>
        </w:tc>
        <w:tc>
          <w:tcPr>
            <w:tcW w:w="0" w:type="auto"/>
            <w:shd w:val="clear" w:color="auto" w:fill="auto"/>
            <w:hideMark/>
          </w:tcPr>
          <w:p w14:paraId="072AF3F9"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case study design</w:t>
            </w:r>
          </w:p>
        </w:tc>
        <w:tc>
          <w:tcPr>
            <w:tcW w:w="0" w:type="auto"/>
            <w:shd w:val="clear" w:color="auto" w:fill="auto"/>
            <w:hideMark/>
          </w:tcPr>
          <w:p w14:paraId="15DE4996"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0BB9C6D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710D637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IDs at a</w:t>
            </w:r>
            <w:r w:rsidRPr="00A5502C">
              <w:rPr>
                <w:rFonts w:ascii="Times New Roman" w:hAnsi="Times New Roman" w:cs="Times New Roman"/>
                <w:sz w:val="15"/>
                <w:szCs w:val="15"/>
              </w:rPr>
              <w:br/>
              <w:t>four-year research institution in the Mid-Atlantic region of United States</w:t>
            </w:r>
          </w:p>
        </w:tc>
        <w:tc>
          <w:tcPr>
            <w:tcW w:w="0" w:type="auto"/>
            <w:shd w:val="clear" w:color="auto" w:fill="auto"/>
            <w:hideMark/>
          </w:tcPr>
          <w:p w14:paraId="29AEC69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t>
            </w:r>
          </w:p>
        </w:tc>
        <w:tc>
          <w:tcPr>
            <w:tcW w:w="0" w:type="auto"/>
            <w:shd w:val="clear" w:color="auto" w:fill="auto"/>
            <w:hideMark/>
          </w:tcPr>
          <w:p w14:paraId="617023F3" w14:textId="02C188A3"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Online course </w:t>
            </w:r>
            <w:r w:rsidR="00536F98" w:rsidRPr="00A5502C">
              <w:rPr>
                <w:rFonts w:ascii="Times New Roman" w:hAnsi="Times New Roman" w:cs="Times New Roman"/>
                <w:sz w:val="15"/>
                <w:szCs w:val="15"/>
              </w:rPr>
              <w:t>developers:</w:t>
            </w:r>
            <w:r w:rsidRPr="00A5502C">
              <w:rPr>
                <w:rFonts w:ascii="Times New Roman" w:hAnsi="Times New Roman" w:cs="Times New Roman"/>
                <w:sz w:val="15"/>
                <w:szCs w:val="15"/>
              </w:rPr>
              <w:t xml:space="preserve"> The IDs play a crucial role both in the online course development experiences for many instructional faculty teaching online courses at the university and in supporting faculty on how best to integrate UDL strategies.</w:t>
            </w:r>
          </w:p>
        </w:tc>
        <w:tc>
          <w:tcPr>
            <w:tcW w:w="0" w:type="auto"/>
            <w:tcBorders>
              <w:left w:val="nil"/>
              <w:right w:val="nil"/>
            </w:tcBorders>
            <w:shd w:val="clear" w:color="auto" w:fill="auto"/>
          </w:tcPr>
          <w:p w14:paraId="43DD3F04" w14:textId="03266240"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Include design strategies</w:t>
            </w:r>
          </w:p>
        </w:tc>
      </w:tr>
      <w:tr w:rsidR="00D24A7B" w:rsidRPr="0043286F" w14:paraId="4B70944B" w14:textId="77777777" w:rsidTr="0043286F">
        <w:trPr>
          <w:cantSplit/>
          <w:trHeight w:val="340"/>
        </w:trPr>
        <w:tc>
          <w:tcPr>
            <w:tcW w:w="0" w:type="auto"/>
            <w:shd w:val="clear" w:color="auto" w:fill="auto"/>
            <w:hideMark/>
          </w:tcPr>
          <w:p w14:paraId="6B3CA1C0" w14:textId="77777777" w:rsidR="00D24A7B" w:rsidRPr="00A5502C" w:rsidRDefault="00D24A7B" w:rsidP="0043286F">
            <w:pPr>
              <w:rPr>
                <w:rFonts w:ascii="Times New Roman" w:hAnsi="Times New Roman" w:cs="Times New Roman"/>
                <w:sz w:val="15"/>
                <w:szCs w:val="15"/>
              </w:rPr>
            </w:pPr>
            <w:proofErr w:type="spellStart"/>
            <w:r w:rsidRPr="00A5502C">
              <w:rPr>
                <w:rFonts w:ascii="Times New Roman" w:hAnsi="Times New Roman" w:cs="Times New Roman"/>
                <w:sz w:val="15"/>
                <w:szCs w:val="15"/>
              </w:rPr>
              <w:t>Stefaniak</w:t>
            </w:r>
            <w:proofErr w:type="spellEnd"/>
            <w:r w:rsidRPr="00A5502C">
              <w:rPr>
                <w:rFonts w:ascii="Times New Roman" w:hAnsi="Times New Roman" w:cs="Times New Roman"/>
                <w:sz w:val="15"/>
                <w:szCs w:val="15"/>
              </w:rPr>
              <w:t xml:space="preserve"> et al. (2022)</w:t>
            </w:r>
          </w:p>
        </w:tc>
        <w:tc>
          <w:tcPr>
            <w:tcW w:w="0" w:type="auto"/>
            <w:shd w:val="clear" w:color="auto" w:fill="auto"/>
            <w:hideMark/>
          </w:tcPr>
          <w:p w14:paraId="10163D4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Quasi experimental design </w:t>
            </w:r>
          </w:p>
        </w:tc>
        <w:tc>
          <w:tcPr>
            <w:tcW w:w="0" w:type="auto"/>
            <w:shd w:val="clear" w:color="auto" w:fill="auto"/>
            <w:hideMark/>
          </w:tcPr>
          <w:p w14:paraId="4038E637"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61E4B2A1"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pedagogy via HE</w:t>
            </w:r>
          </w:p>
        </w:tc>
        <w:tc>
          <w:tcPr>
            <w:tcW w:w="0" w:type="auto"/>
            <w:shd w:val="clear" w:color="auto" w:fill="auto"/>
            <w:hideMark/>
          </w:tcPr>
          <w:p w14:paraId="1DA5C4D9"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graduate students</w:t>
            </w:r>
          </w:p>
        </w:tc>
        <w:tc>
          <w:tcPr>
            <w:tcW w:w="0" w:type="auto"/>
            <w:shd w:val="clear" w:color="auto" w:fill="auto"/>
            <w:hideMark/>
          </w:tcPr>
          <w:p w14:paraId="7B7D840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Instructional design is an iterative process requiring the instructional designer to engage in problem solving activities to design solutions for an intended audience. Instructional design has been described as a complex process in which the instructional designer’s ability to conjecture can ultimately influence the outcome of a project (Nelson &amp; </w:t>
            </w:r>
            <w:proofErr w:type="spellStart"/>
            <w:r w:rsidRPr="00A5502C">
              <w:rPr>
                <w:rFonts w:ascii="Times New Roman" w:hAnsi="Times New Roman" w:cs="Times New Roman"/>
                <w:sz w:val="15"/>
                <w:szCs w:val="15"/>
              </w:rPr>
              <w:t>Stolterman</w:t>
            </w:r>
            <w:proofErr w:type="spellEnd"/>
            <w:r w:rsidRPr="00A5502C">
              <w:rPr>
                <w:rFonts w:ascii="Times New Roman" w:hAnsi="Times New Roman" w:cs="Times New Roman"/>
                <w:sz w:val="15"/>
                <w:szCs w:val="15"/>
              </w:rPr>
              <w:t>, 2003; Visscher-</w:t>
            </w:r>
            <w:proofErr w:type="spellStart"/>
            <w:r w:rsidRPr="00A5502C">
              <w:rPr>
                <w:rFonts w:ascii="Times New Roman" w:hAnsi="Times New Roman" w:cs="Times New Roman"/>
                <w:sz w:val="15"/>
                <w:szCs w:val="15"/>
              </w:rPr>
              <w:t>Voerman</w:t>
            </w:r>
            <w:proofErr w:type="spellEnd"/>
            <w:r w:rsidRPr="00A5502C">
              <w:rPr>
                <w:rFonts w:ascii="Times New Roman" w:hAnsi="Times New Roman" w:cs="Times New Roman"/>
                <w:sz w:val="15"/>
                <w:szCs w:val="15"/>
              </w:rPr>
              <w:t xml:space="preserve"> &amp; Gustafson, 2004).</w:t>
            </w:r>
          </w:p>
        </w:tc>
        <w:tc>
          <w:tcPr>
            <w:tcW w:w="0" w:type="auto"/>
            <w:shd w:val="clear" w:color="auto" w:fill="auto"/>
            <w:hideMark/>
          </w:tcPr>
          <w:p w14:paraId="4B670951"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Instructional designers are faced with the responsibility of carrying out a myriad of tasks when working on projects including the design and implementation of instructional and non-instructional design solutions (Sugar, 2014; </w:t>
            </w:r>
            <w:proofErr w:type="spellStart"/>
            <w:r w:rsidRPr="00A5502C">
              <w:rPr>
                <w:rFonts w:ascii="Times New Roman" w:hAnsi="Times New Roman" w:cs="Times New Roman"/>
                <w:sz w:val="15"/>
                <w:szCs w:val="15"/>
              </w:rPr>
              <w:t>Villachica</w:t>
            </w:r>
            <w:proofErr w:type="spellEnd"/>
            <w:r w:rsidRPr="00A5502C">
              <w:rPr>
                <w:rFonts w:ascii="Times New Roman" w:hAnsi="Times New Roman" w:cs="Times New Roman"/>
                <w:sz w:val="15"/>
                <w:szCs w:val="15"/>
              </w:rPr>
              <w:t xml:space="preserve"> et al., 2010).</w:t>
            </w:r>
          </w:p>
        </w:tc>
        <w:tc>
          <w:tcPr>
            <w:tcW w:w="0" w:type="auto"/>
            <w:tcBorders>
              <w:left w:val="nil"/>
              <w:right w:val="nil"/>
            </w:tcBorders>
            <w:shd w:val="clear" w:color="auto" w:fill="auto"/>
          </w:tcPr>
          <w:p w14:paraId="105D2060" w14:textId="7293E15A"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Specific cases</w:t>
            </w:r>
          </w:p>
        </w:tc>
      </w:tr>
      <w:tr w:rsidR="00D24A7B" w:rsidRPr="0043286F" w14:paraId="6CD93A4B" w14:textId="77777777" w:rsidTr="0043286F">
        <w:trPr>
          <w:cantSplit/>
          <w:trHeight w:val="340"/>
        </w:trPr>
        <w:tc>
          <w:tcPr>
            <w:tcW w:w="0" w:type="auto"/>
            <w:shd w:val="clear" w:color="auto" w:fill="auto"/>
            <w:hideMark/>
          </w:tcPr>
          <w:p w14:paraId="38F5D46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Toker (2022)</w:t>
            </w:r>
          </w:p>
        </w:tc>
        <w:tc>
          <w:tcPr>
            <w:tcW w:w="0" w:type="auto"/>
            <w:shd w:val="clear" w:color="auto" w:fill="auto"/>
            <w:hideMark/>
          </w:tcPr>
          <w:p w14:paraId="49E2D82C"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Causal-comparative research design</w:t>
            </w:r>
          </w:p>
        </w:tc>
        <w:tc>
          <w:tcPr>
            <w:tcW w:w="0" w:type="auto"/>
            <w:shd w:val="clear" w:color="auto" w:fill="auto"/>
            <w:hideMark/>
          </w:tcPr>
          <w:p w14:paraId="1E8BFEE1"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7BBDD0F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pedagogy via HE</w:t>
            </w:r>
          </w:p>
        </w:tc>
        <w:tc>
          <w:tcPr>
            <w:tcW w:w="0" w:type="auto"/>
            <w:shd w:val="clear" w:color="auto" w:fill="auto"/>
            <w:hideMark/>
          </w:tcPr>
          <w:p w14:paraId="3C0725D2"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College students attending ID class</w:t>
            </w:r>
          </w:p>
        </w:tc>
        <w:tc>
          <w:tcPr>
            <w:tcW w:w="0" w:type="auto"/>
            <w:shd w:val="clear" w:color="auto" w:fill="auto"/>
            <w:hideMark/>
          </w:tcPr>
          <w:p w14:paraId="7942ADB2"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 (ID) is defined as the systematic procedures to create learning experiences, lessons, modules, and materials for education and training programs to support the significant acquisition, improvement, and application of knowledge, skills, and abilities (Reiser &amp; Dempsey, 2007) and requires the implementation of diverse skills. It has traditionally presented itself as a process-driven field, which is especially based on systems approach (Tracey et al., 2014).</w:t>
            </w:r>
          </w:p>
        </w:tc>
        <w:tc>
          <w:tcPr>
            <w:tcW w:w="0" w:type="auto"/>
            <w:shd w:val="clear" w:color="auto" w:fill="auto"/>
            <w:hideMark/>
          </w:tcPr>
          <w:p w14:paraId="5D43D20E" w14:textId="7F3E0EC5"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Instructional designers need to speak the </w:t>
            </w:r>
            <w:r w:rsidR="00536F98" w:rsidRPr="00A5502C">
              <w:rPr>
                <w:rFonts w:ascii="Times New Roman" w:hAnsi="Times New Roman" w:cs="Times New Roman"/>
                <w:sz w:val="15"/>
                <w:szCs w:val="15"/>
              </w:rPr>
              <w:t>organizations’</w:t>
            </w:r>
            <w:r w:rsidRPr="00A5502C">
              <w:rPr>
                <w:rFonts w:ascii="Times New Roman" w:hAnsi="Times New Roman" w:cs="Times New Roman"/>
                <w:sz w:val="15"/>
                <w:szCs w:val="15"/>
              </w:rPr>
              <w:t xml:space="preserve"> language and understand the new information-based knowledge economies (Gibbons, 2014).</w:t>
            </w:r>
          </w:p>
        </w:tc>
        <w:tc>
          <w:tcPr>
            <w:tcW w:w="0" w:type="auto"/>
            <w:tcBorders>
              <w:left w:val="nil"/>
              <w:right w:val="nil"/>
            </w:tcBorders>
            <w:shd w:val="clear" w:color="auto" w:fill="auto"/>
          </w:tcPr>
          <w:p w14:paraId="7637E6BB" w14:textId="2E392B11"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21-Century skills; real-life projects, tasks, case analyses, deep learning</w:t>
            </w:r>
          </w:p>
        </w:tc>
      </w:tr>
      <w:tr w:rsidR="00D24A7B" w:rsidRPr="0043286F" w14:paraId="081DEDA9" w14:textId="77777777" w:rsidTr="0043286F">
        <w:trPr>
          <w:cantSplit/>
          <w:trHeight w:val="340"/>
        </w:trPr>
        <w:tc>
          <w:tcPr>
            <w:tcW w:w="0" w:type="auto"/>
            <w:shd w:val="clear" w:color="auto" w:fill="auto"/>
            <w:hideMark/>
          </w:tcPr>
          <w:p w14:paraId="649E2E1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Tracey et al. (2022) </w:t>
            </w:r>
          </w:p>
        </w:tc>
        <w:tc>
          <w:tcPr>
            <w:tcW w:w="0" w:type="auto"/>
            <w:shd w:val="clear" w:color="auto" w:fill="auto"/>
            <w:hideMark/>
          </w:tcPr>
          <w:p w14:paraId="235B9A0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Exploratory case study</w:t>
            </w:r>
          </w:p>
        </w:tc>
        <w:tc>
          <w:tcPr>
            <w:tcW w:w="0" w:type="auto"/>
            <w:shd w:val="clear" w:color="auto" w:fill="auto"/>
            <w:hideMark/>
          </w:tcPr>
          <w:p w14:paraId="0C2FC3D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1F78369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pedagogy via HE</w:t>
            </w:r>
          </w:p>
        </w:tc>
        <w:tc>
          <w:tcPr>
            <w:tcW w:w="0" w:type="auto"/>
            <w:shd w:val="clear" w:color="auto" w:fill="auto"/>
            <w:hideMark/>
          </w:tcPr>
          <w:p w14:paraId="61D41161"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PhD and Master´s Instructional Design students</w:t>
            </w:r>
          </w:p>
        </w:tc>
        <w:tc>
          <w:tcPr>
            <w:tcW w:w="0" w:type="auto"/>
            <w:shd w:val="clear" w:color="auto" w:fill="auto"/>
            <w:hideMark/>
          </w:tcPr>
          <w:p w14:paraId="1FABA91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 has been defined as a process, where designers follow step by step procedures to create instruction to solve a performance problem.</w:t>
            </w:r>
          </w:p>
        </w:tc>
        <w:tc>
          <w:tcPr>
            <w:tcW w:w="0" w:type="auto"/>
            <w:shd w:val="clear" w:color="auto" w:fill="auto"/>
            <w:hideMark/>
          </w:tcPr>
          <w:p w14:paraId="1FB1981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Designers are designers whose role is to specifically design instruction.</w:t>
            </w:r>
          </w:p>
        </w:tc>
        <w:tc>
          <w:tcPr>
            <w:tcW w:w="0" w:type="auto"/>
            <w:tcBorders>
              <w:left w:val="nil"/>
              <w:right w:val="nil"/>
            </w:tcBorders>
            <w:shd w:val="clear" w:color="auto" w:fill="auto"/>
          </w:tcPr>
          <w:p w14:paraId="3EFF465D" w14:textId="6235EED6"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Focus on core competencies; provide apprenticeship opportunities; adding communication, conflict resolution and team dynamic instruction is unrealistic for graduate programs but educate on basics and create opportunities in course</w:t>
            </w:r>
          </w:p>
        </w:tc>
      </w:tr>
      <w:tr w:rsidR="00D24A7B" w:rsidRPr="0043286F" w14:paraId="2578CD8C" w14:textId="77777777" w:rsidTr="0043286F">
        <w:trPr>
          <w:cantSplit/>
          <w:trHeight w:val="340"/>
        </w:trPr>
        <w:tc>
          <w:tcPr>
            <w:tcW w:w="0" w:type="auto"/>
            <w:shd w:val="clear" w:color="auto" w:fill="auto"/>
            <w:hideMark/>
          </w:tcPr>
          <w:p w14:paraId="7F33314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Watson-Held et al. (2024)</w:t>
            </w:r>
          </w:p>
        </w:tc>
        <w:tc>
          <w:tcPr>
            <w:tcW w:w="0" w:type="auto"/>
            <w:shd w:val="clear" w:color="auto" w:fill="auto"/>
            <w:hideMark/>
          </w:tcPr>
          <w:p w14:paraId="69F561A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Mixed-method study</w:t>
            </w:r>
          </w:p>
        </w:tc>
        <w:tc>
          <w:tcPr>
            <w:tcW w:w="0" w:type="auto"/>
            <w:shd w:val="clear" w:color="auto" w:fill="auto"/>
            <w:hideMark/>
          </w:tcPr>
          <w:p w14:paraId="05B12C9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7908C1FF"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 practices</w:t>
            </w:r>
          </w:p>
        </w:tc>
        <w:tc>
          <w:tcPr>
            <w:tcW w:w="0" w:type="auto"/>
            <w:shd w:val="clear" w:color="auto" w:fill="auto"/>
            <w:hideMark/>
          </w:tcPr>
          <w:p w14:paraId="60073A5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IDs of R1 Universities in USA (high research activities - Carnegie institutions)</w:t>
            </w:r>
          </w:p>
        </w:tc>
        <w:tc>
          <w:tcPr>
            <w:tcW w:w="0" w:type="auto"/>
            <w:shd w:val="clear" w:color="auto" w:fill="auto"/>
            <w:hideMark/>
          </w:tcPr>
          <w:p w14:paraId="1056DCD4"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Sims and </w:t>
            </w:r>
            <w:proofErr w:type="spellStart"/>
            <w:r w:rsidRPr="00A5502C">
              <w:rPr>
                <w:rFonts w:ascii="Times New Roman" w:hAnsi="Times New Roman" w:cs="Times New Roman"/>
                <w:sz w:val="15"/>
                <w:szCs w:val="15"/>
              </w:rPr>
              <w:t>Koszalka</w:t>
            </w:r>
            <w:proofErr w:type="spellEnd"/>
            <w:r w:rsidRPr="00A5502C">
              <w:rPr>
                <w:rFonts w:ascii="Times New Roman" w:hAnsi="Times New Roman" w:cs="Times New Roman"/>
                <w:sz w:val="15"/>
                <w:szCs w:val="15"/>
              </w:rPr>
              <w:t xml:space="preserve"> (2008) define instructional design as “a purposeful activity to facilitate learning through a combination of strategies, activities, and resources” (p. 573). Instructional design is a systematic process, involving distinct steps in the design and creation of online content. There are several instructional design models, but in this case study it was most relevant to focus on defining the relationship by using the ADDIE model (Branson et al., 1975; </w:t>
            </w:r>
            <w:proofErr w:type="spellStart"/>
            <w:r w:rsidRPr="00A5502C">
              <w:rPr>
                <w:rFonts w:ascii="Times New Roman" w:hAnsi="Times New Roman" w:cs="Times New Roman"/>
                <w:sz w:val="15"/>
                <w:szCs w:val="15"/>
              </w:rPr>
              <w:t>Molenda</w:t>
            </w:r>
            <w:proofErr w:type="spellEnd"/>
            <w:r w:rsidRPr="00A5502C">
              <w:rPr>
                <w:rFonts w:ascii="Times New Roman" w:hAnsi="Times New Roman" w:cs="Times New Roman"/>
                <w:sz w:val="15"/>
                <w:szCs w:val="15"/>
              </w:rPr>
              <w:t>, 2003; Watson, 1981).</w:t>
            </w:r>
          </w:p>
        </w:tc>
        <w:tc>
          <w:tcPr>
            <w:tcW w:w="0" w:type="auto"/>
            <w:shd w:val="clear" w:color="auto" w:fill="auto"/>
            <w:hideMark/>
          </w:tcPr>
          <w:p w14:paraId="2AF2BBC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An ID works for an educational institution (or corporation) and is tasked with taking content, as provided by a faculty (SME), and making it clear, efficient, and understandable for the novice; Most of them have received formal training; Main tasks: Course development and improvement, project management, formative and summative evaluation, faculty training, and communication.</w:t>
            </w:r>
          </w:p>
        </w:tc>
        <w:tc>
          <w:tcPr>
            <w:tcW w:w="0" w:type="auto"/>
            <w:tcBorders>
              <w:left w:val="nil"/>
              <w:right w:val="nil"/>
            </w:tcBorders>
            <w:shd w:val="clear" w:color="auto" w:fill="auto"/>
          </w:tcPr>
          <w:p w14:paraId="145BEC1A" w14:textId="0AC9A750"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Teamwork to set expectations with initial meetings, build common language, foster relationship, role description</w:t>
            </w:r>
          </w:p>
        </w:tc>
      </w:tr>
      <w:tr w:rsidR="00D24A7B" w:rsidRPr="0043286F" w14:paraId="16EA43F3" w14:textId="77777777" w:rsidTr="0043286F">
        <w:trPr>
          <w:cantSplit/>
          <w:trHeight w:val="340"/>
        </w:trPr>
        <w:tc>
          <w:tcPr>
            <w:tcW w:w="0" w:type="auto"/>
            <w:shd w:val="clear" w:color="auto" w:fill="auto"/>
            <w:hideMark/>
          </w:tcPr>
          <w:p w14:paraId="267237AC"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Yang et al. (2023)</w:t>
            </w:r>
          </w:p>
        </w:tc>
        <w:tc>
          <w:tcPr>
            <w:tcW w:w="0" w:type="auto"/>
            <w:shd w:val="clear" w:color="auto" w:fill="auto"/>
            <w:hideMark/>
          </w:tcPr>
          <w:p w14:paraId="06CE83B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Qualitative study</w:t>
            </w:r>
          </w:p>
        </w:tc>
        <w:tc>
          <w:tcPr>
            <w:tcW w:w="0" w:type="auto"/>
            <w:shd w:val="clear" w:color="auto" w:fill="auto"/>
            <w:hideMark/>
          </w:tcPr>
          <w:p w14:paraId="3BA01990"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shd w:val="clear" w:color="auto" w:fill="auto"/>
            <w:hideMark/>
          </w:tcPr>
          <w:p w14:paraId="08017C7D"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Teacher education</w:t>
            </w:r>
          </w:p>
        </w:tc>
        <w:tc>
          <w:tcPr>
            <w:tcW w:w="0" w:type="auto"/>
            <w:shd w:val="clear" w:color="auto" w:fill="auto"/>
            <w:hideMark/>
          </w:tcPr>
          <w:p w14:paraId="3C116C5A"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Primary/ secondary preservice math teachers</w:t>
            </w:r>
          </w:p>
        </w:tc>
        <w:tc>
          <w:tcPr>
            <w:tcW w:w="0" w:type="auto"/>
            <w:shd w:val="clear" w:color="auto" w:fill="auto"/>
            <w:hideMark/>
          </w:tcPr>
          <w:p w14:paraId="0376813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Instructional design is limited to designing courses.</w:t>
            </w:r>
          </w:p>
        </w:tc>
        <w:tc>
          <w:tcPr>
            <w:tcW w:w="0" w:type="auto"/>
            <w:shd w:val="clear" w:color="auto" w:fill="auto"/>
            <w:hideMark/>
          </w:tcPr>
          <w:p w14:paraId="17CA32B3"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Teachers are instructional designers</w:t>
            </w:r>
          </w:p>
        </w:tc>
        <w:tc>
          <w:tcPr>
            <w:tcW w:w="0" w:type="auto"/>
            <w:tcBorders>
              <w:left w:val="nil"/>
              <w:right w:val="nil"/>
            </w:tcBorders>
            <w:shd w:val="clear" w:color="auto" w:fill="auto"/>
          </w:tcPr>
          <w:p w14:paraId="56717969" w14:textId="24840161"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Include scaffolding</w:t>
            </w:r>
          </w:p>
        </w:tc>
      </w:tr>
      <w:tr w:rsidR="00D24A7B" w:rsidRPr="0043286F" w14:paraId="4EBA09D8" w14:textId="77777777" w:rsidTr="0043286F">
        <w:trPr>
          <w:cantSplit/>
          <w:trHeight w:val="340"/>
        </w:trPr>
        <w:tc>
          <w:tcPr>
            <w:tcW w:w="0" w:type="auto"/>
            <w:tcBorders>
              <w:bottom w:val="single" w:sz="4" w:space="0" w:color="auto"/>
            </w:tcBorders>
            <w:shd w:val="clear" w:color="auto" w:fill="auto"/>
            <w:hideMark/>
          </w:tcPr>
          <w:p w14:paraId="343D7069"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lastRenderedPageBreak/>
              <w:t>Zhu et al. (2020).</w:t>
            </w:r>
          </w:p>
        </w:tc>
        <w:tc>
          <w:tcPr>
            <w:tcW w:w="0" w:type="auto"/>
            <w:tcBorders>
              <w:bottom w:val="single" w:sz="4" w:space="0" w:color="auto"/>
            </w:tcBorders>
            <w:shd w:val="clear" w:color="auto" w:fill="auto"/>
            <w:hideMark/>
          </w:tcPr>
          <w:p w14:paraId="340E2949"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Qualitative case study </w:t>
            </w:r>
          </w:p>
        </w:tc>
        <w:tc>
          <w:tcPr>
            <w:tcW w:w="0" w:type="auto"/>
            <w:tcBorders>
              <w:bottom w:val="single" w:sz="4" w:space="0" w:color="auto"/>
            </w:tcBorders>
            <w:shd w:val="clear" w:color="auto" w:fill="auto"/>
            <w:hideMark/>
          </w:tcPr>
          <w:p w14:paraId="1E52B7C1"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Academic</w:t>
            </w:r>
          </w:p>
        </w:tc>
        <w:tc>
          <w:tcPr>
            <w:tcW w:w="0" w:type="auto"/>
            <w:tcBorders>
              <w:bottom w:val="single" w:sz="4" w:space="0" w:color="auto"/>
            </w:tcBorders>
            <w:shd w:val="clear" w:color="auto" w:fill="auto"/>
            <w:hideMark/>
          </w:tcPr>
          <w:p w14:paraId="66601F9B"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Medical education</w:t>
            </w:r>
          </w:p>
        </w:tc>
        <w:tc>
          <w:tcPr>
            <w:tcW w:w="0" w:type="auto"/>
            <w:tcBorders>
              <w:bottom w:val="single" w:sz="4" w:space="0" w:color="auto"/>
            </w:tcBorders>
            <w:shd w:val="clear" w:color="auto" w:fill="auto"/>
            <w:hideMark/>
          </w:tcPr>
          <w:p w14:paraId="10A97BDE"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Undergraduate health school students with no practical experience in ID</w:t>
            </w:r>
          </w:p>
        </w:tc>
        <w:tc>
          <w:tcPr>
            <w:tcW w:w="0" w:type="auto"/>
            <w:tcBorders>
              <w:bottom w:val="single" w:sz="4" w:space="0" w:color="auto"/>
            </w:tcBorders>
            <w:shd w:val="clear" w:color="auto" w:fill="auto"/>
            <w:hideMark/>
          </w:tcPr>
          <w:p w14:paraId="51019F1B" w14:textId="175CD791"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 xml:space="preserve">Reiser (2002), for instance, describes the instructional design as a systematic and reflective process of </w:t>
            </w:r>
            <w:r w:rsidR="00536F98" w:rsidRPr="00A5502C">
              <w:rPr>
                <w:rFonts w:ascii="Times New Roman" w:hAnsi="Times New Roman" w:cs="Times New Roman"/>
                <w:sz w:val="15"/>
                <w:szCs w:val="15"/>
              </w:rPr>
              <w:t>design, development</w:t>
            </w:r>
            <w:r w:rsidRPr="00A5502C">
              <w:rPr>
                <w:rFonts w:ascii="Times New Roman" w:hAnsi="Times New Roman" w:cs="Times New Roman"/>
                <w:sz w:val="15"/>
                <w:szCs w:val="15"/>
              </w:rPr>
              <w:t xml:space="preserve">, implementation, management, and evaluation of learning and instruction. </w:t>
            </w:r>
          </w:p>
        </w:tc>
        <w:tc>
          <w:tcPr>
            <w:tcW w:w="0" w:type="auto"/>
            <w:tcBorders>
              <w:bottom w:val="single" w:sz="4" w:space="0" w:color="auto"/>
            </w:tcBorders>
            <w:shd w:val="clear" w:color="auto" w:fill="auto"/>
            <w:hideMark/>
          </w:tcPr>
          <w:p w14:paraId="61F522B2" w14:textId="77777777" w:rsidR="00D24A7B" w:rsidRPr="00A5502C" w:rsidRDefault="00D24A7B" w:rsidP="0043286F">
            <w:pPr>
              <w:rPr>
                <w:rFonts w:ascii="Times New Roman" w:hAnsi="Times New Roman" w:cs="Times New Roman"/>
                <w:sz w:val="15"/>
                <w:szCs w:val="15"/>
              </w:rPr>
            </w:pPr>
            <w:r w:rsidRPr="00A5502C">
              <w:rPr>
                <w:rFonts w:ascii="Times New Roman" w:hAnsi="Times New Roman" w:cs="Times New Roman"/>
                <w:sz w:val="15"/>
                <w:szCs w:val="15"/>
              </w:rPr>
              <w:t>There are myriad advertisements listed for instructional design consultants, learning and development specialists, learning design managers, process trainers, documentation and training coordinators, digital learning designers, online course writers and designers, hospital education specialists, professional development specialists, active learning instructional designers, and much more</w:t>
            </w:r>
          </w:p>
        </w:tc>
        <w:tc>
          <w:tcPr>
            <w:tcW w:w="0" w:type="auto"/>
            <w:tcBorders>
              <w:left w:val="nil"/>
              <w:bottom w:val="single" w:sz="4" w:space="0" w:color="auto"/>
              <w:right w:val="nil"/>
            </w:tcBorders>
            <w:shd w:val="clear" w:color="auto" w:fill="auto"/>
          </w:tcPr>
          <w:p w14:paraId="21673CF8" w14:textId="7735B8A8" w:rsidR="00D24A7B" w:rsidRPr="00A5502C" w:rsidRDefault="00D24A7B" w:rsidP="0043286F">
            <w:pPr>
              <w:rPr>
                <w:rFonts w:ascii="Times New Roman" w:hAnsi="Times New Roman" w:cs="Times New Roman"/>
                <w:sz w:val="15"/>
                <w:szCs w:val="15"/>
              </w:rPr>
            </w:pPr>
            <w:r w:rsidRPr="0043286F">
              <w:rPr>
                <w:rFonts w:ascii="Times New Roman" w:hAnsi="Times New Roman" w:cs="Times New Roman"/>
                <w:sz w:val="15"/>
                <w:szCs w:val="15"/>
              </w:rPr>
              <w:t>Prepare students to be structured and organized, flexible and open to uncertainties</w:t>
            </w:r>
          </w:p>
        </w:tc>
      </w:tr>
    </w:tbl>
    <w:p w14:paraId="2DB5360B" w14:textId="45CCA986" w:rsidR="003A1C9E" w:rsidRPr="0043286F" w:rsidRDefault="003A1C9E">
      <w:pPr>
        <w:rPr>
          <w:rFonts w:ascii="Times New Roman" w:hAnsi="Times New Roman" w:cs="Times New Roman"/>
          <w:sz w:val="15"/>
          <w:szCs w:val="15"/>
        </w:rPr>
      </w:pPr>
    </w:p>
    <w:sectPr w:rsidR="003A1C9E" w:rsidRPr="0043286F" w:rsidSect="00A5502C">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7F2"/>
    <w:rsid w:val="000004F8"/>
    <w:rsid w:val="00000F8A"/>
    <w:rsid w:val="000052FD"/>
    <w:rsid w:val="0002582A"/>
    <w:rsid w:val="00045720"/>
    <w:rsid w:val="000821EE"/>
    <w:rsid w:val="0008595B"/>
    <w:rsid w:val="000A1202"/>
    <w:rsid w:val="000A1D6C"/>
    <w:rsid w:val="000C28B9"/>
    <w:rsid w:val="000F5AFF"/>
    <w:rsid w:val="0012051A"/>
    <w:rsid w:val="00122E18"/>
    <w:rsid w:val="0015054F"/>
    <w:rsid w:val="00152439"/>
    <w:rsid w:val="0017747F"/>
    <w:rsid w:val="001C46E6"/>
    <w:rsid w:val="001E061D"/>
    <w:rsid w:val="0020184F"/>
    <w:rsid w:val="00231518"/>
    <w:rsid w:val="00232538"/>
    <w:rsid w:val="002355F8"/>
    <w:rsid w:val="0026600B"/>
    <w:rsid w:val="00266342"/>
    <w:rsid w:val="002805EF"/>
    <w:rsid w:val="00291C7F"/>
    <w:rsid w:val="002E3DD4"/>
    <w:rsid w:val="00306836"/>
    <w:rsid w:val="003179A5"/>
    <w:rsid w:val="00326A4A"/>
    <w:rsid w:val="00341C1C"/>
    <w:rsid w:val="0034733E"/>
    <w:rsid w:val="00350BB3"/>
    <w:rsid w:val="003516CC"/>
    <w:rsid w:val="00355EEB"/>
    <w:rsid w:val="00374EDC"/>
    <w:rsid w:val="00395B33"/>
    <w:rsid w:val="003A1C9E"/>
    <w:rsid w:val="003A6E03"/>
    <w:rsid w:val="003C41F9"/>
    <w:rsid w:val="003D0E95"/>
    <w:rsid w:val="003E3616"/>
    <w:rsid w:val="003E47E6"/>
    <w:rsid w:val="003E7AD5"/>
    <w:rsid w:val="004043DE"/>
    <w:rsid w:val="00425C58"/>
    <w:rsid w:val="00427E8F"/>
    <w:rsid w:val="0043286F"/>
    <w:rsid w:val="00435851"/>
    <w:rsid w:val="00455825"/>
    <w:rsid w:val="0047759D"/>
    <w:rsid w:val="004B7D7A"/>
    <w:rsid w:val="004E3131"/>
    <w:rsid w:val="00502529"/>
    <w:rsid w:val="005228A4"/>
    <w:rsid w:val="00536F98"/>
    <w:rsid w:val="005560C3"/>
    <w:rsid w:val="005712EB"/>
    <w:rsid w:val="00574EEC"/>
    <w:rsid w:val="0059316F"/>
    <w:rsid w:val="00596C3A"/>
    <w:rsid w:val="005A6FF8"/>
    <w:rsid w:val="005B75BF"/>
    <w:rsid w:val="005C00BC"/>
    <w:rsid w:val="005C24F1"/>
    <w:rsid w:val="005E0D3D"/>
    <w:rsid w:val="00607BBF"/>
    <w:rsid w:val="00635C77"/>
    <w:rsid w:val="006444E9"/>
    <w:rsid w:val="0064479A"/>
    <w:rsid w:val="0065272D"/>
    <w:rsid w:val="00655117"/>
    <w:rsid w:val="00657F0C"/>
    <w:rsid w:val="00675968"/>
    <w:rsid w:val="00681B43"/>
    <w:rsid w:val="006A1760"/>
    <w:rsid w:val="00716B4F"/>
    <w:rsid w:val="00720D09"/>
    <w:rsid w:val="00732A3C"/>
    <w:rsid w:val="00733A98"/>
    <w:rsid w:val="00767E93"/>
    <w:rsid w:val="007771F9"/>
    <w:rsid w:val="00786023"/>
    <w:rsid w:val="0078709A"/>
    <w:rsid w:val="007D582C"/>
    <w:rsid w:val="007E5993"/>
    <w:rsid w:val="007F7E45"/>
    <w:rsid w:val="00884AE2"/>
    <w:rsid w:val="008B4FBA"/>
    <w:rsid w:val="008C6324"/>
    <w:rsid w:val="008E03E2"/>
    <w:rsid w:val="0091016C"/>
    <w:rsid w:val="00920AD7"/>
    <w:rsid w:val="00926A79"/>
    <w:rsid w:val="009345A9"/>
    <w:rsid w:val="00937025"/>
    <w:rsid w:val="009607F2"/>
    <w:rsid w:val="009632F6"/>
    <w:rsid w:val="009807AA"/>
    <w:rsid w:val="009910B9"/>
    <w:rsid w:val="009B6DB2"/>
    <w:rsid w:val="009D1E56"/>
    <w:rsid w:val="009D69DD"/>
    <w:rsid w:val="009F363C"/>
    <w:rsid w:val="00A4115D"/>
    <w:rsid w:val="00A5502C"/>
    <w:rsid w:val="00A779CA"/>
    <w:rsid w:val="00A95B22"/>
    <w:rsid w:val="00AA58FB"/>
    <w:rsid w:val="00AB7925"/>
    <w:rsid w:val="00AC51F3"/>
    <w:rsid w:val="00B058E1"/>
    <w:rsid w:val="00B179AE"/>
    <w:rsid w:val="00B41C8B"/>
    <w:rsid w:val="00B5126A"/>
    <w:rsid w:val="00B56B47"/>
    <w:rsid w:val="00B72373"/>
    <w:rsid w:val="00B92D6D"/>
    <w:rsid w:val="00BA07FE"/>
    <w:rsid w:val="00BC00EE"/>
    <w:rsid w:val="00BD58F2"/>
    <w:rsid w:val="00BE013F"/>
    <w:rsid w:val="00BE38CF"/>
    <w:rsid w:val="00C15062"/>
    <w:rsid w:val="00C40660"/>
    <w:rsid w:val="00C40ECE"/>
    <w:rsid w:val="00C65752"/>
    <w:rsid w:val="00C759CC"/>
    <w:rsid w:val="00C92078"/>
    <w:rsid w:val="00C95072"/>
    <w:rsid w:val="00CC1263"/>
    <w:rsid w:val="00CC2FDA"/>
    <w:rsid w:val="00CD529C"/>
    <w:rsid w:val="00CE0785"/>
    <w:rsid w:val="00D24A7B"/>
    <w:rsid w:val="00D253D8"/>
    <w:rsid w:val="00D47861"/>
    <w:rsid w:val="00D514A9"/>
    <w:rsid w:val="00D54715"/>
    <w:rsid w:val="00D63F12"/>
    <w:rsid w:val="00D67CC1"/>
    <w:rsid w:val="00D75D1F"/>
    <w:rsid w:val="00D77BF7"/>
    <w:rsid w:val="00DD2518"/>
    <w:rsid w:val="00E0185B"/>
    <w:rsid w:val="00E057FE"/>
    <w:rsid w:val="00E4093E"/>
    <w:rsid w:val="00E4487E"/>
    <w:rsid w:val="00E45932"/>
    <w:rsid w:val="00E6042B"/>
    <w:rsid w:val="00E67A73"/>
    <w:rsid w:val="00E70949"/>
    <w:rsid w:val="00E7107E"/>
    <w:rsid w:val="00E80511"/>
    <w:rsid w:val="00E94A69"/>
    <w:rsid w:val="00E966EB"/>
    <w:rsid w:val="00EA70BF"/>
    <w:rsid w:val="00EB005E"/>
    <w:rsid w:val="00EB0EDC"/>
    <w:rsid w:val="00EB28AA"/>
    <w:rsid w:val="00EF3F41"/>
    <w:rsid w:val="00F0096D"/>
    <w:rsid w:val="00F00B7F"/>
    <w:rsid w:val="00F25406"/>
    <w:rsid w:val="00F65BA7"/>
    <w:rsid w:val="00F80B03"/>
    <w:rsid w:val="00F8315B"/>
    <w:rsid w:val="00F87446"/>
    <w:rsid w:val="00FB7E59"/>
    <w:rsid w:val="00FC5E6F"/>
    <w:rsid w:val="00FC60D2"/>
    <w:rsid w:val="00FC7CB3"/>
    <w:rsid w:val="00FD6C5D"/>
    <w:rsid w:val="00FE4FA9"/>
    <w:rsid w:val="00FF62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C0959"/>
  <w15:chartTrackingRefBased/>
  <w15:docId w15:val="{C57016A6-5136-5E45-A8B0-636E8CBC2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55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8565">
      <w:bodyDiv w:val="1"/>
      <w:marLeft w:val="0"/>
      <w:marRight w:val="0"/>
      <w:marTop w:val="0"/>
      <w:marBottom w:val="0"/>
      <w:divBdr>
        <w:top w:val="none" w:sz="0" w:space="0" w:color="auto"/>
        <w:left w:val="none" w:sz="0" w:space="0" w:color="auto"/>
        <w:bottom w:val="none" w:sz="0" w:space="0" w:color="auto"/>
        <w:right w:val="none" w:sz="0" w:space="0" w:color="auto"/>
      </w:divBdr>
    </w:div>
    <w:div w:id="13577347">
      <w:bodyDiv w:val="1"/>
      <w:marLeft w:val="0"/>
      <w:marRight w:val="0"/>
      <w:marTop w:val="0"/>
      <w:marBottom w:val="0"/>
      <w:divBdr>
        <w:top w:val="none" w:sz="0" w:space="0" w:color="auto"/>
        <w:left w:val="none" w:sz="0" w:space="0" w:color="auto"/>
        <w:bottom w:val="none" w:sz="0" w:space="0" w:color="auto"/>
        <w:right w:val="none" w:sz="0" w:space="0" w:color="auto"/>
      </w:divBdr>
    </w:div>
    <w:div w:id="408886637">
      <w:bodyDiv w:val="1"/>
      <w:marLeft w:val="0"/>
      <w:marRight w:val="0"/>
      <w:marTop w:val="0"/>
      <w:marBottom w:val="0"/>
      <w:divBdr>
        <w:top w:val="none" w:sz="0" w:space="0" w:color="auto"/>
        <w:left w:val="none" w:sz="0" w:space="0" w:color="auto"/>
        <w:bottom w:val="none" w:sz="0" w:space="0" w:color="auto"/>
        <w:right w:val="none" w:sz="0" w:space="0" w:color="auto"/>
      </w:divBdr>
    </w:div>
    <w:div w:id="618297091">
      <w:bodyDiv w:val="1"/>
      <w:marLeft w:val="0"/>
      <w:marRight w:val="0"/>
      <w:marTop w:val="0"/>
      <w:marBottom w:val="0"/>
      <w:divBdr>
        <w:top w:val="none" w:sz="0" w:space="0" w:color="auto"/>
        <w:left w:val="none" w:sz="0" w:space="0" w:color="auto"/>
        <w:bottom w:val="none" w:sz="0" w:space="0" w:color="auto"/>
        <w:right w:val="none" w:sz="0" w:space="0" w:color="auto"/>
      </w:divBdr>
    </w:div>
    <w:div w:id="118046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3384</Words>
  <Characters>21323</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Lisa Wintersberg</cp:lastModifiedBy>
  <cp:revision>5</cp:revision>
  <dcterms:created xsi:type="dcterms:W3CDTF">2024-07-29T12:54:00Z</dcterms:created>
  <dcterms:modified xsi:type="dcterms:W3CDTF">2024-09-13T10:11:00Z</dcterms:modified>
</cp:coreProperties>
</file>