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1"/>
        <w:numPr>
          <w:ilvl w:val="0"/>
          <w:numId w:val="2"/>
        </w:numPr>
        <w:outlineLvl w:val="0"/>
      </w:pPr>
      <w:r>
        <w:drawing>
          <wp:anchor distT="152400" distB="152400" distL="152400" distR="152400" simplePos="0" relativeHeight="251659264" behindDoc="0" locked="0" layoutInCell="1" allowOverlap="1">
            <wp:simplePos x="0" y="0"/>
            <wp:positionH relativeFrom="margin">
              <wp:posOffset>293776</wp:posOffset>
            </wp:positionH>
            <wp:positionV relativeFrom="line">
              <wp:posOffset>55046116</wp:posOffset>
            </wp:positionV>
            <wp:extent cx="5519803" cy="2652347"/>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creen Shot 2021-12-12 at 13.39.48.png"/>
                    <pic:cNvPicPr>
                      <a:picLocks noChangeAspect="1"/>
                    </pic:cNvPicPr>
                  </pic:nvPicPr>
                  <pic:blipFill>
                    <a:blip r:embed="rId4">
                      <a:extLst/>
                    </a:blip>
                    <a:srcRect l="4602" t="29675" r="26343" b="17234"/>
                    <a:stretch>
                      <a:fillRect/>
                    </a:stretch>
                  </pic:blipFill>
                  <pic:spPr>
                    <a:xfrm>
                      <a:off x="0" y="0"/>
                      <a:ext cx="5519803" cy="2652347"/>
                    </a:xfrm>
                    <a:prstGeom prst="rect">
                      <a:avLst/>
                    </a:prstGeom>
                    <a:ln w="12700" cap="flat">
                      <a:noFill/>
                      <a:miter lim="400000"/>
                    </a:ln>
                    <a:effectLst/>
                  </pic:spPr>
                </pic:pic>
              </a:graphicData>
            </a:graphic>
          </wp:anchor>
        </w:drawing>
      </w:r>
      <w:r>
        <w:rPr>
          <w:rtl w:val="0"/>
          <w:lang w:val="en-US"/>
        </w:rPr>
        <w:t xml:space="preserve">Lesslet and domain model  </w:t>
      </w:r>
    </w:p>
    <w:p>
      <w:pPr>
        <w:pStyle w:val="H2"/>
        <w:numPr>
          <w:ilvl w:val="1"/>
          <w:numId w:val="2"/>
        </w:numPr>
        <w:outlineLvl w:val="0"/>
        <w:rPr>
          <w:lang w:val="en-US"/>
        </w:rPr>
      </w:pPr>
      <w:r>
        <w:rPr>
          <w:rtl w:val="0"/>
          <w:lang w:val="en-US"/>
        </w:rPr>
        <w:t>M</w:t>
      </w:r>
      <w:r>
        <w:rPr>
          <w:rtl w:val="0"/>
          <w:lang w:val="en-US"/>
        </w:rPr>
        <w:t>icro-lessons (Lesslet)</w:t>
      </w:r>
    </w:p>
    <w:p>
      <w:pPr>
        <w:pStyle w:val="Normal.0"/>
        <w:spacing w:line="240" w:lineRule="auto"/>
      </w:pPr>
      <w:r>
        <w:rPr>
          <w:rtl w:val="0"/>
          <w:lang w:val="en-US"/>
        </w:rPr>
        <w:t xml:space="preserve">The </w:t>
      </w:r>
      <w:r>
        <w:rPr>
          <w:i w:val="1"/>
          <w:iCs w:val="1"/>
          <w:rtl w:val="0"/>
          <w:lang w:val="en-US"/>
        </w:rPr>
        <w:t>Lesslet</w:t>
      </w:r>
      <w:r>
        <w:rPr>
          <w:rtl w:val="0"/>
          <w:lang w:val="en-US"/>
        </w:rPr>
        <w:t xml:space="preserve"> project was adopted from </w:t>
      </w:r>
      <w:r>
        <w:rPr>
          <w:rtl w:val="0"/>
          <w:lang w:val="pt-PT"/>
        </w:rPr>
        <w:t>[26]</w:t>
      </w:r>
      <w:r>
        <w:rPr>
          <w:rtl w:val="0"/>
          <w:lang w:val="en-US"/>
        </w:rPr>
        <w:t xml:space="preserve"> as a crowdsourcing method to implement student generated content. As it is defined, lesslet is a mini-lesson (here it is defined as lesson letter or LessLet as a short) runs </w:t>
      </w:r>
      <w:r>
        <w:rPr>
          <w:rtl w:val="0"/>
          <w:lang w:val="en-US"/>
        </w:rPr>
        <w:t xml:space="preserve">from a webpage </w:t>
      </w:r>
      <w:r>
        <w:rPr>
          <w:rtl w:val="0"/>
          <w:lang w:val="en-US"/>
        </w:rPr>
        <w:t xml:space="preserve">as a simple program like a web-applet. The activity is handled as crowdsourcing approach in which the users of the system (teachers and learners) play the main role in creating and maintaining the lesslets. This phenomena, in literature, appears in a number of overlapping terms, such as - user generated content, peer-generated content </w:t>
      </w:r>
      <w:r>
        <w:rPr>
          <w:rtl w:val="0"/>
          <w:lang w:val="pt-PT"/>
        </w:rPr>
        <w:t>[29]</w:t>
      </w:r>
      <w:r>
        <w:rPr>
          <w:rtl w:val="0"/>
          <w:lang w:val="en-US"/>
        </w:rPr>
        <w:t xml:space="preserve">, learning through teaching </w:t>
      </w:r>
      <w:r>
        <w:rPr>
          <w:rtl w:val="0"/>
          <w:lang w:val="pt-PT"/>
        </w:rPr>
        <w:t>[26]</w:t>
      </w:r>
      <w:r>
        <w:rPr>
          <w:rtl w:val="0"/>
          <w:lang w:val="en-US"/>
        </w:rPr>
        <w:t xml:space="preserve">, peer assignment </w:t>
      </w:r>
      <w:r>
        <w:rPr>
          <w:rtl w:val="0"/>
          <w:lang w:val="pt-PT"/>
        </w:rPr>
        <w:t>[30]</w:t>
      </w:r>
      <w:r>
        <w:rPr>
          <w:rtl w:val="0"/>
          <w:lang w:val="en-US"/>
        </w:rPr>
        <w:t xml:space="preserve">, micro-lesson </w:t>
      </w:r>
      <w:r>
        <w:rPr>
          <w:rtl w:val="0"/>
          <w:lang w:val="pt-PT"/>
        </w:rPr>
        <w:t>[25]</w:t>
      </w:r>
      <w:r>
        <w:rPr>
          <w:rtl w:val="0"/>
          <w:lang w:val="en-US"/>
        </w:rPr>
        <w:t>, etc.</w:t>
      </w:r>
    </w:p>
    <w:p>
      <w:pPr>
        <w:pStyle w:val="Normal.0"/>
        <w:spacing w:line="240" w:lineRule="auto"/>
      </w:pPr>
      <w:r>
        <w:rPr>
          <w:rtl w:val="0"/>
          <w:lang w:val="en-US"/>
        </w:rPr>
        <w:t xml:space="preserve">As its specifications, a lesslet can have five </w:t>
      </w:r>
      <w:r>
        <w:rPr>
          <w:rtl w:val="0"/>
          <w:lang w:val="en-US"/>
        </w:rPr>
        <w:t>basic</w:t>
      </w:r>
      <w:r>
        <w:rPr>
          <w:rtl w:val="0"/>
          <w:lang w:val="en-US"/>
        </w:rPr>
        <w:t xml:space="preserve"> components: title, concise definition, an example </w:t>
      </w:r>
      <w:r>
        <w:rPr>
          <w:rtl w:val="0"/>
          <w:lang w:val="en-US"/>
        </w:rPr>
        <w:t>“</w:t>
      </w:r>
      <w:r>
        <w:rPr>
          <w:rtl w:val="0"/>
          <w:lang w:val="en-US"/>
        </w:rPr>
        <w:t>for supporting the definition</w:t>
      </w:r>
      <w:r>
        <w:rPr>
          <w:rtl w:val="0"/>
          <w:lang w:val="en-US"/>
        </w:rPr>
        <w:t>”</w:t>
      </w:r>
      <w:r>
        <w:rPr>
          <w:rtl w:val="0"/>
          <w:lang w:val="en-US"/>
        </w:rPr>
        <w:t xml:space="preserve">, a test </w:t>
      </w:r>
      <w:r>
        <w:rPr>
          <w:rtl w:val="0"/>
          <w:lang w:val="en-US"/>
        </w:rPr>
        <w:t>“</w:t>
      </w:r>
      <w:r>
        <w:rPr>
          <w:rtl w:val="0"/>
          <w:lang w:val="en-US"/>
        </w:rPr>
        <w:t>derived from previous two parts</w:t>
      </w:r>
      <w:r>
        <w:rPr>
          <w:rtl w:val="0"/>
          <w:lang w:val="en-US"/>
        </w:rPr>
        <w:t>”</w:t>
      </w:r>
      <w:r>
        <w:rPr>
          <w:rtl w:val="0"/>
          <w:lang w:val="en-US"/>
        </w:rPr>
        <w:t xml:space="preserve">, and an answer Fig.5.1. The most inspiring feature with the lesslet is that its self-contained feature. </w:t>
      </w:r>
      <w:r>
        <w:rPr>
          <w:rtl w:val="0"/>
          <w:lang w:val="en-US"/>
        </w:rPr>
        <w:t>It is served to implement activities associated with problem solving, collaborating, assignment or collaborative assessment and self regulated learning</w:t>
      </w:r>
      <w:r>
        <w:rPr>
          <w:rtl w:val="0"/>
          <w:lang w:val="en-US"/>
        </w:rPr>
        <w:t xml:space="preserve">. While the creator defining the concept, the user must think of a corresponding example and it supports the reinforcement learning. On the other hand, another user actively participates with a comfort feeling which the content, he is reading, is made by one of her peers. Besides, he/she learns with extra conscious with a feeling of being ready for taking its test and for other reaction components (e.g comments and upvote/downvote) and it supports a critical thinking of students. </w:t>
      </w:r>
      <w:r>
        <w:rPr>
          <w:rtl w:val="0"/>
          <w:lang w:val="pt-PT"/>
        </w:rPr>
        <w:t>[30]</w:t>
      </w:r>
      <w:r>
        <w:rPr>
          <w:rtl w:val="0"/>
          <w:lang w:val="en-US"/>
        </w:rPr>
        <w:t xml:space="preserve"> puts this as </w:t>
      </w:r>
      <w:r>
        <w:rPr>
          <w:rtl w:val="0"/>
          <w:lang w:val="en-US"/>
        </w:rPr>
        <w:t>“</w:t>
      </w:r>
      <w:r>
        <w:rPr>
          <w:rtl w:val="0"/>
          <w:lang w:val="en-US"/>
        </w:rPr>
        <w:t>You solve, I learn</w:t>
      </w:r>
      <w:r>
        <w:rPr>
          <w:rtl w:val="0"/>
          <w:lang w:val="en-US"/>
        </w:rPr>
        <w:t>”</w:t>
      </w:r>
      <w:r>
        <w:rPr>
          <w:rtl w:val="0"/>
          <w:lang w:val="en-US"/>
        </w:rPr>
        <w:t>, in which he tries to use the potential of gifted students</w:t>
      </w:r>
      <w:r>
        <w:rPr>
          <w:rtl w:val="0"/>
          <w:lang w:val="en-US"/>
        </w:rPr>
        <w:t xml:space="preserve">’ </w:t>
      </w:r>
      <w:r>
        <w:rPr>
          <w:rtl w:val="0"/>
          <w:lang w:val="en-US"/>
        </w:rPr>
        <w:t>skills and brings up how they solve the problems in their different way of approach.</w:t>
      </w:r>
    </w:p>
    <w:p>
      <w:pPr>
        <w:pStyle w:val="Caption"/>
        <w:spacing w:after="160"/>
        <w:jc w:val="center"/>
        <w:rPr>
          <w:caps w:val="0"/>
          <w:smallCaps w:val="0"/>
        </w:rPr>
      </w:pPr>
      <w:r>
        <w:rPr>
          <w:caps w:val="0"/>
          <w:smallCaps w:val="0"/>
        </w:rPr>
        <w:drawing>
          <wp:inline distT="0" distB="0" distL="0" distR="0">
            <wp:extent cx="4909724" cy="21471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Screen Shot 2020-02-27 at 15.49.48.png"/>
                    <pic:cNvPicPr>
                      <a:picLocks noChangeAspect="1"/>
                    </pic:cNvPicPr>
                  </pic:nvPicPr>
                  <pic:blipFill>
                    <a:blip r:embed="rId5">
                      <a:extLst/>
                    </a:blip>
                    <a:stretch>
                      <a:fillRect/>
                    </a:stretch>
                  </pic:blipFill>
                  <pic:spPr>
                    <a:xfrm>
                      <a:off x="0" y="0"/>
                      <a:ext cx="4909724" cy="2147110"/>
                    </a:xfrm>
                    <a:prstGeom prst="rect">
                      <a:avLst/>
                    </a:prstGeom>
                    <a:ln w="12700" cap="flat">
                      <a:noFill/>
                      <a:miter lim="400000"/>
                    </a:ln>
                    <a:effectLst/>
                  </pic:spPr>
                </pic:pic>
              </a:graphicData>
            </a:graphic>
          </wp:inline>
        </w:drawing>
      </w:r>
    </w:p>
    <w:p>
      <w:pPr>
        <w:pStyle w:val="Default"/>
        <w:spacing w:line="360" w:lineRule="auto"/>
        <w:ind w:firstLine="567"/>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Fig. 1 A t</w:t>
      </w:r>
      <w:r>
        <w:rPr>
          <w:rFonts w:ascii="Times New Roman" w:hAnsi="Times New Roman"/>
          <w:b w:val="1"/>
          <w:bCs w:val="1"/>
          <w:sz w:val="24"/>
          <w:szCs w:val="24"/>
          <w:rtl w:val="0"/>
          <w:lang w:val="en-US"/>
        </w:rPr>
        <w:t xml:space="preserve">ypical </w:t>
      </w:r>
      <w:r>
        <w:rPr>
          <w:rFonts w:ascii="Times New Roman" w:hAnsi="Times New Roman"/>
          <w:b w:val="1"/>
          <w:bCs w:val="1"/>
          <w:sz w:val="24"/>
          <w:szCs w:val="24"/>
          <w:rtl w:val="0"/>
          <w:lang w:val="en-US"/>
        </w:rPr>
        <w:t>example for lesslet</w:t>
      </w:r>
    </w:p>
    <w:p>
      <w:pPr>
        <w:pStyle w:val="Normal.0"/>
        <w:spacing w:line="240" w:lineRule="auto"/>
      </w:pPr>
      <w:r>
        <w:rPr>
          <w:rtl w:val="0"/>
          <w:lang w:val="en-US"/>
        </w:rPr>
        <w:t xml:space="preserve">The great necessity for this kind of contents is the requirement for a massive learning materials. Another problem is to create a platform for these contents so that students can easily refer to them or find a learning content easily which addresses his/her learning needs and preferences. Creating so called platform is a dream for every researcher in technology enhanced learning and for every developer of ITSs. Later we may divide the problem into two groups as creating massive/diverse </w:t>
      </w:r>
      <w:r>
        <w:rPr>
          <w:rtl w:val="0"/>
          <w:lang w:val="en-US"/>
        </w:rPr>
        <w:t>learning contents</w:t>
      </w:r>
      <w:r>
        <w:rPr>
          <w:rtl w:val="0"/>
          <w:lang w:val="en-US"/>
        </w:rPr>
        <w:t xml:space="preserve"> and maintaining the system to interact the learners with content and with other learners. The later problem may be addressed by adopting online social networking theories like Facebook.</w:t>
      </w:r>
    </w:p>
    <w:p>
      <w:pPr>
        <w:pStyle w:val="H2"/>
        <w:numPr>
          <w:ilvl w:val="1"/>
          <w:numId w:val="2"/>
        </w:numPr>
        <w:outlineLvl w:val="0"/>
        <w:rPr>
          <w:lang w:val="en-US"/>
        </w:rPr>
      </w:pPr>
      <w:r>
        <w:rPr>
          <w:rtl w:val="0"/>
          <w:lang w:val="en-US"/>
        </w:rPr>
        <w:t>Peer assessing</w:t>
      </w:r>
    </w:p>
    <w:p>
      <w:pPr>
        <w:pStyle w:val="Normal.0"/>
        <w:spacing w:line="240" w:lineRule="auto"/>
      </w:pPr>
      <w:r>
        <w:rPr>
          <w:rtl w:val="0"/>
        </w:rPr>
        <w:tab/>
        <w:t xml:space="preserve">Pear assessment strategy in education is considered as one of the </w:t>
      </w:r>
      <w:r>
        <w:rPr>
          <w:rtl w:val="0"/>
          <w:lang w:val="en-US"/>
        </w:rPr>
        <w:t>impact</w:t>
      </w:r>
      <w:r>
        <w:rPr>
          <w:rtl w:val="0"/>
          <w:lang w:val="en-US"/>
        </w:rPr>
        <w:t>ing aspects on student encouragement with comparing and reflecting by reviewing peers</w:t>
      </w:r>
      <w:r>
        <w:rPr>
          <w:rtl w:val="0"/>
          <w:lang w:val="en-US"/>
        </w:rPr>
        <w:t xml:space="preserve">’ </w:t>
      </w:r>
      <w:r>
        <w:rPr>
          <w:rtl w:val="0"/>
          <w:lang w:val="en-US"/>
        </w:rPr>
        <w:t xml:space="preserve">work </w:t>
      </w:r>
      <w:r>
        <w:rPr>
          <w:rtl w:val="0"/>
          <w:lang w:val="pt-PT"/>
        </w:rPr>
        <w:t>[32]</w:t>
      </w:r>
      <w:r>
        <w:rPr>
          <w:rtl w:val="0"/>
          <w:lang w:val="en-US"/>
        </w:rPr>
        <w:t xml:space="preserve">. </w:t>
      </w:r>
      <w:r>
        <w:rPr>
          <w:rtl w:val="0"/>
          <w:lang w:val="en-US"/>
        </w:rPr>
        <w:t>Two types of peer assessment are generally identified: scoring (up-/down-voting) and leaving comments on peer</w:t>
      </w:r>
      <w:r>
        <w:rPr>
          <w:rtl w:val="1"/>
        </w:rPr>
        <w:t>’</w:t>
      </w:r>
      <w:r>
        <w:rPr>
          <w:rtl w:val="0"/>
          <w:lang w:val="en-US"/>
        </w:rPr>
        <w:t xml:space="preserve">s learning tasks or activities. </w:t>
      </w:r>
      <w:r>
        <w:rPr>
          <w:rtl w:val="0"/>
          <w:lang w:val="en-US"/>
        </w:rPr>
        <w:t>Student</w:t>
      </w:r>
      <w:r>
        <w:rPr>
          <w:rtl w:val="0"/>
          <w:lang w:val="en-US"/>
        </w:rPr>
        <w:t>’</w:t>
      </w:r>
      <w:r>
        <w:rPr>
          <w:rtl w:val="0"/>
          <w:lang w:val="en-US"/>
        </w:rPr>
        <w:t>s peer assessing helps them reflect on and improve their own performance by reacting on other students</w:t>
      </w:r>
      <w:r>
        <w:rPr>
          <w:rtl w:val="0"/>
          <w:lang w:val="en-US"/>
        </w:rPr>
        <w:t xml:space="preserve">’ </w:t>
      </w:r>
      <w:r>
        <w:rPr>
          <w:rtl w:val="0"/>
          <w:lang w:val="en-US"/>
        </w:rPr>
        <w:t xml:space="preserve">work </w:t>
      </w:r>
      <w:r>
        <w:rPr>
          <w:rtl w:val="0"/>
          <w:lang w:val="pt-PT"/>
        </w:rPr>
        <w:t>[33]</w:t>
      </w:r>
      <w:r>
        <w:rPr>
          <w:rtl w:val="0"/>
          <w:lang w:val="en-US"/>
        </w:rPr>
        <w:t xml:space="preserve">. </w:t>
      </w:r>
    </w:p>
    <w:p>
      <w:pPr>
        <w:pStyle w:val="Normal.0"/>
        <w:spacing w:line="240" w:lineRule="auto"/>
      </w:pPr>
      <w:r>
        <w:rPr>
          <w:rtl w:val="0"/>
          <w:lang w:val="en-US"/>
        </w:rPr>
        <w:t>However, doubts may be found as learners</w:t>
      </w:r>
      <w:r>
        <w:rPr>
          <w:rtl w:val="0"/>
          <w:lang w:val="en-US"/>
        </w:rPr>
        <w:t xml:space="preserve">’ </w:t>
      </w:r>
      <w:r>
        <w:rPr>
          <w:rtl w:val="0"/>
          <w:lang w:val="en-US"/>
        </w:rPr>
        <w:t xml:space="preserve">reactions on peers may not reach as qualified as assessing them since their prior knowledge can cause to mis-evaluate. Nevertheless, </w:t>
      </w:r>
      <w:r>
        <w:rPr>
          <w:rtl w:val="0"/>
          <w:lang w:val="pt-PT"/>
        </w:rPr>
        <w:t>[34]</w:t>
      </w:r>
      <w:r>
        <w:rPr>
          <w:rtl w:val="0"/>
          <w:lang w:val="en-US"/>
        </w:rPr>
        <w:t xml:space="preserve"> implemented a scoring instrument in which students produce their academic works (writing essays), than he asked peer students and teachers to evaluate by using the same scoring instrument. Their results yield strong degree of grading consistency between students and teachers. Furthermore, </w:t>
      </w:r>
      <w:r>
        <w:rPr>
          <w:rtl w:val="0"/>
          <w:lang w:val="pt-PT"/>
        </w:rPr>
        <w:t>[35]</w:t>
      </w:r>
      <w:r>
        <w:rPr>
          <w:rtl w:val="0"/>
          <w:lang w:val="en-US"/>
        </w:rPr>
        <w:t xml:space="preserve"> researched formative and summative assessment activities as a positive judgment ability of learners. They have reported that students were capable of accurately assessing their peers on formative evaluation process.</w:t>
      </w:r>
    </w:p>
    <w:p>
      <w:pPr>
        <w:pStyle w:val="Default"/>
        <w:spacing w:line="360" w:lineRule="auto"/>
        <w:ind w:firstLine="567"/>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Table 1. A sample of </w:t>
      </w:r>
      <w:r>
        <w:rPr>
          <w:rFonts w:ascii="Times New Roman" w:hAnsi="Times New Roman"/>
          <w:b w:val="1"/>
          <w:bCs w:val="1"/>
          <w:sz w:val="24"/>
          <w:szCs w:val="24"/>
          <w:rtl w:val="0"/>
        </w:rPr>
        <w:t>a student</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s</w:t>
      </w:r>
      <w:r>
        <w:rPr>
          <w:rFonts w:ascii="Times New Roman" w:hAnsi="Times New Roman"/>
          <w:b w:val="1"/>
          <w:bCs w:val="1"/>
          <w:sz w:val="24"/>
          <w:szCs w:val="24"/>
          <w:rtl w:val="0"/>
        </w:rPr>
        <w:t xml:space="preserve"> </w:t>
      </w:r>
      <w:r>
        <w:rPr>
          <w:rFonts w:ascii="Times New Roman" w:hAnsi="Times New Roman"/>
          <w:b w:val="1"/>
          <w:bCs w:val="1"/>
          <w:sz w:val="24"/>
          <w:szCs w:val="24"/>
          <w:rtl w:val="0"/>
          <w:lang w:val="en-US"/>
        </w:rPr>
        <w:t>score values and behavioural measures which may get on a topic with five concepts.</w:t>
      </w:r>
    </w:p>
    <w:tbl>
      <w:tblPr>
        <w:tblW w:w="7217" w:type="dxa"/>
        <w:jc w:val="center"/>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505"/>
        <w:gridCol w:w="1074"/>
        <w:gridCol w:w="759"/>
        <w:gridCol w:w="759"/>
        <w:gridCol w:w="759"/>
        <w:gridCol w:w="759"/>
        <w:gridCol w:w="759"/>
        <w:gridCol w:w="843"/>
      </w:tblGrid>
      <w:tr>
        <w:tblPrEx>
          <w:shd w:val="clear" w:color="auto" w:fill="auto"/>
        </w:tblPrEx>
        <w:trPr>
          <w:trHeight w:val="468" w:hRule="atLeast"/>
        </w:trPr>
        <w:tc>
          <w:tcPr>
            <w:tcW w:type="dxa" w:w="1505"/>
            <w:tcBorders>
              <w:top w:val="single" w:color="515151" w:sz="8" w:space="0" w:shadow="0" w:frame="0"/>
              <w:left w:val="single" w:color="515151" w:sz="8" w:space="0" w:shadow="0" w:frame="0"/>
              <w:bottom w:val="single" w:color="515151" w:sz="8" w:space="0" w:shadow="0" w:frame="0"/>
              <w:right w:val="single" w:color="515151" w:sz="8" w:space="0" w:shadow="0" w:frame="0"/>
            </w:tcBorders>
            <w:shd w:val="clear" w:color="auto" w:fill="d5d5d5"/>
            <w:tcMar>
              <w:top w:type="dxa" w:w="80"/>
              <w:left w:type="dxa" w:w="80"/>
              <w:bottom w:type="dxa" w:w="80"/>
              <w:right w:type="dxa" w:w="80"/>
            </w:tcMar>
            <w:vAlign w:val="center"/>
          </w:tcPr>
          <w:p>
            <w:pPr>
              <w:pStyle w:val="Table Style 3"/>
              <w:spacing w:before="80" w:line="216" w:lineRule="auto"/>
              <w:jc w:val="left"/>
            </w:pPr>
            <w:r>
              <w:rPr>
                <w:rFonts w:ascii="Times New Roman" w:hAnsi="Times New Roman"/>
                <w:outline w:val="0"/>
                <w:color w:val="000000"/>
                <w:sz w:val="22"/>
                <w:szCs w:val="22"/>
                <w:rtl w:val="0"/>
                <w14:textFill>
                  <w14:solidFill>
                    <w14:srgbClr w14:val="000000"/>
                  </w14:solidFill>
                </w14:textFill>
              </w:rPr>
              <w:t>Lesslets for five concepts</w:t>
            </w:r>
          </w:p>
        </w:tc>
        <w:tc>
          <w:tcPr>
            <w:tcW w:type="dxa" w:w="4868"/>
            <w:gridSpan w:val="6"/>
            <w:tcBorders>
              <w:top w:val="single" w:color="515151" w:sz="8" w:space="0" w:shadow="0" w:frame="0"/>
              <w:left w:val="single" w:color="515151" w:sz="8" w:space="0" w:shadow="0" w:frame="0"/>
              <w:bottom w:val="single" w:color="515151" w:sz="8" w:space="0" w:shadow="0" w:frame="0"/>
              <w:right w:val="single" w:color="515151" w:sz="8" w:space="0" w:shadow="0" w:frame="0"/>
            </w:tcBorders>
            <w:shd w:val="clear" w:color="auto" w:fill="d5d5d5"/>
            <w:tcMar>
              <w:top w:type="dxa" w:w="80"/>
              <w:left w:type="dxa" w:w="80"/>
              <w:bottom w:type="dxa" w:w="80"/>
              <w:right w:type="dxa" w:w="80"/>
            </w:tcMar>
            <w:vAlign w:val="center"/>
          </w:tcPr>
          <w:p>
            <w:pPr>
              <w:pStyle w:val="Table Style 3"/>
              <w:spacing w:before="80" w:line="216" w:lineRule="auto"/>
              <w:jc w:val="left"/>
            </w:pPr>
            <w:r>
              <w:rPr>
                <w:rFonts w:ascii="Times New Roman" w:hAnsi="Times New Roman"/>
                <w:outline w:val="0"/>
                <w:color w:val="000000"/>
                <w:sz w:val="22"/>
                <w:szCs w:val="22"/>
                <w:rtl w:val="0"/>
                <w14:textFill>
                  <w14:solidFill>
                    <w14:srgbClr w14:val="000000"/>
                  </w14:solidFill>
                </w14:textFill>
              </w:rPr>
              <w:t>Votes given by peers (upvote +, downvote -)</w:t>
            </w:r>
          </w:p>
        </w:tc>
        <w:tc>
          <w:tcPr>
            <w:tcW w:type="dxa" w:w="842"/>
            <w:tcBorders>
              <w:top w:val="single" w:color="515151" w:sz="8" w:space="0" w:shadow="0" w:frame="0"/>
              <w:left w:val="single" w:color="515151" w:sz="8" w:space="0" w:shadow="0" w:frame="0"/>
              <w:bottom w:val="single" w:color="515151" w:sz="8" w:space="0" w:shadow="0" w:frame="0"/>
              <w:right w:val="single" w:color="515151" w:sz="8" w:space="0" w:shadow="0" w:frame="0"/>
            </w:tcBorders>
            <w:shd w:val="clear" w:color="auto" w:fill="d5d5d5"/>
            <w:tcMar>
              <w:top w:type="dxa" w:w="80"/>
              <w:left w:type="dxa" w:w="80"/>
              <w:bottom w:type="dxa" w:w="80"/>
              <w:right w:type="dxa" w:w="80"/>
            </w:tcMar>
            <w:vAlign w:val="center"/>
          </w:tcPr>
          <w:p>
            <w:pPr>
              <w:pStyle w:val="Table Style 3"/>
              <w:spacing w:before="80" w:line="216" w:lineRule="auto"/>
              <w:jc w:val="left"/>
            </w:pPr>
            <w:r>
              <w:rPr>
                <w:rFonts w:ascii="Times New Roman" w:hAnsi="Times New Roman"/>
                <w:outline w:val="0"/>
                <w:color w:val="000000"/>
                <w:sz w:val="22"/>
                <w:szCs w:val="22"/>
                <w:rtl w:val="0"/>
                <w14:textFill>
                  <w14:solidFill>
                    <w14:srgbClr w14:val="000000"/>
                  </w14:solidFill>
                </w14:textFill>
              </w:rPr>
              <w:t>Total</w:t>
            </w:r>
          </w:p>
        </w:tc>
      </w:tr>
      <w:tr>
        <w:tblPrEx>
          <w:shd w:val="clear" w:color="auto" w:fill="auto"/>
        </w:tblPrEx>
        <w:trPr>
          <w:trHeight w:val="241" w:hRule="atLeast"/>
        </w:trPr>
        <w:tc>
          <w:tcPr>
            <w:tcW w:type="dxa" w:w="1505"/>
            <w:tcBorders>
              <w:top w:val="single" w:color="515151" w:sz="8" w:space="0" w:shadow="0" w:frame="0"/>
              <w:left w:val="single" w:color="515151" w:sz="8" w:space="0" w:shadow="0" w:frame="0"/>
              <w:bottom w:val="nil"/>
              <w:right w:val="single" w:color="515151" w:sz="8" w:space="0" w:shadow="0" w:frame="0"/>
            </w:tcBorders>
            <w:shd w:val="clear" w:color="auto" w:fill="auto"/>
            <w:tcMar>
              <w:top w:type="dxa" w:w="20"/>
              <w:left w:type="dxa" w:w="20"/>
              <w:bottom w:type="dxa" w:w="20"/>
              <w:right w:type="dxa" w:w="20"/>
            </w:tcMar>
            <w:vAlign w:val="top"/>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Lesslet 1</w:t>
            </w:r>
          </w:p>
        </w:tc>
        <w:tc>
          <w:tcPr>
            <w:tcW w:type="dxa" w:w="1073"/>
            <w:tcBorders>
              <w:top w:val="single" w:color="515151" w:sz="8" w:space="0" w:shadow="0" w:frame="0"/>
              <w:left w:val="single" w:color="515151" w:sz="8" w:space="0" w:shadow="0" w:frame="0"/>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single" w:color="515151" w:sz="8" w:space="0" w:shadow="0" w:frame="0"/>
              <w:left w:val="nil"/>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single" w:color="515151" w:sz="8" w:space="0" w:shadow="0" w:frame="0"/>
              <w:left w:val="nil"/>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single" w:color="515151" w:sz="8" w:space="0" w:shadow="0" w:frame="0"/>
              <w:left w:val="nil"/>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single" w:color="515151" w:sz="8" w:space="0" w:shadow="0" w:frame="0"/>
              <w:left w:val="nil"/>
              <w:bottom w:val="nil"/>
              <w:right w:val="nil"/>
            </w:tcBorders>
            <w:shd w:val="clear" w:color="auto" w:fill="auto"/>
            <w:tcMar>
              <w:top w:type="dxa" w:w="20"/>
              <w:left w:type="dxa" w:w="20"/>
              <w:bottom w:type="dxa" w:w="20"/>
              <w:right w:type="dxa" w:w="20"/>
            </w:tcMar>
            <w:vAlign w:val="center"/>
          </w:tcPr>
          <w:p/>
        </w:tc>
        <w:tc>
          <w:tcPr>
            <w:tcW w:type="dxa" w:w="759"/>
            <w:tcBorders>
              <w:top w:val="single" w:color="515151" w:sz="8" w:space="0" w:shadow="0" w:frame="0"/>
              <w:left w:val="nil"/>
              <w:bottom w:val="nil"/>
              <w:right w:val="single" w:color="515151" w:sz="8" w:space="0" w:shadow="0" w:frame="0"/>
            </w:tcBorders>
            <w:shd w:val="clear" w:color="auto" w:fill="auto"/>
            <w:tcMar>
              <w:top w:type="dxa" w:w="20"/>
              <w:left w:type="dxa" w:w="20"/>
              <w:bottom w:type="dxa" w:w="20"/>
              <w:right w:type="dxa" w:w="20"/>
            </w:tcMar>
            <w:vAlign w:val="center"/>
          </w:tcPr>
          <w:p/>
        </w:tc>
        <w:tc>
          <w:tcPr>
            <w:tcW w:type="dxa" w:w="842"/>
            <w:tcBorders>
              <w:top w:val="single" w:color="515151" w:sz="8" w:space="0" w:shadow="0" w:frame="0"/>
              <w:left w:val="single" w:color="515151" w:sz="8" w:space="0" w:shadow="0" w:frame="0"/>
              <w:bottom w:val="nil"/>
              <w:right w:val="single" w:color="515151" w:sz="8" w:space="0" w:shadow="0" w:frame="0"/>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2</w:t>
            </w:r>
          </w:p>
        </w:tc>
      </w:tr>
      <w:tr>
        <w:tblPrEx>
          <w:shd w:val="clear" w:color="auto" w:fill="auto"/>
        </w:tblPrEx>
        <w:trPr>
          <w:trHeight w:val="231" w:hRule="atLeast"/>
        </w:trPr>
        <w:tc>
          <w:tcPr>
            <w:tcW w:type="dxa" w:w="1505"/>
            <w:tcBorders>
              <w:top w:val="nil"/>
              <w:left w:val="single" w:color="515151" w:sz="8" w:space="0" w:shadow="0" w:frame="0"/>
              <w:bottom w:val="nil"/>
              <w:right w:val="single" w:color="515151" w:sz="8" w:space="0" w:shadow="0" w:frame="0"/>
            </w:tcBorders>
            <w:shd w:val="clear" w:color="auto" w:fill="auto"/>
            <w:tcMar>
              <w:top w:type="dxa" w:w="20"/>
              <w:left w:type="dxa" w:w="20"/>
              <w:bottom w:type="dxa" w:w="20"/>
              <w:right w:type="dxa" w:w="20"/>
            </w:tcMar>
            <w:vAlign w:val="top"/>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Lesslet 2</w:t>
            </w:r>
          </w:p>
        </w:tc>
        <w:tc>
          <w:tcPr>
            <w:tcW w:type="dxa" w:w="1073"/>
            <w:tcBorders>
              <w:top w:val="nil"/>
              <w:left w:val="single" w:color="515151" w:sz="8" w:space="0" w:shadow="0" w:frame="0"/>
              <w:bottom w:val="nil"/>
              <w:right w:val="nil"/>
            </w:tcBorders>
            <w:shd w:val="clear" w:color="auto" w:fill="d5d5d5"/>
            <w:tcMar>
              <w:top w:type="dxa" w:w="20"/>
              <w:left w:type="dxa" w:w="20"/>
              <w:bottom w:type="dxa" w:w="20"/>
              <w:right w:type="dxa" w:w="20"/>
            </w:tcMar>
            <w:vAlign w:val="center"/>
          </w:tcPr>
          <w:p/>
        </w:tc>
        <w:tc>
          <w:tcPr>
            <w:tcW w:type="dxa" w:w="759"/>
            <w:tcBorders>
              <w:top w:val="nil"/>
              <w:left w:val="nil"/>
              <w:bottom w:val="nil"/>
              <w:right w:val="nil"/>
            </w:tcBorders>
            <w:shd w:val="clear" w:color="auto" w:fill="d5d5d5"/>
            <w:tcMar>
              <w:top w:type="dxa" w:w="20"/>
              <w:left w:type="dxa" w:w="20"/>
              <w:bottom w:type="dxa" w:w="20"/>
              <w:right w:type="dxa" w:w="20"/>
            </w:tcMar>
            <w:vAlign w:val="center"/>
          </w:tcPr>
          <w:p/>
        </w:tc>
        <w:tc>
          <w:tcPr>
            <w:tcW w:type="dxa" w:w="759"/>
            <w:tcBorders>
              <w:top w:val="nil"/>
              <w:left w:val="nil"/>
              <w:bottom w:val="nil"/>
              <w:right w:val="nil"/>
            </w:tcBorders>
            <w:shd w:val="clear" w:color="auto" w:fill="d5d5d5"/>
            <w:tcMar>
              <w:top w:type="dxa" w:w="20"/>
              <w:left w:type="dxa" w:w="20"/>
              <w:bottom w:type="dxa" w:w="20"/>
              <w:right w:type="dxa" w:w="20"/>
            </w:tcMar>
            <w:vAlign w:val="center"/>
          </w:tcPr>
          <w:p/>
        </w:tc>
        <w:tc>
          <w:tcPr>
            <w:tcW w:type="dxa" w:w="759"/>
            <w:tcBorders>
              <w:top w:val="nil"/>
              <w:left w:val="nil"/>
              <w:bottom w:val="nil"/>
              <w:right w:val="nil"/>
            </w:tcBorders>
            <w:shd w:val="clear" w:color="auto" w:fill="d5d5d5"/>
            <w:tcMar>
              <w:top w:type="dxa" w:w="20"/>
              <w:left w:type="dxa" w:w="20"/>
              <w:bottom w:type="dxa" w:w="20"/>
              <w:right w:type="dxa" w:w="20"/>
            </w:tcMar>
            <w:vAlign w:val="center"/>
          </w:tcPr>
          <w:p/>
        </w:tc>
        <w:tc>
          <w:tcPr>
            <w:tcW w:type="dxa" w:w="759"/>
            <w:tcBorders>
              <w:top w:val="nil"/>
              <w:left w:val="nil"/>
              <w:bottom w:val="nil"/>
              <w:right w:val="nil"/>
            </w:tcBorders>
            <w:shd w:val="clear" w:color="auto" w:fill="d5d5d5"/>
            <w:tcMar>
              <w:top w:type="dxa" w:w="20"/>
              <w:left w:type="dxa" w:w="20"/>
              <w:bottom w:type="dxa" w:w="20"/>
              <w:right w:type="dxa" w:w="20"/>
            </w:tcMar>
            <w:vAlign w:val="center"/>
          </w:tcPr>
          <w:p/>
        </w:tc>
        <w:tc>
          <w:tcPr>
            <w:tcW w:type="dxa" w:w="759"/>
            <w:tcBorders>
              <w:top w:val="nil"/>
              <w:left w:val="nil"/>
              <w:bottom w:val="nil"/>
              <w:right w:val="single" w:color="515151" w:sz="8" w:space="0" w:shadow="0" w:frame="0"/>
            </w:tcBorders>
            <w:shd w:val="clear" w:color="auto" w:fill="d5d5d5"/>
            <w:tcMar>
              <w:top w:type="dxa" w:w="20"/>
              <w:left w:type="dxa" w:w="20"/>
              <w:bottom w:type="dxa" w:w="20"/>
              <w:right w:type="dxa" w:w="20"/>
            </w:tcMar>
            <w:vAlign w:val="center"/>
          </w:tcPr>
          <w:p/>
        </w:tc>
        <w:tc>
          <w:tcPr>
            <w:tcW w:type="dxa" w:w="842"/>
            <w:tcBorders>
              <w:top w:val="nil"/>
              <w:left w:val="single" w:color="515151" w:sz="8" w:space="0" w:shadow="0" w:frame="0"/>
              <w:bottom w:val="nil"/>
              <w:right w:val="single" w:color="515151" w:sz="8" w:space="0" w:shadow="0" w:frame="0"/>
            </w:tcBorders>
            <w:shd w:val="clear" w:color="auto" w:fill="d5d5d5"/>
            <w:tcMar>
              <w:top w:type="dxa" w:w="20"/>
              <w:left w:type="dxa" w:w="20"/>
              <w:bottom w:type="dxa" w:w="20"/>
              <w:right w:type="dxa" w:w="20"/>
            </w:tcMar>
            <w:vAlign w:val="center"/>
          </w:tcPr>
          <w:p/>
        </w:tc>
      </w:tr>
      <w:tr>
        <w:tblPrEx>
          <w:shd w:val="clear" w:color="auto" w:fill="auto"/>
        </w:tblPrEx>
        <w:trPr>
          <w:trHeight w:val="231" w:hRule="atLeast"/>
        </w:trPr>
        <w:tc>
          <w:tcPr>
            <w:tcW w:type="dxa" w:w="1505"/>
            <w:tcBorders>
              <w:top w:val="nil"/>
              <w:left w:val="single" w:color="515151" w:sz="8" w:space="0" w:shadow="0" w:frame="0"/>
              <w:bottom w:val="nil"/>
              <w:right w:val="single" w:color="515151" w:sz="8" w:space="0" w:shadow="0" w:frame="0"/>
            </w:tcBorders>
            <w:shd w:val="clear" w:color="auto" w:fill="auto"/>
            <w:tcMar>
              <w:top w:type="dxa" w:w="20"/>
              <w:left w:type="dxa" w:w="20"/>
              <w:bottom w:type="dxa" w:w="20"/>
              <w:right w:type="dxa" w:w="20"/>
            </w:tcMar>
            <w:vAlign w:val="top"/>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Lesslet 3</w:t>
            </w:r>
          </w:p>
        </w:tc>
        <w:tc>
          <w:tcPr>
            <w:tcW w:type="dxa" w:w="1073"/>
            <w:tcBorders>
              <w:top w:val="nil"/>
              <w:left w:val="single" w:color="515151" w:sz="8" w:space="0" w:shadow="0" w:frame="0"/>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nil"/>
              <w:right w:val="single" w:color="515151" w:sz="8" w:space="0" w:shadow="0" w:frame="0"/>
            </w:tcBorders>
            <w:shd w:val="clear" w:color="auto" w:fill="auto"/>
            <w:tcMar>
              <w:top w:type="dxa" w:w="20"/>
              <w:left w:type="dxa" w:w="20"/>
              <w:bottom w:type="dxa" w:w="20"/>
              <w:right w:type="dxa" w:w="20"/>
            </w:tcMar>
            <w:vAlign w:val="center"/>
          </w:tcPr>
          <w:p/>
        </w:tc>
        <w:tc>
          <w:tcPr>
            <w:tcW w:type="dxa" w:w="842"/>
            <w:tcBorders>
              <w:top w:val="nil"/>
              <w:left w:val="single" w:color="515151" w:sz="8" w:space="0" w:shadow="0" w:frame="0"/>
              <w:bottom w:val="nil"/>
              <w:right w:val="single" w:color="515151" w:sz="8" w:space="0" w:shadow="0" w:frame="0"/>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3</w:t>
            </w:r>
          </w:p>
        </w:tc>
      </w:tr>
      <w:tr>
        <w:tblPrEx>
          <w:shd w:val="clear" w:color="auto" w:fill="auto"/>
        </w:tblPrEx>
        <w:trPr>
          <w:trHeight w:val="231" w:hRule="atLeast"/>
        </w:trPr>
        <w:tc>
          <w:tcPr>
            <w:tcW w:type="dxa" w:w="1505"/>
            <w:tcBorders>
              <w:top w:val="nil"/>
              <w:left w:val="single" w:color="515151" w:sz="8" w:space="0" w:shadow="0" w:frame="0"/>
              <w:bottom w:val="nil"/>
              <w:right w:val="single" w:color="515151" w:sz="8" w:space="0" w:shadow="0" w:frame="0"/>
            </w:tcBorders>
            <w:shd w:val="clear" w:color="auto" w:fill="auto"/>
            <w:tcMar>
              <w:top w:type="dxa" w:w="20"/>
              <w:left w:type="dxa" w:w="20"/>
              <w:bottom w:type="dxa" w:w="20"/>
              <w:right w:type="dxa" w:w="20"/>
            </w:tcMar>
            <w:vAlign w:val="top"/>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Lesslet 4</w:t>
            </w:r>
          </w:p>
        </w:tc>
        <w:tc>
          <w:tcPr>
            <w:tcW w:type="dxa" w:w="1073"/>
            <w:tcBorders>
              <w:top w:val="nil"/>
              <w:left w:val="single" w:color="515151" w:sz="8" w:space="0" w:shadow="0" w:frame="0"/>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nil"/>
              <w:right w:val="single" w:color="515151" w:sz="8" w:space="0" w:shadow="0" w:frame="0"/>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842"/>
            <w:tcBorders>
              <w:top w:val="nil"/>
              <w:left w:val="single" w:color="515151" w:sz="8" w:space="0" w:shadow="0" w:frame="0"/>
              <w:bottom w:val="nil"/>
              <w:right w:val="single" w:color="515151" w:sz="8" w:space="0" w:shadow="0" w:frame="0"/>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4</w:t>
            </w:r>
          </w:p>
        </w:tc>
      </w:tr>
      <w:tr>
        <w:tblPrEx>
          <w:shd w:val="clear" w:color="auto" w:fill="auto"/>
        </w:tblPrEx>
        <w:trPr>
          <w:trHeight w:val="241" w:hRule="atLeast"/>
        </w:trPr>
        <w:tc>
          <w:tcPr>
            <w:tcW w:type="dxa" w:w="1505"/>
            <w:tcBorders>
              <w:top w:val="nil"/>
              <w:left w:val="single" w:color="515151" w:sz="8" w:space="0" w:shadow="0" w:frame="0"/>
              <w:bottom w:val="single" w:color="515151" w:sz="8" w:space="0" w:shadow="0" w:frame="0"/>
              <w:right w:val="single" w:color="515151" w:sz="8" w:space="0" w:shadow="0" w:frame="0"/>
            </w:tcBorders>
            <w:shd w:val="clear" w:color="auto" w:fill="auto"/>
            <w:tcMar>
              <w:top w:type="dxa" w:w="20"/>
              <w:left w:type="dxa" w:w="20"/>
              <w:bottom w:type="dxa" w:w="20"/>
              <w:right w:type="dxa" w:w="20"/>
            </w:tcMar>
            <w:vAlign w:val="top"/>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Lesslet 5</w:t>
            </w:r>
          </w:p>
        </w:tc>
        <w:tc>
          <w:tcPr>
            <w:tcW w:type="dxa" w:w="1073"/>
            <w:tcBorders>
              <w:top w:val="nil"/>
              <w:left w:val="single" w:color="515151" w:sz="8" w:space="0" w:shadow="0" w:frame="0"/>
              <w:bottom w:val="single" w:color="515151" w:sz="8" w:space="0" w:shadow="0" w:frame="0"/>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single" w:color="515151" w:sz="8" w:space="0" w:shadow="0" w:frame="0"/>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single" w:color="515151" w:sz="8" w:space="0" w:shadow="0" w:frame="0"/>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single" w:color="515151" w:sz="8" w:space="0" w:shadow="0" w:frame="0"/>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w:t>
            </w:r>
          </w:p>
        </w:tc>
        <w:tc>
          <w:tcPr>
            <w:tcW w:type="dxa" w:w="759"/>
            <w:tcBorders>
              <w:top w:val="nil"/>
              <w:left w:val="nil"/>
              <w:bottom w:val="single" w:color="515151" w:sz="8" w:space="0" w:shadow="0" w:frame="0"/>
              <w:right w:val="nil"/>
            </w:tcBorders>
            <w:shd w:val="clear" w:color="auto" w:fill="auto"/>
            <w:tcMar>
              <w:top w:type="dxa" w:w="20"/>
              <w:left w:type="dxa" w:w="20"/>
              <w:bottom w:type="dxa" w:w="20"/>
              <w:right w:type="dxa" w:w="20"/>
            </w:tcMar>
            <w:vAlign w:val="center"/>
          </w:tcPr>
          <w:p/>
        </w:tc>
        <w:tc>
          <w:tcPr>
            <w:tcW w:type="dxa" w:w="759"/>
            <w:tcBorders>
              <w:top w:val="nil"/>
              <w:left w:val="nil"/>
              <w:bottom w:val="single" w:color="515151" w:sz="8" w:space="0" w:shadow="0" w:frame="0"/>
              <w:right w:val="single" w:color="515151" w:sz="8" w:space="0" w:shadow="0" w:frame="0"/>
            </w:tcBorders>
            <w:shd w:val="clear" w:color="auto" w:fill="auto"/>
            <w:tcMar>
              <w:top w:type="dxa" w:w="20"/>
              <w:left w:type="dxa" w:w="20"/>
              <w:bottom w:type="dxa" w:w="20"/>
              <w:right w:type="dxa" w:w="20"/>
            </w:tcMar>
            <w:vAlign w:val="center"/>
          </w:tcPr>
          <w:p/>
        </w:tc>
        <w:tc>
          <w:tcPr>
            <w:tcW w:type="dxa" w:w="842"/>
            <w:tcBorders>
              <w:top w:val="nil"/>
              <w:left w:val="single" w:color="515151" w:sz="8" w:space="0" w:shadow="0" w:frame="0"/>
              <w:bottom w:val="single" w:color="515151" w:sz="8" w:space="0" w:shadow="0" w:frame="0"/>
              <w:right w:val="single" w:color="515151" w:sz="8" w:space="0" w:shadow="0" w:frame="0"/>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b w:val="0"/>
                <w:bCs w:val="0"/>
                <w:outline w:val="0"/>
                <w:color w:val="000000"/>
                <w:sz w:val="22"/>
                <w:szCs w:val="22"/>
                <w:rtl w:val="0"/>
                <w14:textFill>
                  <w14:solidFill>
                    <w14:srgbClr w14:val="000000"/>
                  </w14:solidFill>
                </w14:textFill>
              </w:rPr>
              <w:t>-2</w:t>
            </w:r>
          </w:p>
        </w:tc>
      </w:tr>
      <w:tr>
        <w:tblPrEx>
          <w:shd w:val="clear" w:color="auto" w:fill="auto"/>
        </w:tblPrEx>
        <w:trPr>
          <w:trHeight w:val="458" w:hRule="atLeast"/>
        </w:trPr>
        <w:tc>
          <w:tcPr>
            <w:tcW w:type="dxa" w:w="6374"/>
            <w:gridSpan w:val="7"/>
            <w:tcBorders>
              <w:top w:val="single" w:color="515151" w:sz="8" w:space="0" w:shadow="0" w:frame="0"/>
              <w:left w:val="single" w:color="515151" w:sz="8" w:space="0" w:shadow="0" w:frame="0"/>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outline w:val="0"/>
                <w:color w:val="000000"/>
                <w:sz w:val="22"/>
                <w:szCs w:val="22"/>
                <w:rtl w:val="0"/>
                <w:lang w:val="en-US"/>
                <w14:textFill>
                  <w14:solidFill>
                    <w14:srgbClr w14:val="000000"/>
                  </w14:solidFill>
                </w14:textFill>
              </w:rPr>
              <w:t>Scoring behaviour</w:t>
            </w:r>
            <w:r>
              <w:rPr>
                <w:rFonts w:ascii="Times New Roman" w:hAnsi="Times New Roman"/>
                <w:outline w:val="0"/>
                <w:color w:val="000000"/>
                <w:sz w:val="22"/>
                <w:szCs w:val="22"/>
                <w:rtl w:val="0"/>
                <w:lang w:val="en-US"/>
                <w14:textFill>
                  <w14:solidFill>
                    <w14:srgbClr w14:val="000000"/>
                  </w14:solidFill>
                </w14:textFill>
              </w:rPr>
              <w:t xml:space="preserve"> - </w:t>
            </w:r>
            <w:r>
              <w:rPr>
                <w:rFonts w:ascii="Times New Roman" w:hAnsi="Times New Roman"/>
                <w:b w:val="0"/>
                <w:bCs w:val="0"/>
                <w:outline w:val="0"/>
                <w:color w:val="000000"/>
                <w:sz w:val="22"/>
                <w:szCs w:val="22"/>
                <w:rtl w:val="0"/>
                <w:lang w:val="en-US"/>
                <w14:textFill>
                  <w14:solidFill>
                    <w14:srgbClr w14:val="000000"/>
                  </w14:solidFill>
                </w14:textFill>
              </w:rPr>
              <w:t>v</w:t>
            </w:r>
            <w:r>
              <w:rPr>
                <w:rFonts w:ascii="Times New Roman" w:hAnsi="Times New Roman"/>
                <w:b w:val="0"/>
                <w:bCs w:val="0"/>
                <w:outline w:val="0"/>
                <w:color w:val="000000"/>
                <w:sz w:val="22"/>
                <w:szCs w:val="22"/>
                <w:rtl w:val="0"/>
                <w:lang w:val="en-US"/>
                <w14:textFill>
                  <w14:solidFill>
                    <w14:srgbClr w14:val="000000"/>
                  </w14:solidFill>
                </w14:textFill>
              </w:rPr>
              <w:t>alue in the interval [0,1]</w:t>
            </w:r>
            <w:r>
              <w:rPr>
                <w:rFonts w:ascii="Times New Roman" w:hAnsi="Times New Roman"/>
                <w:b w:val="0"/>
                <w:bCs w:val="0"/>
                <w:outline w:val="0"/>
                <w:color w:val="000000"/>
                <w:sz w:val="22"/>
                <w:szCs w:val="22"/>
                <w:rtl w:val="0"/>
                <w:lang w:val="en-US"/>
                <w14:textFill>
                  <w14:solidFill>
                    <w14:srgbClr w14:val="000000"/>
                  </w14:solidFill>
                </w14:textFill>
              </w:rPr>
              <w:t xml:space="preserve"> (1 is the highest) representing the fraction of score equal or less than -2</w:t>
            </w:r>
          </w:p>
        </w:tc>
        <w:tc>
          <w:tcPr>
            <w:tcW w:type="dxa" w:w="842"/>
            <w:tcBorders>
              <w:top w:val="single" w:color="515151" w:sz="8" w:space="0" w:shadow="0" w:frame="0"/>
              <w:left w:val="nil"/>
              <w:bottom w:val="nil"/>
              <w:right w:val="single" w:color="515151" w:sz="8" w:space="0" w:shadow="0" w:frame="0"/>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outline w:val="0"/>
                <w:color w:val="000000"/>
                <w:sz w:val="22"/>
                <w:szCs w:val="22"/>
                <w:rtl w:val="0"/>
                <w14:textFill>
                  <w14:solidFill>
                    <w14:srgbClr w14:val="000000"/>
                  </w14:solidFill>
                </w14:textFill>
              </w:rPr>
              <w:t>0.8</w:t>
            </w:r>
          </w:p>
        </w:tc>
      </w:tr>
      <w:tr>
        <w:tblPrEx>
          <w:shd w:val="clear" w:color="auto" w:fill="auto"/>
        </w:tblPrEx>
        <w:trPr>
          <w:trHeight w:val="295" w:hRule="atLeast"/>
        </w:trPr>
        <w:tc>
          <w:tcPr>
            <w:tcW w:type="dxa" w:w="6374"/>
            <w:gridSpan w:val="7"/>
            <w:tcBorders>
              <w:top w:val="nil"/>
              <w:left w:val="single" w:color="515151" w:sz="8" w:space="0" w:shadow="0" w:frame="0"/>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outline w:val="0"/>
                <w:color w:val="000000"/>
                <w:sz w:val="22"/>
                <w:szCs w:val="22"/>
                <w:rtl w:val="0"/>
                <w:lang w:val="en-US"/>
                <w14:textFill>
                  <w14:solidFill>
                    <w14:srgbClr w14:val="000000"/>
                  </w14:solidFill>
                </w14:textFill>
              </w:rPr>
              <w:t>Score</w:t>
            </w:r>
            <w:r>
              <w:rPr>
                <w:rFonts w:ascii="Times New Roman" w:hAnsi="Times New Roman"/>
                <w:outline w:val="0"/>
                <w:color w:val="000000"/>
                <w:sz w:val="22"/>
                <w:szCs w:val="22"/>
                <w:rtl w:val="0"/>
                <w:lang w:val="en-US"/>
                <w14:textFill>
                  <w14:solidFill>
                    <w14:srgbClr w14:val="000000"/>
                  </w14:solidFill>
                </w14:textFill>
              </w:rPr>
              <w:t xml:space="preserve"> - </w:t>
            </w:r>
            <w:r>
              <w:rPr>
                <w:rFonts w:ascii="Times New Roman" w:hAnsi="Times New Roman"/>
                <w:b w:val="0"/>
                <w:bCs w:val="0"/>
                <w:outline w:val="0"/>
                <w:color w:val="000000"/>
                <w:sz w:val="22"/>
                <w:szCs w:val="22"/>
                <w:rtl w:val="0"/>
                <w:lang w:val="en-US"/>
                <w14:textFill>
                  <w14:solidFill>
                    <w14:srgbClr w14:val="000000"/>
                  </w14:solidFill>
                </w14:textFill>
              </w:rPr>
              <w:t>continuing number, representing the sum of scores for the topic</w:t>
            </w:r>
          </w:p>
        </w:tc>
        <w:tc>
          <w:tcPr>
            <w:tcW w:type="dxa" w:w="842"/>
            <w:tcBorders>
              <w:top w:val="nil"/>
              <w:left w:val="nil"/>
              <w:bottom w:val="nil"/>
              <w:right w:val="single" w:color="515151" w:sz="8" w:space="0" w:shadow="0" w:frame="0"/>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outline w:val="0"/>
                <w:color w:val="000000"/>
                <w:sz w:val="22"/>
                <w:szCs w:val="22"/>
                <w:rtl w:val="0"/>
                <w14:textFill>
                  <w14:solidFill>
                    <w14:srgbClr w14:val="000000"/>
                  </w14:solidFill>
                </w14:textFill>
              </w:rPr>
              <w:t>7</w:t>
            </w:r>
          </w:p>
        </w:tc>
      </w:tr>
      <w:tr>
        <w:tblPrEx>
          <w:shd w:val="clear" w:color="auto" w:fill="auto"/>
        </w:tblPrEx>
        <w:trPr>
          <w:trHeight w:val="665" w:hRule="atLeast"/>
        </w:trPr>
        <w:tc>
          <w:tcPr>
            <w:tcW w:type="dxa" w:w="6374"/>
            <w:gridSpan w:val="7"/>
            <w:tcBorders>
              <w:top w:val="nil"/>
              <w:left w:val="single" w:color="515151" w:sz="8" w:space="0" w:shadow="0" w:frame="0"/>
              <w:bottom w:val="nil"/>
              <w:right w:val="nil"/>
            </w:tcBorders>
            <w:shd w:val="clear" w:color="auto" w:fill="auto"/>
            <w:tcMar>
              <w:top w:type="dxa" w:w="80"/>
              <w:left w:type="dxa" w:w="80"/>
              <w:bottom w:type="dxa" w:w="80"/>
              <w:right w:type="dxa" w:w="80"/>
            </w:tcMar>
            <w:vAlign w:val="center"/>
          </w:tcPr>
          <w:p>
            <w:pPr>
              <w:pStyle w:val="Table Style 3"/>
              <w:spacing w:before="80" w:line="216" w:lineRule="auto"/>
              <w:jc w:val="left"/>
            </w:pPr>
            <w:r>
              <w:rPr>
                <w:rFonts w:ascii="Times New Roman" w:hAnsi="Times New Roman"/>
                <w:outline w:val="0"/>
                <w:color w:val="000000"/>
                <w:sz w:val="22"/>
                <w:szCs w:val="22"/>
                <w:rtl w:val="0"/>
                <w:lang w:val="fr-FR"/>
                <w14:textFill>
                  <w14:solidFill>
                    <w14:srgbClr w14:val="000000"/>
                  </w14:solidFill>
                </w14:textFill>
              </w:rPr>
              <w:t xml:space="preserve">Fraction - </w:t>
            </w:r>
            <w:r>
              <w:rPr>
                <w:rFonts w:ascii="Times New Roman" w:hAnsi="Times New Roman"/>
                <w:b w:val="0"/>
                <w:bCs w:val="0"/>
                <w:outline w:val="0"/>
                <w:color w:val="000000"/>
                <w:sz w:val="22"/>
                <w:szCs w:val="22"/>
                <w:rtl w:val="0"/>
                <w:lang w:val="en-US"/>
                <w14:textFill>
                  <w14:solidFill>
                    <w14:srgbClr w14:val="000000"/>
                  </w14:solidFill>
                </w14:textFill>
              </w:rPr>
              <w:t>v</w:t>
            </w:r>
            <w:r>
              <w:rPr>
                <w:rFonts w:ascii="Times New Roman" w:hAnsi="Times New Roman"/>
                <w:b w:val="0"/>
                <w:bCs w:val="0"/>
                <w:outline w:val="0"/>
                <w:color w:val="000000"/>
                <w:sz w:val="22"/>
                <w:szCs w:val="22"/>
                <w:rtl w:val="0"/>
                <w:lang w:val="en-US"/>
                <w14:textFill>
                  <w14:solidFill>
                    <w14:srgbClr w14:val="000000"/>
                  </w14:solidFill>
                </w14:textFill>
              </w:rPr>
              <w:t>alue in the interval [0,1]</w:t>
            </w:r>
            <w:r>
              <w:rPr>
                <w:rFonts w:ascii="Times New Roman" w:hAnsi="Times New Roman"/>
                <w:b w:val="0"/>
                <w:bCs w:val="0"/>
                <w:outline w:val="0"/>
                <w:color w:val="000000"/>
                <w:sz w:val="22"/>
                <w:szCs w:val="22"/>
                <w:rtl w:val="0"/>
                <w:lang w:val="en-US"/>
                <w14:textFill>
                  <w14:solidFill>
                    <w14:srgbClr w14:val="000000"/>
                  </w14:solidFill>
                </w14:textFill>
              </w:rPr>
              <w:t xml:space="preserve"> representing the fraction of created lesslets (in this example there is no lesslet created for 2nd concept).</w:t>
            </w:r>
          </w:p>
        </w:tc>
        <w:tc>
          <w:tcPr>
            <w:tcW w:type="dxa" w:w="842"/>
            <w:tcBorders>
              <w:top w:val="nil"/>
              <w:left w:val="nil"/>
              <w:bottom w:val="nil"/>
              <w:right w:val="single" w:color="515151" w:sz="8" w:space="0" w:shadow="0" w:frame="0"/>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outline w:val="0"/>
                <w:color w:val="000000"/>
                <w:sz w:val="22"/>
                <w:szCs w:val="22"/>
                <w:rtl w:val="0"/>
                <w14:textFill>
                  <w14:solidFill>
                    <w14:srgbClr w14:val="000000"/>
                  </w14:solidFill>
                </w14:textFill>
              </w:rPr>
              <w:t>0.8</w:t>
            </w:r>
          </w:p>
        </w:tc>
      </w:tr>
      <w:tr>
        <w:tblPrEx>
          <w:shd w:val="clear" w:color="auto" w:fill="auto"/>
        </w:tblPrEx>
        <w:trPr>
          <w:trHeight w:val="295" w:hRule="atLeast"/>
        </w:trPr>
        <w:tc>
          <w:tcPr>
            <w:tcW w:type="dxa" w:w="6374"/>
            <w:gridSpan w:val="7"/>
            <w:tcBorders>
              <w:top w:val="nil"/>
              <w:left w:val="single" w:color="515151" w:sz="8" w:space="0" w:shadow="0" w:frame="0"/>
              <w:bottom w:val="nil"/>
              <w:right w:val="nil"/>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outline w:val="0"/>
                <w:color w:val="000000"/>
                <w:sz w:val="22"/>
                <w:szCs w:val="22"/>
                <w:rtl w:val="0"/>
                <w:lang w:val="it-IT"/>
                <w14:textFill>
                  <w14:solidFill>
                    <w14:srgbClr w14:val="000000"/>
                  </w14:solidFill>
                </w14:textFill>
              </w:rPr>
              <w:t>Visitor</w:t>
            </w:r>
            <w:r>
              <w:rPr>
                <w:rFonts w:ascii="Times New Roman" w:hAnsi="Times New Roman"/>
                <w:outline w:val="0"/>
                <w:color w:val="000000"/>
                <w:sz w:val="22"/>
                <w:szCs w:val="22"/>
                <w:rtl w:val="0"/>
                <w:lang w:val="en-US"/>
                <w14:textFill>
                  <w14:solidFill>
                    <w14:srgbClr w14:val="000000"/>
                  </w14:solidFill>
                </w14:textFill>
              </w:rPr>
              <w:t xml:space="preserve"> - </w:t>
            </w:r>
            <w:r>
              <w:rPr>
                <w:rFonts w:ascii="Times New Roman" w:hAnsi="Times New Roman"/>
                <w:b w:val="0"/>
                <w:bCs w:val="0"/>
                <w:outline w:val="0"/>
                <w:color w:val="000000"/>
                <w:sz w:val="22"/>
                <w:szCs w:val="22"/>
                <w:rtl w:val="0"/>
                <w:lang w:val="en-US"/>
                <w14:textFill>
                  <w14:solidFill>
                    <w14:srgbClr w14:val="000000"/>
                  </w14:solidFill>
                </w14:textFill>
              </w:rPr>
              <w:t>number of visitors</w:t>
            </w:r>
          </w:p>
        </w:tc>
        <w:tc>
          <w:tcPr>
            <w:tcW w:type="dxa" w:w="842"/>
            <w:tcBorders>
              <w:top w:val="nil"/>
              <w:left w:val="nil"/>
              <w:bottom w:val="nil"/>
              <w:right w:val="single" w:color="515151" w:sz="8" w:space="0" w:shadow="0" w:frame="0"/>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outline w:val="0"/>
                <w:color w:val="000000"/>
                <w:sz w:val="22"/>
                <w:szCs w:val="22"/>
                <w:rtl w:val="0"/>
                <w14:textFill>
                  <w14:solidFill>
                    <w14:srgbClr w14:val="000000"/>
                  </w14:solidFill>
                </w14:textFill>
              </w:rPr>
              <w:t>25</w:t>
            </w:r>
          </w:p>
        </w:tc>
      </w:tr>
      <w:tr>
        <w:tblPrEx>
          <w:shd w:val="clear" w:color="auto" w:fill="auto"/>
        </w:tblPrEx>
        <w:trPr>
          <w:trHeight w:val="295" w:hRule="atLeast"/>
        </w:trPr>
        <w:tc>
          <w:tcPr>
            <w:tcW w:type="dxa" w:w="7217"/>
            <w:gridSpan w:val="8"/>
            <w:tcBorders>
              <w:top w:val="nil"/>
              <w:left w:val="single" w:color="515151" w:sz="8" w:space="0" w:shadow="0" w:frame="0"/>
              <w:bottom w:val="single" w:color="515151" w:sz="8" w:space="0" w:shadow="0" w:frame="0"/>
              <w:right w:val="single" w:color="515151" w:sz="8" w:space="0" w:shadow="0" w:frame="0"/>
            </w:tcBorders>
            <w:shd w:val="clear" w:color="auto" w:fill="auto"/>
            <w:tcMar>
              <w:top w:type="dxa" w:w="20"/>
              <w:left w:type="dxa" w:w="20"/>
              <w:bottom w:type="dxa" w:w="20"/>
              <w:right w:type="dxa" w:w="20"/>
            </w:tcMar>
            <w:vAlign w:val="center"/>
          </w:tcPr>
          <w:p>
            <w:pPr>
              <w:pStyle w:val="Table Style 3"/>
              <w:spacing w:before="80" w:line="216" w:lineRule="auto"/>
              <w:jc w:val="left"/>
            </w:pPr>
            <w:r>
              <w:rPr>
                <w:rFonts w:ascii="Times New Roman" w:hAnsi="Times New Roman"/>
                <w:outline w:val="0"/>
                <w:color w:val="000000"/>
                <w:sz w:val="22"/>
                <w:szCs w:val="22"/>
                <w:rtl w:val="0"/>
                <w:lang w:val="en-US"/>
                <w14:textFill>
                  <w14:solidFill>
                    <w14:srgbClr w14:val="000000"/>
                  </w14:solidFill>
                </w14:textFill>
              </w:rPr>
              <w:t>User knowledge level for the topic</w:t>
            </w:r>
            <w:r>
              <w:rPr>
                <w:rFonts w:ascii="Times New Roman" w:hAnsi="Times New Roman"/>
                <w:outline w:val="0"/>
                <w:color w:val="000000"/>
                <w:sz w:val="22"/>
                <w:szCs w:val="22"/>
                <w:rtl w:val="0"/>
                <w:lang w:val="en-US"/>
                <w14:textFill>
                  <w14:solidFill>
                    <w14:srgbClr w14:val="000000"/>
                  </w14:solidFill>
                </w14:textFill>
              </w:rPr>
              <w:t>:</w:t>
            </w:r>
            <w:r>
              <w:rPr>
                <w:rFonts w:ascii="Times New Roman" w:cs="Times New Roman" w:hAnsi="Times New Roman" w:eastAsia="Times New Roman"/>
                <w:outline w:val="0"/>
                <w:color w:val="000000"/>
                <w:sz w:val="22"/>
                <w:szCs w:val="22"/>
                <w14:textFill>
                  <w14:solidFill>
                    <w14:srgbClr w14:val="000000"/>
                  </w14:solidFill>
                </w14:textFill>
              </w:rPr>
              <w:tab/>
            </w:r>
            <w:r>
              <w:rPr>
                <w:rFonts w:ascii="Times New Roman" w:hAnsi="Times New Roman"/>
                <w:b w:val="0"/>
                <w:bCs w:val="0"/>
                <w:outline w:val="0"/>
                <w:color w:val="000000"/>
                <w:sz w:val="22"/>
                <w:szCs w:val="22"/>
                <w:rtl w:val="0"/>
                <w:lang w:val="en-US"/>
                <w14:textFill>
                  <w14:solidFill>
                    <w14:srgbClr w14:val="000000"/>
                  </w14:solidFill>
                </w14:textFill>
              </w:rPr>
              <w:t>(based on expert opinion)</w:t>
            </w:r>
            <w:r>
              <w:rPr>
                <w:rFonts w:ascii="Times New Roman" w:hAnsi="Times New Roman" w:hint="default"/>
                <w:outline w:val="0"/>
                <w:color w:val="000000"/>
                <w:sz w:val="22"/>
                <w:szCs w:val="22"/>
                <w:rtl w:val="0"/>
                <w:lang w:val="en-US"/>
                <w14:textFill>
                  <w14:solidFill>
                    <w14:srgbClr w14:val="000000"/>
                  </w14:solidFill>
                </w14:textFill>
              </w:rPr>
              <w:t xml:space="preserve">     “</w:t>
            </w:r>
            <w:r>
              <w:rPr>
                <w:rFonts w:ascii="Times New Roman" w:hAnsi="Times New Roman"/>
                <w:outline w:val="0"/>
                <w:color w:val="000000"/>
                <w:sz w:val="22"/>
                <w:szCs w:val="22"/>
                <w:rtl w:val="0"/>
                <w:lang w:val="en-US"/>
                <w14:textFill>
                  <w14:solidFill>
                    <w14:srgbClr w14:val="000000"/>
                  </w14:solidFill>
                </w14:textFill>
              </w:rPr>
              <w:t>Advanced</w:t>
            </w:r>
            <w:r>
              <w:rPr>
                <w:rFonts w:ascii="Times New Roman" w:hAnsi="Times New Roman" w:hint="default"/>
                <w:outline w:val="0"/>
                <w:color w:val="000000"/>
                <w:sz w:val="22"/>
                <w:szCs w:val="22"/>
                <w:rtl w:val="0"/>
                <w:lang w:val="en-US"/>
                <w14:textFill>
                  <w14:solidFill>
                    <w14:srgbClr w14:val="000000"/>
                  </w14:solidFill>
                </w14:textFill>
              </w:rPr>
              <w:t>”</w:t>
            </w:r>
          </w:p>
        </w:tc>
      </w:tr>
    </w:tbl>
    <w:p>
      <w:pPr>
        <w:pStyle w:val="Default"/>
        <w:tabs>
          <w:tab w:val="left" w:pos="1150"/>
        </w:tabs>
        <w:spacing w:before="160"/>
        <w:jc w:val="center"/>
        <w:rPr>
          <w:b w:val="1"/>
          <w:bCs w:val="1"/>
          <w:sz w:val="20"/>
          <w:szCs w:val="20"/>
        </w:rPr>
      </w:pPr>
    </w:p>
    <w:p>
      <w:pPr>
        <w:pStyle w:val="H2"/>
        <w:numPr>
          <w:ilvl w:val="1"/>
          <w:numId w:val="3"/>
        </w:numPr>
        <w:outlineLvl w:val="0"/>
        <w:rPr>
          <w:lang w:val="en-US"/>
        </w:rPr>
      </w:pPr>
      <w:r>
        <w:rPr>
          <w:rtl w:val="0"/>
          <w:lang w:val="en-US"/>
        </w:rPr>
        <w:t xml:space="preserve">Generic </w:t>
      </w:r>
      <w:r>
        <w:rPr>
          <w:rtl w:val="0"/>
          <w:lang w:val="en-US"/>
        </w:rPr>
        <w:t>user knowledge</w:t>
      </w:r>
      <w:r>
        <w:rPr>
          <w:rtl w:val="0"/>
          <w:lang w:val="en-US"/>
        </w:rPr>
        <w:t xml:space="preserve"> modeling as an o</w:t>
      </w:r>
      <w:r>
        <w:rPr>
          <w:rtl w:val="0"/>
          <w:lang w:val="en-US"/>
        </w:rPr>
        <w:t>verlay model</w:t>
      </w:r>
    </w:p>
    <w:p>
      <w:pPr>
        <w:pStyle w:val="H3"/>
        <w:numPr>
          <w:ilvl w:val="3"/>
          <w:numId w:val="3"/>
        </w:numPr>
        <w:outlineLvl w:val="0"/>
        <w:rPr>
          <w:lang w:val="en-US"/>
        </w:rPr>
      </w:pPr>
      <w:r>
        <w:rPr>
          <w:rtl w:val="0"/>
          <w:lang w:val="en-US"/>
        </w:rPr>
        <w:t>Domain model</w:t>
      </w:r>
    </w:p>
    <w:p>
      <w:pPr>
        <w:pStyle w:val="Normal.0"/>
        <w:spacing w:line="240" w:lineRule="auto"/>
      </w:pPr>
      <w:r>
        <w:rPr>
          <w:rtl w:val="0"/>
          <w:lang w:val="en-US"/>
        </w:rPr>
        <w:t xml:space="preserve">User modeling is one of the important mechanisms on designing adaptive systems </w:t>
      </w:r>
      <w:r>
        <w:rPr>
          <w:rtl w:val="0"/>
          <w:lang w:val="pt-PT"/>
        </w:rPr>
        <w:t>[36]</w:t>
      </w:r>
      <w:r>
        <w:rPr>
          <w:rtl w:val="0"/>
          <w:lang w:val="en-US"/>
        </w:rPr>
        <w:t>. We used overlay model technique for learner</w:t>
      </w:r>
      <w:r>
        <w:rPr>
          <w:rtl w:val="0"/>
          <w:lang w:val="en-US"/>
        </w:rPr>
        <w:t>’</w:t>
      </w:r>
      <w:r>
        <w:rPr>
          <w:rtl w:val="0"/>
          <w:lang w:val="en-US"/>
        </w:rPr>
        <w:t>s knowledge modelling. A structured domain model was first constructed which consists of concepts and associated feature objects. I</w:t>
      </w:r>
      <w:r>
        <w:rPr>
          <w:rtl w:val="0"/>
          <w:lang w:val="fr-FR"/>
        </w:rPr>
        <w:t>n domain model</w:t>
      </w:r>
      <w:r>
        <w:rPr>
          <w:rtl w:val="0"/>
          <w:lang w:val="en-US"/>
        </w:rPr>
        <w:t>ling</w:t>
      </w:r>
      <w:r>
        <w:rPr>
          <w:rtl w:val="0"/>
        </w:rPr>
        <w:t xml:space="preserve"> </w:t>
      </w:r>
      <w:r>
        <w:rPr>
          <w:rtl w:val="0"/>
          <w:lang w:val="en-US"/>
        </w:rPr>
        <w:t xml:space="preserve">the concepts can be as simple as a fact or as large as a chunk of knowledge elements. The term </w:t>
      </w:r>
      <w:r>
        <w:rPr>
          <w:i w:val="1"/>
          <w:iCs w:val="1"/>
          <w:rtl w:val="0"/>
          <w:lang w:val="en-US"/>
        </w:rPr>
        <w:t xml:space="preserve">learning object </w:t>
      </w:r>
      <w:r>
        <w:rPr>
          <w:rtl w:val="0"/>
          <w:lang w:val="en-US"/>
        </w:rPr>
        <w:t xml:space="preserve">was adopted as a synonym to the </w:t>
      </w:r>
      <w:r>
        <w:rPr>
          <w:rtl w:val="0"/>
          <w:lang w:val="en-US"/>
        </w:rPr>
        <w:t xml:space="preserve">concept </w:t>
      </w:r>
      <w:r>
        <w:rPr>
          <w:rtl w:val="0"/>
          <w:lang w:val="en-US"/>
        </w:rPr>
        <w:t xml:space="preserve">that is because it can denote a fragment of knowledge of any procedural knowledge </w:t>
      </w:r>
      <w:r>
        <w:rPr>
          <w:rtl w:val="0"/>
          <w:lang w:val="pt-PT"/>
        </w:rPr>
        <w:t>[37]</w:t>
      </w:r>
      <w:r>
        <w:rPr>
          <w:rtl w:val="0"/>
          <w:lang w:val="en-US"/>
        </w:rPr>
        <w:t xml:space="preserve">. For our object model </w:t>
      </w:r>
      <w:r>
        <w:rPr>
          <w:b w:val="1"/>
          <w:bCs w:val="1"/>
          <w:rtl w:val="0"/>
          <w:lang w:val="en-US"/>
        </w:rPr>
        <w:t>O</w:t>
      </w:r>
      <w:r>
        <w:rPr>
          <w:b w:val="1"/>
          <w:bCs w:val="1"/>
          <w:vertAlign w:val="subscript"/>
          <w:rtl w:val="0"/>
          <w:lang w:val="en-US"/>
        </w:rPr>
        <w:t>,</w:t>
      </w:r>
      <w:r>
        <w:rPr>
          <w:rtl w:val="0"/>
          <w:lang w:val="en-US"/>
        </w:rPr>
        <w:t xml:space="preserve"> {o</w:t>
      </w:r>
      <w:r>
        <w:rPr>
          <w:vertAlign w:val="subscript"/>
          <w:rtl w:val="0"/>
          <w:lang w:val="en-US"/>
        </w:rPr>
        <w:t>1</w:t>
      </w:r>
      <w:r>
        <w:rPr>
          <w:rtl w:val="0"/>
          <w:lang w:val="en-US"/>
        </w:rPr>
        <w:t>, o</w:t>
      </w:r>
      <w:r>
        <w:rPr>
          <w:vertAlign w:val="subscript"/>
          <w:rtl w:val="0"/>
          <w:lang w:val="en-US"/>
        </w:rPr>
        <w:t xml:space="preserve">2, </w:t>
      </w:r>
      <w:r>
        <w:rPr>
          <w:rtl w:val="0"/>
          <w:lang w:val="en-US"/>
        </w:rPr>
        <w:t>o</w:t>
      </w:r>
      <w:r>
        <w:rPr>
          <w:vertAlign w:val="subscript"/>
          <w:rtl w:val="0"/>
          <w:lang w:val="en-US"/>
        </w:rPr>
        <w:t xml:space="preserve">3, </w:t>
      </w:r>
      <w:r>
        <w:rPr>
          <w:rtl w:val="0"/>
          <w:lang w:val="en-US"/>
        </w:rPr>
        <w:t>…</w:t>
      </w:r>
      <w:r>
        <w:rPr>
          <w:vertAlign w:val="subscript"/>
          <w:rtl w:val="0"/>
          <w:lang w:val="en-US"/>
        </w:rPr>
        <w:t xml:space="preserve">, </w:t>
      </w:r>
      <w:r>
        <w:rPr>
          <w:rtl w:val="0"/>
          <w:lang w:val="en-US"/>
        </w:rPr>
        <w:t>o</w:t>
      </w:r>
      <w:r>
        <w:rPr>
          <w:vertAlign w:val="subscript"/>
          <w:rtl w:val="0"/>
          <w:lang w:val="en-US"/>
        </w:rPr>
        <w:t>n</w:t>
      </w:r>
      <w:r>
        <w:rPr>
          <w:rtl w:val="0"/>
          <w:lang w:val="en-US"/>
        </w:rPr>
        <w:t xml:space="preserve">} refers to the application domain, </w:t>
      </w:r>
      <w:r>
        <w:rPr>
          <w:b w:val="1"/>
          <w:bCs w:val="1"/>
          <w:i w:val="1"/>
          <w:iCs w:val="1"/>
          <w:rtl w:val="0"/>
          <w:lang w:val="en-US"/>
        </w:rPr>
        <w:t>n</w:t>
      </w:r>
      <w:r>
        <w:rPr>
          <w:rtl w:val="0"/>
          <w:lang w:val="en-US"/>
        </w:rPr>
        <w:t xml:space="preserve"> denotes the number of knowledge components and topics in the domain Fig 5.2 shows the generalised object model. Lesslets are other kind of learning objects associated to a certain object and they are user generated contents. It derives that </w:t>
      </w:r>
      <w:r>
        <w:rPr>
          <w:b w:val="1"/>
          <w:bCs w:val="1"/>
          <w:i w:val="1"/>
          <w:iCs w:val="1"/>
          <w:rtl w:val="0"/>
          <w:lang w:val="en-US"/>
        </w:rPr>
        <w:t>c</w:t>
      </w:r>
      <w:r>
        <w:rPr>
          <w:rFonts w:ascii="Arial Unicode MS" w:cs="Arial Unicode MS" w:hAnsi="Arial Unicode MS" w:eastAsia="Arial Unicode MS" w:hint="default"/>
          <w:b w:val="0"/>
          <w:bCs w:val="0"/>
          <w:i w:val="0"/>
          <w:iCs w:val="0"/>
          <w:rtl w:val="0"/>
          <w:lang w:val="en-US"/>
        </w:rPr>
        <w:t>∊</w:t>
      </w:r>
      <w:r>
        <w:rPr>
          <w:b w:val="1"/>
          <w:bCs w:val="1"/>
          <w:i w:val="1"/>
          <w:iCs w:val="1"/>
          <w:rtl w:val="0"/>
          <w:lang w:val="en-US"/>
        </w:rPr>
        <w:t xml:space="preserve">n </w:t>
      </w:r>
      <w:r>
        <w:rPr>
          <w:rFonts w:ascii="Arial Unicode MS" w:cs="Arial Unicode MS" w:hAnsi="Arial Unicode MS" w:eastAsia="Arial Unicode MS" w:hint="default"/>
          <w:b w:val="0"/>
          <w:bCs w:val="0"/>
          <w:i w:val="0"/>
          <w:iCs w:val="0"/>
          <w:rtl w:val="0"/>
          <w:lang w:val="en-US"/>
        </w:rPr>
        <w:t>∀</w:t>
      </w:r>
      <w:r>
        <w:rPr>
          <w:rtl w:val="0"/>
          <w:lang w:val="en-US"/>
        </w:rPr>
        <w:t xml:space="preserve"> </w:t>
      </w:r>
      <w:r>
        <w:rPr>
          <w:b w:val="1"/>
          <w:bCs w:val="1"/>
          <w:i w:val="1"/>
          <w:iCs w:val="1"/>
          <w:rtl w:val="0"/>
          <w:lang w:val="en-US"/>
        </w:rPr>
        <w:t>o</w:t>
      </w:r>
      <w:r>
        <w:rPr>
          <w:b w:val="1"/>
          <w:bCs w:val="1"/>
          <w:i w:val="1"/>
          <w:iCs w:val="1"/>
          <w:vertAlign w:val="subscript"/>
          <w:rtl w:val="0"/>
          <w:lang w:val="en-US"/>
        </w:rPr>
        <w:t>c</w:t>
      </w:r>
      <w:r>
        <w:rPr>
          <w:rFonts w:ascii="Arial Unicode MS" w:cs="Arial Unicode MS" w:hAnsi="Arial Unicode MS" w:eastAsia="Arial Unicode MS" w:hint="default"/>
          <w:b w:val="0"/>
          <w:bCs w:val="0"/>
          <w:i w:val="0"/>
          <w:iCs w:val="0"/>
          <w:rtl w:val="0"/>
          <w:lang w:val="en-US"/>
        </w:rPr>
        <w:t>∊</w:t>
      </w:r>
      <w:r>
        <w:rPr>
          <w:b w:val="1"/>
          <w:bCs w:val="1"/>
          <w:i w:val="1"/>
          <w:iCs w:val="1"/>
          <w:rtl w:val="0"/>
          <w:lang w:val="en-US"/>
        </w:rPr>
        <w:t>O</w:t>
      </w:r>
      <w:r>
        <w:rPr>
          <w:rtl w:val="0"/>
          <w:lang w:val="en-US"/>
        </w:rPr>
        <w:t xml:space="preserve">. A domain model was </w:t>
      </w:r>
      <w:r>
        <w:rPr>
          <w:rtl w:val="0"/>
          <w:lang w:val="en-US"/>
        </w:rPr>
        <w:t>structured</w:t>
      </w:r>
      <w:r>
        <w:rPr>
          <w:rtl w:val="0"/>
          <w:lang w:val="en-US"/>
        </w:rPr>
        <w:t xml:space="preserve"> with two sets </w:t>
      </w:r>
      <w:r>
        <w:rPr>
          <w:b w:val="1"/>
          <w:bCs w:val="1"/>
          <w:i w:val="1"/>
          <w:iCs w:val="1"/>
          <w:rtl w:val="0"/>
          <w:lang w:val="en-US"/>
        </w:rPr>
        <w:t>Fo</w:t>
      </w:r>
      <w:r>
        <w:rPr>
          <w:b w:val="1"/>
          <w:bCs w:val="1"/>
          <w:i w:val="1"/>
          <w:iCs w:val="1"/>
          <w:vertAlign w:val="subscript"/>
          <w:rtl w:val="0"/>
          <w:lang w:val="en-US"/>
        </w:rPr>
        <w:t>c</w:t>
      </w:r>
      <w:r>
        <w:rPr>
          <w:rtl w:val="0"/>
          <w:lang w:val="en-US"/>
        </w:rPr>
        <w:t xml:space="preserve"> and </w:t>
      </w:r>
      <w:r>
        <w:rPr>
          <w:b w:val="1"/>
          <w:bCs w:val="1"/>
          <w:i w:val="1"/>
          <w:iCs w:val="1"/>
          <w:rtl w:val="0"/>
          <w:lang w:val="en-US"/>
        </w:rPr>
        <w:t>Ro</w:t>
      </w:r>
      <w:r>
        <w:rPr>
          <w:b w:val="1"/>
          <w:bCs w:val="1"/>
          <w:i w:val="1"/>
          <w:iCs w:val="1"/>
          <w:vertAlign w:val="subscript"/>
          <w:rtl w:val="0"/>
          <w:lang w:val="en-US"/>
        </w:rPr>
        <w:t xml:space="preserve">c </w:t>
      </w:r>
      <w:r>
        <w:rPr>
          <w:rtl w:val="0"/>
          <w:lang w:val="en-US"/>
        </w:rPr>
        <w:t xml:space="preserve">. The first one is the set of individual features </w:t>
      </w:r>
      <w:r>
        <w:rPr>
          <w:b w:val="1"/>
          <w:bCs w:val="1"/>
          <w:i w:val="1"/>
          <w:iCs w:val="1"/>
          <w:rtl w:val="0"/>
          <w:lang w:val="en-US"/>
        </w:rPr>
        <w:t>Fo</w:t>
      </w:r>
      <w:r>
        <w:rPr>
          <w:b w:val="1"/>
          <w:bCs w:val="1"/>
          <w:i w:val="1"/>
          <w:iCs w:val="1"/>
          <w:vertAlign w:val="subscript"/>
          <w:rtl w:val="0"/>
          <w:lang w:val="en-US"/>
        </w:rPr>
        <w:t>c</w:t>
      </w:r>
      <w:r>
        <w:rPr>
          <w:rtl w:val="0"/>
          <w:lang w:val="en-US"/>
        </w:rPr>
        <w:t xml:space="preserve"> </w:t>
      </w:r>
      <w:r>
        <w:rPr>
          <w:i w:val="1"/>
          <w:iCs w:val="1"/>
          <w:rtl w:val="0"/>
          <w:lang w:val="en-US"/>
        </w:rPr>
        <w:t>{fo</w:t>
      </w:r>
      <w:r>
        <w:rPr>
          <w:i w:val="1"/>
          <w:iCs w:val="1"/>
          <w:vertAlign w:val="subscript"/>
          <w:rtl w:val="0"/>
          <w:lang w:val="en-US"/>
        </w:rPr>
        <w:t>c1</w:t>
      </w:r>
      <w:r>
        <w:rPr>
          <w:i w:val="1"/>
          <w:iCs w:val="1"/>
          <w:rtl w:val="0"/>
          <w:lang w:val="en-US"/>
        </w:rPr>
        <w:t>, fo</w:t>
      </w:r>
      <w:r>
        <w:rPr>
          <w:i w:val="1"/>
          <w:iCs w:val="1"/>
          <w:vertAlign w:val="subscript"/>
          <w:rtl w:val="0"/>
          <w:lang w:val="en-US"/>
        </w:rPr>
        <w:t>c2</w:t>
      </w:r>
      <w:r>
        <w:rPr>
          <w:i w:val="1"/>
          <w:iCs w:val="1"/>
          <w:rtl w:val="0"/>
          <w:lang w:val="en-US"/>
        </w:rPr>
        <w:t>, fo</w:t>
      </w:r>
      <w:r>
        <w:rPr>
          <w:i w:val="1"/>
          <w:iCs w:val="1"/>
          <w:vertAlign w:val="subscript"/>
          <w:rtl w:val="0"/>
          <w:lang w:val="en-US"/>
        </w:rPr>
        <w:t>c3</w:t>
      </w:r>
      <w:r>
        <w:rPr>
          <w:i w:val="1"/>
          <w:iCs w:val="1"/>
          <w:rtl w:val="0"/>
          <w:lang w:val="en-US"/>
        </w:rPr>
        <w:t xml:space="preserve">, </w:t>
      </w:r>
      <w:r>
        <w:rPr>
          <w:i w:val="1"/>
          <w:iCs w:val="1"/>
          <w:rtl w:val="0"/>
          <w:lang w:val="en-US"/>
        </w:rPr>
        <w:t>…</w:t>
      </w:r>
      <w:r>
        <w:rPr>
          <w:i w:val="1"/>
          <w:iCs w:val="1"/>
          <w:rtl w:val="0"/>
          <w:lang w:val="en-US"/>
        </w:rPr>
        <w:t>, fo</w:t>
      </w:r>
      <w:r>
        <w:rPr>
          <w:i w:val="1"/>
          <w:iCs w:val="1"/>
          <w:vertAlign w:val="subscript"/>
          <w:rtl w:val="0"/>
          <w:lang w:val="en-US"/>
        </w:rPr>
        <w:t>cn</w:t>
      </w:r>
      <w:r>
        <w:rPr>
          <w:i w:val="1"/>
          <w:iCs w:val="1"/>
          <w:rtl w:val="0"/>
          <w:lang w:val="en-US"/>
        </w:rPr>
        <w:t xml:space="preserve">} </w:t>
      </w:r>
      <w:r>
        <w:rPr>
          <w:rtl w:val="0"/>
          <w:lang w:val="en-US"/>
        </w:rPr>
        <w:t xml:space="preserve">of learning objects. The second kind of objects are the set of correlated features </w:t>
      </w:r>
      <w:r>
        <w:rPr>
          <w:b w:val="1"/>
          <w:bCs w:val="1"/>
          <w:i w:val="1"/>
          <w:iCs w:val="1"/>
          <w:rtl w:val="0"/>
          <w:lang w:val="en-US"/>
        </w:rPr>
        <w:t>Ro</w:t>
      </w:r>
      <w:r>
        <w:rPr>
          <w:b w:val="1"/>
          <w:bCs w:val="1"/>
          <w:i w:val="1"/>
          <w:iCs w:val="1"/>
          <w:vertAlign w:val="subscript"/>
          <w:rtl w:val="0"/>
          <w:lang w:val="en-US"/>
        </w:rPr>
        <w:t>c</w:t>
      </w:r>
      <w:r>
        <w:rPr>
          <w:rtl w:val="0"/>
          <w:lang w:val="en-US"/>
        </w:rPr>
        <w:t xml:space="preserve"> </w:t>
      </w:r>
      <w:r>
        <w:rPr>
          <w:i w:val="1"/>
          <w:iCs w:val="1"/>
          <w:rtl w:val="0"/>
          <w:lang w:val="en-US"/>
        </w:rPr>
        <w:t>{ro</w:t>
      </w:r>
      <w:r>
        <w:rPr>
          <w:i w:val="1"/>
          <w:iCs w:val="1"/>
          <w:vertAlign w:val="subscript"/>
          <w:rtl w:val="0"/>
          <w:lang w:val="en-US"/>
        </w:rPr>
        <w:t>c1</w:t>
      </w:r>
      <w:r>
        <w:rPr>
          <w:i w:val="1"/>
          <w:iCs w:val="1"/>
          <w:rtl w:val="0"/>
          <w:lang w:val="en-US"/>
        </w:rPr>
        <w:t>,</w:t>
      </w:r>
      <w:r>
        <w:rPr>
          <w:i w:val="1"/>
          <w:iCs w:val="1"/>
          <w:vertAlign w:val="subscript"/>
          <w:rtl w:val="0"/>
          <w:lang w:val="en-US"/>
        </w:rPr>
        <w:t xml:space="preserve"> </w:t>
      </w:r>
      <w:r>
        <w:rPr>
          <w:i w:val="1"/>
          <w:iCs w:val="1"/>
          <w:rtl w:val="0"/>
          <w:lang w:val="en-US"/>
        </w:rPr>
        <w:t>ro</w:t>
      </w:r>
      <w:r>
        <w:rPr>
          <w:i w:val="1"/>
          <w:iCs w:val="1"/>
          <w:vertAlign w:val="subscript"/>
          <w:rtl w:val="0"/>
          <w:lang w:val="en-US"/>
        </w:rPr>
        <w:t>c2</w:t>
      </w:r>
      <w:r>
        <w:rPr>
          <w:i w:val="1"/>
          <w:iCs w:val="1"/>
          <w:rtl w:val="0"/>
          <w:lang w:val="en-US"/>
        </w:rPr>
        <w:t>,</w:t>
      </w:r>
      <w:r>
        <w:rPr>
          <w:i w:val="1"/>
          <w:iCs w:val="1"/>
          <w:vertAlign w:val="subscript"/>
          <w:rtl w:val="0"/>
          <w:lang w:val="en-US"/>
        </w:rPr>
        <w:t xml:space="preserve"> </w:t>
      </w:r>
      <w:r>
        <w:rPr>
          <w:i w:val="1"/>
          <w:iCs w:val="1"/>
          <w:rtl w:val="0"/>
          <w:lang w:val="en-US"/>
        </w:rPr>
        <w:t>ro</w:t>
      </w:r>
      <w:r>
        <w:rPr>
          <w:i w:val="1"/>
          <w:iCs w:val="1"/>
          <w:vertAlign w:val="subscript"/>
          <w:rtl w:val="0"/>
          <w:lang w:val="en-US"/>
        </w:rPr>
        <w:t>c3</w:t>
      </w:r>
      <w:r>
        <w:rPr>
          <w:i w:val="1"/>
          <w:iCs w:val="1"/>
          <w:rtl w:val="0"/>
          <w:lang w:val="en-US"/>
        </w:rPr>
        <w:t xml:space="preserve">, </w:t>
      </w:r>
      <w:r>
        <w:rPr>
          <w:i w:val="1"/>
          <w:iCs w:val="1"/>
          <w:rtl w:val="0"/>
          <w:lang w:val="en-US"/>
        </w:rPr>
        <w:t>…</w:t>
      </w:r>
      <w:r>
        <w:rPr>
          <w:i w:val="1"/>
          <w:iCs w:val="1"/>
          <w:rtl w:val="0"/>
          <w:lang w:val="en-US"/>
        </w:rPr>
        <w:t>,</w:t>
      </w:r>
      <w:r>
        <w:rPr>
          <w:i w:val="1"/>
          <w:iCs w:val="1"/>
          <w:vertAlign w:val="subscript"/>
          <w:rtl w:val="0"/>
          <w:lang w:val="en-US"/>
        </w:rPr>
        <w:t xml:space="preserve"> </w:t>
      </w:r>
      <w:r>
        <w:rPr>
          <w:i w:val="1"/>
          <w:iCs w:val="1"/>
          <w:rtl w:val="0"/>
          <w:lang w:val="en-US"/>
        </w:rPr>
        <w:t>ro</w:t>
      </w:r>
      <w:r>
        <w:rPr>
          <w:i w:val="1"/>
          <w:iCs w:val="1"/>
          <w:vertAlign w:val="subscript"/>
          <w:rtl w:val="0"/>
          <w:lang w:val="en-US"/>
        </w:rPr>
        <w:t>cm</w:t>
      </w:r>
      <w:r>
        <w:rPr>
          <w:i w:val="1"/>
          <w:iCs w:val="1"/>
          <w:rtl w:val="0"/>
          <w:lang w:val="en-US"/>
        </w:rPr>
        <w:t xml:space="preserve">} </w:t>
      </w:r>
      <w:r>
        <w:rPr>
          <w:rtl w:val="0"/>
          <w:lang w:val="en-US"/>
        </w:rPr>
        <w:t xml:space="preserve">of </w:t>
      </w:r>
      <w:r>
        <w:rPr>
          <w:b w:val="1"/>
          <w:bCs w:val="1"/>
          <w:rtl w:val="0"/>
          <w:lang w:val="en-US"/>
        </w:rPr>
        <w:t>o</w:t>
      </w:r>
      <w:r>
        <w:rPr>
          <w:b w:val="1"/>
          <w:bCs w:val="1"/>
          <w:vertAlign w:val="subscript"/>
          <w:rtl w:val="0"/>
          <w:lang w:val="en-US"/>
        </w:rPr>
        <w:t>c</w:t>
      </w:r>
      <w:r>
        <w:rPr>
          <w:rtl w:val="0"/>
          <w:lang w:val="en-US"/>
        </w:rPr>
        <w:t xml:space="preserve"> object. The topic will be marked as grasped if the user has managed to create lesslets for each concept associated to the topic and if those lesslets are met the criteria in a duration of given session time. To implement the content recommendation, the features of lesslets are exploited in machine learning classification techniques in the next section.</w:t>
      </w:r>
    </w:p>
    <w:p>
      <w:pPr>
        <w:pStyle w:val="Caption"/>
        <w:spacing w:after="160"/>
        <w:jc w:val="center"/>
        <w:rPr>
          <w:caps w:val="0"/>
          <w:smallCaps w:val="0"/>
        </w:rPr>
      </w:pPr>
      <w:r>
        <w:rPr>
          <w:caps w:val="0"/>
          <w:smallCaps w:val="0"/>
        </w:rPr>
        <w:drawing>
          <wp:inline distT="0" distB="0" distL="0" distR="0">
            <wp:extent cx="5387975" cy="3239692"/>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pdf"/>
                    <pic:cNvPicPr>
                      <a:picLocks noChangeAspect="1"/>
                    </pic:cNvPicPr>
                  </pic:nvPicPr>
                  <pic:blipFill>
                    <a:blip r:embed="rId6">
                      <a:extLst/>
                    </a:blip>
                    <a:stretch>
                      <a:fillRect/>
                    </a:stretch>
                  </pic:blipFill>
                  <pic:spPr>
                    <a:xfrm>
                      <a:off x="0" y="0"/>
                      <a:ext cx="5387975" cy="3239692"/>
                    </a:xfrm>
                    <a:prstGeom prst="rect">
                      <a:avLst/>
                    </a:prstGeom>
                    <a:ln w="12700" cap="flat">
                      <a:noFill/>
                      <a:miter lim="400000"/>
                    </a:ln>
                    <a:effectLst/>
                  </pic:spPr>
                </pic:pic>
              </a:graphicData>
            </a:graphic>
          </wp:inline>
        </w:drawing>
      </w:r>
    </w:p>
    <w:p>
      <w:pPr>
        <w:pStyle w:val="Default"/>
        <w:spacing w:line="360" w:lineRule="auto"/>
        <w:ind w:firstLine="567"/>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Fig. 2 Generalised object model</w:t>
      </w:r>
    </w:p>
    <w:p>
      <w:pPr>
        <w:pStyle w:val="H3"/>
        <w:numPr>
          <w:ilvl w:val="2"/>
          <w:numId w:val="4"/>
        </w:numPr>
        <w:outlineLvl w:val="0"/>
        <w:rPr>
          <w:lang w:val="en-US"/>
        </w:rPr>
      </w:pPr>
      <w:r>
        <w:rPr>
          <w:rtl w:val="0"/>
          <w:lang w:val="en-US"/>
        </w:rPr>
        <w:t>Knowledge model</w:t>
      </w:r>
    </w:p>
    <w:p>
      <w:pPr>
        <w:pStyle w:val="Normal.0"/>
        <w:spacing w:line="240" w:lineRule="auto"/>
      </w:pPr>
      <w:r>
        <w:rPr>
          <w:rtl w:val="0"/>
          <w:lang w:val="en-US"/>
        </w:rPr>
        <w:t>The data in knowledge model is the main source to which adaptation processes depend on. Knowledge model keeps some information about user</w:t>
      </w:r>
      <w:r>
        <w:rPr>
          <w:rtl w:val="0"/>
          <w:lang w:val="en-US"/>
        </w:rPr>
        <w:t>’</w:t>
      </w:r>
      <w:r>
        <w:rPr>
          <w:rtl w:val="0"/>
          <w:lang w:val="en-US"/>
        </w:rPr>
        <w:t>s knowledge level on a certain knowledge element in domain model. For this reason those two models are strongly connected to each other. Also, some features of knowledge model elements, other than knowledge level, resembles user</w:t>
      </w:r>
      <w:r>
        <w:rPr>
          <w:rtl w:val="0"/>
          <w:lang w:val="en-US"/>
        </w:rPr>
        <w:t>’</w:t>
      </w:r>
      <w:r>
        <w:rPr>
          <w:rtl w:val="0"/>
          <w:lang w:val="en-US"/>
        </w:rPr>
        <w:t xml:space="preserve">s personal, background, or user traits and these features are usually static or changes very little during the entire learning period. </w:t>
      </w:r>
    </w:p>
    <w:p>
      <w:pPr>
        <w:pStyle w:val="Normal.0"/>
        <w:spacing w:line="240" w:lineRule="auto"/>
      </w:pPr>
      <w:r>
        <w:rPr>
          <w:rtl w:val="0"/>
          <w:lang w:val="en-US"/>
        </w:rPr>
        <w:t>Given a student</w:t>
      </w:r>
      <w:r>
        <w:rPr>
          <w:rtl w:val="0"/>
          <w:lang w:val="en-US"/>
        </w:rPr>
        <w:t>’</w:t>
      </w:r>
      <w:r>
        <w:rPr>
          <w:rtl w:val="0"/>
          <w:lang w:val="en-US"/>
        </w:rPr>
        <w:t xml:space="preserve">s knowledge data as a set of lesslets </w:t>
      </w:r>
      <w:r>
        <w:rPr>
          <w:rtl w:val="0"/>
          <w:lang w:val="en-US"/>
        </w:rPr>
        <w:t xml:space="preserve">created </w:t>
      </w:r>
      <w:r>
        <w:rPr>
          <w:rtl w:val="0"/>
          <w:lang w:val="en-US"/>
        </w:rPr>
        <w:t xml:space="preserve">for a topic see Table 5.1. In this example, the degree of scores are </w:t>
      </w:r>
      <w:r>
        <w:rPr>
          <w:i w:val="1"/>
          <w:iCs w:val="1"/>
          <w:rtl w:val="0"/>
          <w:lang w:val="en-US"/>
        </w:rPr>
        <w:t>advanced</w:t>
      </w:r>
      <w:r>
        <w:rPr>
          <w:rtl w:val="0"/>
          <w:lang w:val="en-US"/>
        </w:rPr>
        <w:t xml:space="preserve"> according to the expert </w:t>
      </w:r>
      <w:r>
        <w:rPr>
          <w:rtl w:val="0"/>
          <w:lang w:val="fr-FR"/>
        </w:rPr>
        <w:t>human</w:t>
      </w:r>
      <w:r>
        <w:rPr>
          <w:rtl w:val="0"/>
          <w:lang w:val="en-US"/>
        </w:rPr>
        <w:t xml:space="preserve"> judge, that the user</w:t>
      </w:r>
      <w:r>
        <w:rPr>
          <w:rtl w:val="0"/>
          <w:lang w:val="en-US"/>
        </w:rPr>
        <w:t>’</w:t>
      </w:r>
      <w:r>
        <w:rPr>
          <w:rtl w:val="0"/>
          <w:lang w:val="en-US"/>
        </w:rPr>
        <w:t xml:space="preserve">s this feature for the topic is considered to overlay higher than average of an expert knowledge level. </w:t>
      </w:r>
    </w:p>
    <w:p>
      <w:pPr>
        <w:pStyle w:val="Default"/>
        <w:spacing w:line="360" w:lineRule="auto"/>
        <w:ind w:firstLine="567"/>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Table 3 </w:t>
      </w:r>
      <w:r>
        <w:rPr>
          <w:rFonts w:ascii="Times New Roman" w:hAnsi="Times New Roman"/>
          <w:b w:val="1"/>
          <w:bCs w:val="1"/>
          <w:sz w:val="24"/>
          <w:szCs w:val="24"/>
          <w:rtl w:val="0"/>
          <w:lang w:val="en-US"/>
        </w:rPr>
        <w:t>Representation of user features for learning object</w:t>
      </w:r>
      <w:r>
        <w:rPr>
          <w:rFonts w:ascii="Times New Roman" w:hAnsi="Times New Roman"/>
          <w:b w:val="1"/>
          <w:bCs w:val="1"/>
          <w:sz w:val="24"/>
          <w:szCs w:val="24"/>
          <w:rtl w:val="0"/>
          <w:lang w:val="en-US"/>
        </w:rPr>
        <w:t xml:space="preserve"> o</w:t>
      </w:r>
      <w:r>
        <w:rPr>
          <w:rFonts w:ascii="Times New Roman" w:hAnsi="Times New Roman"/>
          <w:b w:val="1"/>
          <w:bCs w:val="1"/>
          <w:sz w:val="24"/>
          <w:szCs w:val="24"/>
          <w:vertAlign w:val="subscript"/>
          <w:rtl w:val="0"/>
          <w:lang w:val="en-US"/>
        </w:rPr>
        <w:t>c</w:t>
      </w:r>
      <w:r>
        <w:rPr>
          <w:rFonts w:ascii="Times New Roman" w:hAnsi="Times New Roman"/>
          <w:b w:val="1"/>
          <w:bCs w:val="1"/>
          <w:sz w:val="24"/>
          <w:szCs w:val="24"/>
          <w:rtl w:val="0"/>
        </w:rPr>
        <w:t>.</w:t>
      </w:r>
    </w:p>
    <w:tbl>
      <w:tblPr>
        <w:tblW w:w="14568"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913"/>
        <w:gridCol w:w="2914"/>
        <w:gridCol w:w="2914"/>
        <w:gridCol w:w="2914"/>
        <w:gridCol w:w="2913"/>
      </w:tblGrid>
      <w:tr>
        <w:tblPrEx>
          <w:shd w:val="clear" w:color="auto" w:fill="auto"/>
        </w:tblPrEx>
        <w:trPr>
          <w:trHeight w:val="300" w:hRule="atLeast"/>
        </w:trPr>
        <w:tc>
          <w:tcPr>
            <w:tcW w:type="dxa" w:w="14568"/>
            <w:gridSpan w:val="5"/>
            <w:tcBorders>
              <w:top w:val="single" w:color="515151" w:sz="8" w:space="0" w:shadow="0" w:frame="0"/>
              <w:left w:val="nil"/>
              <w:bottom w:val="nil"/>
              <w:right w:val="nil"/>
            </w:tcBorders>
            <w:shd w:val="clear" w:color="auto" w:fill="auto"/>
            <w:tcMar>
              <w:top w:type="dxa" w:w="0"/>
              <w:left w:type="dxa" w:w="0"/>
              <w:bottom w:type="dxa" w:w="0"/>
              <w:right w:type="dxa" w:w="0"/>
            </w:tcMar>
            <w:vAlign w:val="top"/>
          </w:tcPr>
          <w:p>
            <w:pPr>
              <w:pStyle w:val="Normal.0"/>
              <w:spacing w:line="240" w:lineRule="auto"/>
              <w:ind w:firstLine="0"/>
            </w:pPr>
            <w:r>
              <w:rPr>
                <w:rtl w:val="0"/>
                <w:lang w:val="en-US"/>
              </w:rPr>
              <w:t>Set of</w:t>
            </w:r>
            <w:r>
              <w:rPr>
                <w:rtl w:val="0"/>
                <w:lang w:val="en-US"/>
              </w:rPr>
              <w:t xml:space="preserve"> </w:t>
            </w:r>
            <w:r>
              <w:rPr>
                <w:b w:val="1"/>
                <w:bCs w:val="1"/>
                <w:i w:val="1"/>
                <w:iCs w:val="1"/>
                <w:rtl w:val="0"/>
                <w:lang w:val="en-US"/>
              </w:rPr>
              <w:t>Fu</w:t>
            </w:r>
            <w:r>
              <w:rPr>
                <w:b w:val="1"/>
                <w:bCs w:val="1"/>
                <w:i w:val="1"/>
                <w:iCs w:val="1"/>
                <w:vertAlign w:val="subscript"/>
                <w:rtl w:val="0"/>
                <w:lang w:val="en-US"/>
              </w:rPr>
              <w:t>c</w:t>
            </w:r>
            <w:r>
              <w:rPr>
                <w:vertAlign w:val="subscript"/>
                <w:rtl w:val="0"/>
                <w:lang w:val="en-US"/>
              </w:rPr>
              <w:t xml:space="preserve"> </w:t>
            </w:r>
            <w:r>
              <w:rPr>
                <w:rtl w:val="0"/>
                <w:lang w:val="en-US"/>
              </w:rPr>
              <w:t>(user features for</w:t>
            </w:r>
            <w:r>
              <w:rPr>
                <w:rtl w:val="0"/>
              </w:rPr>
              <w:t xml:space="preserve"> </w:t>
            </w:r>
            <w:r>
              <w:rPr>
                <w:rtl w:val="0"/>
                <w:lang w:val="en-US"/>
              </w:rPr>
              <w:t xml:space="preserve">the set of </w:t>
            </w:r>
            <w:r>
              <w:rPr>
                <w:b w:val="1"/>
                <w:bCs w:val="1"/>
                <w:i w:val="1"/>
                <w:iCs w:val="1"/>
                <w:rtl w:val="0"/>
                <w:lang w:val="en-US"/>
              </w:rPr>
              <w:t>Fo</w:t>
            </w:r>
            <w:r>
              <w:rPr>
                <w:b w:val="1"/>
                <w:bCs w:val="1"/>
                <w:i w:val="1"/>
                <w:iCs w:val="1"/>
                <w:vertAlign w:val="subscript"/>
                <w:rtl w:val="0"/>
                <w:lang w:val="en-US"/>
              </w:rPr>
              <w:t>c</w:t>
            </w:r>
            <w:r>
              <w:rPr>
                <w:sz w:val="18"/>
                <w:szCs w:val="18"/>
                <w:vertAlign w:val="subscript"/>
                <w:rtl w:val="0"/>
                <w:lang w:val="en-US"/>
              </w:rPr>
              <w:t xml:space="preserve">  </w:t>
            </w:r>
            <w:r>
              <w:rPr>
                <w:rtl w:val="0"/>
                <w:lang w:val="fr-FR"/>
              </w:rPr>
              <w:t>object</w:t>
            </w:r>
            <w:r>
              <w:rPr>
                <w:rtl w:val="0"/>
                <w:lang w:val="en-US"/>
              </w:rPr>
              <w:t>)</w:t>
            </w:r>
          </w:p>
        </w:tc>
      </w:tr>
      <w:tr>
        <w:tblPrEx>
          <w:shd w:val="clear" w:color="auto" w:fill="auto"/>
        </w:tblPrEx>
        <w:trPr>
          <w:trHeight w:val="319" w:hRule="atLeast"/>
        </w:trPr>
        <w:tc>
          <w:tcPr>
            <w:tcW w:type="dxa" w:w="2913"/>
            <w:tcBorders>
              <w:top w:val="nil"/>
              <w:left w:val="nil"/>
              <w:bottom w:val="single" w:color="515151" w:sz="8" w:space="0" w:shadow="0" w:frame="0"/>
              <w:right w:val="nil"/>
            </w:tcBorders>
            <w:shd w:val="clear" w:color="auto" w:fill="auto"/>
            <w:tcMar>
              <w:top w:type="dxa" w:w="0"/>
              <w:left w:type="dxa" w:w="0"/>
              <w:bottom w:type="dxa" w:w="0"/>
              <w:right w:type="dxa" w:w="0"/>
            </w:tcMar>
            <w:vAlign w:val="top"/>
          </w:tcPr>
          <w:p>
            <w:pPr>
              <w:pStyle w:val="Normal.0"/>
              <w:spacing w:line="240" w:lineRule="auto"/>
            </w:pPr>
            <w:r>
              <w:rPr>
                <w:b w:val="1"/>
                <w:bCs w:val="1"/>
                <w:i w:val="1"/>
                <w:iCs w:val="1"/>
                <w:rtl w:val="0"/>
                <w:lang w:val="en-US"/>
              </w:rPr>
              <w:t>fu</w:t>
            </w:r>
            <w:r>
              <w:rPr>
                <w:b w:val="1"/>
                <w:bCs w:val="1"/>
                <w:i w:val="1"/>
                <w:iCs w:val="1"/>
                <w:sz w:val="26"/>
                <w:szCs w:val="26"/>
                <w:vertAlign w:val="subscript"/>
                <w:rtl w:val="0"/>
                <w:lang w:val="en-US"/>
              </w:rPr>
              <w:t>c1</w:t>
            </w:r>
          </w:p>
        </w:tc>
        <w:tc>
          <w:tcPr>
            <w:tcW w:type="dxa" w:w="2913"/>
            <w:tcBorders>
              <w:top w:val="nil"/>
              <w:left w:val="nil"/>
              <w:bottom w:val="single" w:color="515151" w:sz="8" w:space="0" w:shadow="0" w:frame="0"/>
              <w:right w:val="nil"/>
            </w:tcBorders>
            <w:shd w:val="clear" w:color="auto" w:fill="auto"/>
            <w:tcMar>
              <w:top w:type="dxa" w:w="0"/>
              <w:left w:type="dxa" w:w="0"/>
              <w:bottom w:type="dxa" w:w="0"/>
              <w:right w:type="dxa" w:w="0"/>
            </w:tcMar>
            <w:vAlign w:val="top"/>
          </w:tcPr>
          <w:p>
            <w:pPr>
              <w:pStyle w:val="Normal.0"/>
              <w:spacing w:line="240" w:lineRule="auto"/>
            </w:pPr>
            <w:r>
              <w:rPr>
                <w:b w:val="1"/>
                <w:bCs w:val="1"/>
                <w:i w:val="1"/>
                <w:iCs w:val="1"/>
                <w:rtl w:val="0"/>
                <w:lang w:val="en-US"/>
              </w:rPr>
              <w:t>fu</w:t>
            </w:r>
            <w:r>
              <w:rPr>
                <w:b w:val="1"/>
                <w:bCs w:val="1"/>
                <w:i w:val="1"/>
                <w:iCs w:val="1"/>
                <w:vertAlign w:val="subscript"/>
                <w:rtl w:val="0"/>
              </w:rPr>
              <w:t>c2</w:t>
            </w:r>
          </w:p>
        </w:tc>
        <w:tc>
          <w:tcPr>
            <w:tcW w:type="dxa" w:w="2913"/>
            <w:tcBorders>
              <w:top w:val="nil"/>
              <w:left w:val="nil"/>
              <w:bottom w:val="single" w:color="515151" w:sz="8" w:space="0" w:shadow="0" w:frame="0"/>
              <w:right w:val="nil"/>
            </w:tcBorders>
            <w:shd w:val="clear" w:color="auto" w:fill="auto"/>
            <w:tcMar>
              <w:top w:type="dxa" w:w="0"/>
              <w:left w:type="dxa" w:w="0"/>
              <w:bottom w:type="dxa" w:w="0"/>
              <w:right w:type="dxa" w:w="0"/>
            </w:tcMar>
            <w:vAlign w:val="top"/>
          </w:tcPr>
          <w:p>
            <w:pPr>
              <w:pStyle w:val="Normal.0"/>
              <w:spacing w:line="240" w:lineRule="auto"/>
            </w:pPr>
            <w:r>
              <w:rPr>
                <w:b w:val="1"/>
                <w:bCs w:val="1"/>
                <w:i w:val="1"/>
                <w:iCs w:val="1"/>
                <w:rtl w:val="0"/>
                <w:lang w:val="en-US"/>
              </w:rPr>
              <w:t>fu</w:t>
            </w:r>
            <w:r>
              <w:rPr>
                <w:b w:val="1"/>
                <w:bCs w:val="1"/>
                <w:i w:val="1"/>
                <w:iCs w:val="1"/>
                <w:vertAlign w:val="subscript"/>
                <w:rtl w:val="0"/>
              </w:rPr>
              <w:t>c3</w:t>
            </w:r>
          </w:p>
        </w:tc>
        <w:tc>
          <w:tcPr>
            <w:tcW w:type="dxa" w:w="2913"/>
            <w:tcBorders>
              <w:top w:val="nil"/>
              <w:left w:val="nil"/>
              <w:bottom w:val="single" w:color="515151" w:sz="8" w:space="0" w:shadow="0" w:frame="0"/>
              <w:right w:val="nil"/>
            </w:tcBorders>
            <w:shd w:val="clear" w:color="auto" w:fill="auto"/>
            <w:tcMar>
              <w:top w:type="dxa" w:w="0"/>
              <w:left w:type="dxa" w:w="0"/>
              <w:bottom w:type="dxa" w:w="0"/>
              <w:right w:type="dxa" w:w="0"/>
            </w:tcMar>
            <w:vAlign w:val="top"/>
          </w:tcPr>
          <w:p>
            <w:pPr>
              <w:pStyle w:val="Normal.0"/>
              <w:spacing w:line="240" w:lineRule="auto"/>
            </w:pPr>
            <w:r>
              <w:rPr>
                <w:rFonts w:ascii="Times New Roman" w:hAnsi="Times New Roman" w:hint="default"/>
                <w:b w:val="1"/>
                <w:bCs w:val="1"/>
                <w:i w:val="1"/>
                <w:iCs w:val="1"/>
                <w:rtl w:val="0"/>
              </w:rPr>
              <w:t>…</w:t>
            </w:r>
          </w:p>
        </w:tc>
        <w:tc>
          <w:tcPr>
            <w:tcW w:type="dxa" w:w="2913"/>
            <w:tcBorders>
              <w:top w:val="nil"/>
              <w:left w:val="nil"/>
              <w:bottom w:val="single" w:color="515151" w:sz="8" w:space="0" w:shadow="0" w:frame="0"/>
              <w:right w:val="nil"/>
            </w:tcBorders>
            <w:shd w:val="clear" w:color="auto" w:fill="auto"/>
            <w:tcMar>
              <w:top w:type="dxa" w:w="0"/>
              <w:left w:type="dxa" w:w="0"/>
              <w:bottom w:type="dxa" w:w="0"/>
              <w:right w:type="dxa" w:w="0"/>
            </w:tcMar>
            <w:vAlign w:val="top"/>
          </w:tcPr>
          <w:p>
            <w:pPr>
              <w:pStyle w:val="Normal.0"/>
              <w:spacing w:line="240" w:lineRule="auto"/>
            </w:pPr>
            <w:r>
              <w:rPr>
                <w:b w:val="1"/>
                <w:bCs w:val="1"/>
                <w:i w:val="1"/>
                <w:iCs w:val="1"/>
                <w:rtl w:val="0"/>
                <w:lang w:val="en-US"/>
              </w:rPr>
              <w:t>fu</w:t>
            </w:r>
            <w:r>
              <w:rPr>
                <w:b w:val="1"/>
                <w:bCs w:val="1"/>
                <w:i w:val="1"/>
                <w:iCs w:val="1"/>
                <w:vertAlign w:val="subscript"/>
                <w:rtl w:val="0"/>
              </w:rPr>
              <w:t>c</w:t>
            </w:r>
            <w:r>
              <w:rPr>
                <w:b w:val="1"/>
                <w:bCs w:val="1"/>
                <w:i w:val="1"/>
                <w:iCs w:val="1"/>
                <w:vertAlign w:val="subscript"/>
                <w:rtl w:val="0"/>
                <w:lang w:val="en-US"/>
              </w:rPr>
              <w:t>n</w:t>
            </w:r>
          </w:p>
        </w:tc>
      </w:tr>
    </w:tbl>
    <w:p>
      <w:pPr>
        <w:pStyle w:val="Normal.0"/>
        <w:spacing w:line="240" w:lineRule="auto"/>
      </w:pPr>
      <w:r>
        <w:rPr>
          <w:rtl w:val="0"/>
          <w:lang w:val="en-US"/>
        </w:rPr>
        <w:t>List of user features about domain model objects</w:t>
      </w:r>
    </w:p>
    <w:p>
      <w:pPr>
        <w:pStyle w:val="Normal.0"/>
        <w:numPr>
          <w:ilvl w:val="0"/>
          <w:numId w:val="6"/>
        </w:numPr>
        <w:spacing w:line="240" w:lineRule="auto"/>
        <w:rPr>
          <w:lang w:val="en-US"/>
        </w:rPr>
      </w:pPr>
      <w:r>
        <w:rPr>
          <w:rtl w:val="0"/>
          <w:lang w:val="en-US"/>
        </w:rPr>
        <w:t>(SB) - scoring behaviour</w:t>
      </w:r>
    </w:p>
    <w:p>
      <w:pPr>
        <w:pStyle w:val="Normal.0"/>
        <w:numPr>
          <w:ilvl w:val="0"/>
          <w:numId w:val="6"/>
        </w:numPr>
        <w:spacing w:line="240" w:lineRule="auto"/>
        <w:rPr>
          <w:lang w:val="en-US"/>
        </w:rPr>
      </w:pPr>
      <w:r>
        <w:rPr>
          <w:rtl w:val="0"/>
          <w:lang w:val="en-US"/>
        </w:rPr>
        <w:t>(ULS)</w:t>
      </w:r>
      <w:r>
        <w:rPr>
          <w:rtl w:val="0"/>
          <w:lang w:val="en-US"/>
        </w:rPr>
        <w:t xml:space="preserve"> - lesslet score </w:t>
      </w:r>
    </w:p>
    <w:p>
      <w:pPr>
        <w:pStyle w:val="Normal.0"/>
        <w:numPr>
          <w:ilvl w:val="0"/>
          <w:numId w:val="6"/>
        </w:numPr>
        <w:spacing w:line="240" w:lineRule="auto"/>
        <w:rPr>
          <w:lang w:val="en-US"/>
        </w:rPr>
      </w:pPr>
      <w:r>
        <w:rPr>
          <w:i w:val="1"/>
          <w:iCs w:val="1"/>
          <w:rtl w:val="0"/>
          <w:lang w:val="en-US"/>
        </w:rPr>
        <w:t>(LF)</w:t>
      </w:r>
      <w:r>
        <w:rPr>
          <w:rtl w:val="0"/>
          <w:lang w:val="en-US"/>
        </w:rPr>
        <w:t xml:space="preserve"> - fraction of lesslets created</w:t>
      </w:r>
    </w:p>
    <w:p>
      <w:pPr>
        <w:pStyle w:val="Normal.0"/>
        <w:numPr>
          <w:ilvl w:val="0"/>
          <w:numId w:val="6"/>
        </w:numPr>
        <w:spacing w:line="240" w:lineRule="auto"/>
        <w:rPr>
          <w:lang w:val="en-US"/>
        </w:rPr>
      </w:pPr>
      <w:r>
        <w:rPr>
          <w:rtl w:val="0"/>
          <w:lang w:val="en-US"/>
        </w:rPr>
        <w:t>(</w:t>
      </w:r>
      <w:r>
        <w:rPr>
          <w:i w:val="1"/>
          <w:iCs w:val="1"/>
          <w:rtl w:val="0"/>
          <w:lang w:val="en-US"/>
        </w:rPr>
        <w:t>LV</w:t>
      </w:r>
      <w:r>
        <w:rPr>
          <w:rtl w:val="0"/>
          <w:lang w:val="en-US"/>
        </w:rPr>
        <w:t>) - number of visitors</w:t>
      </w:r>
    </w:p>
    <w:p>
      <w:pPr>
        <w:pStyle w:val="Normal.0"/>
        <w:numPr>
          <w:ilvl w:val="0"/>
          <w:numId w:val="6"/>
        </w:numPr>
        <w:spacing w:line="240" w:lineRule="auto"/>
        <w:rPr>
          <w:lang w:val="en-US"/>
        </w:rPr>
      </w:pPr>
      <w:r>
        <w:rPr>
          <w:i w:val="1"/>
          <w:iCs w:val="1"/>
          <w:rtl w:val="0"/>
          <w:lang w:val="en-US"/>
        </w:rPr>
        <w:t>(UK)</w:t>
      </w:r>
      <w:r>
        <w:rPr>
          <w:rtl w:val="0"/>
          <w:lang w:val="en-US"/>
        </w:rPr>
        <w:t xml:space="preserve"> - user</w:t>
      </w:r>
      <w:r>
        <w:rPr>
          <w:rtl w:val="0"/>
          <w:lang w:val="en-US"/>
        </w:rPr>
        <w:t>’</w:t>
      </w:r>
      <w:r>
        <w:rPr>
          <w:rtl w:val="0"/>
          <w:lang w:val="en-US"/>
        </w:rPr>
        <w:t>s knowledge level for the topic</w:t>
      </w:r>
    </w:p>
    <w:p>
      <w:pPr>
        <w:pStyle w:val="H2"/>
        <w:numPr>
          <w:ilvl w:val="1"/>
          <w:numId w:val="2"/>
        </w:numPr>
        <w:outlineLvl w:val="0"/>
        <w:rPr>
          <w:lang w:val="en-US"/>
        </w:rPr>
      </w:pPr>
      <w:r>
        <w:rPr>
          <w:rtl w:val="0"/>
          <w:lang w:val="en-US"/>
        </w:rPr>
        <w:t>Applying user modelling approach to the knowledge classification methods</w:t>
      </w:r>
    </w:p>
    <w:p>
      <w:pPr>
        <w:pStyle w:val="Normal.0"/>
        <w:spacing w:line="240" w:lineRule="auto"/>
      </w:pPr>
      <w:r>
        <w:rPr>
          <w:rtl w:val="0"/>
          <w:lang w:val="en-US"/>
        </w:rPr>
        <w:t xml:space="preserve">After modelling process done, </w:t>
      </w:r>
      <w:r>
        <w:rPr>
          <w:rtl w:val="0"/>
          <w:lang w:val="en-US"/>
        </w:rPr>
        <w:t>for tracking</w:t>
      </w:r>
      <w:r>
        <w:rPr>
          <w:rtl w:val="0"/>
          <w:lang w:val="en-US"/>
        </w:rPr>
        <w:t xml:space="preserve">, evaluating </w:t>
      </w:r>
      <w:r>
        <w:rPr>
          <w:rtl w:val="0"/>
          <w:lang w:val="en-US"/>
        </w:rPr>
        <w:t xml:space="preserve">the user activities </w:t>
      </w:r>
      <w:r>
        <w:rPr>
          <w:rtl w:val="0"/>
          <w:lang w:val="en-US"/>
        </w:rPr>
        <w:t>and for feeding and maintaining the user knowledge model, it is required to apply some of the reasoning approaches. ITS usually utilises machine learning or rule-based methods to provide adaptive user experiences. We have used two machine learning classifiers for this study. Machine learning methods are used to build models in order to make predictions based on the evidence(s) when the results or circumstances are uncertain. As algorithm identifies the patterns from dataset, it adaptively makes assumptions for new observations.</w:t>
      </w:r>
    </w:p>
    <w:p>
      <w:pPr>
        <w:pStyle w:val="Default"/>
        <w:spacing w:line="360" w:lineRule="auto"/>
        <w:ind w:firstLine="567"/>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Table 4 Training dataset samples for each class trained with k-nn and </w:t>
      </w:r>
      <w:r>
        <w:rPr>
          <w:rFonts w:ascii="Times New Roman" w:hAnsi="Times New Roman"/>
          <w:b w:val="1"/>
          <w:bCs w:val="1"/>
          <w:sz w:val="24"/>
          <w:szCs w:val="24"/>
          <w:rtl w:val="0"/>
        </w:rPr>
        <w:t xml:space="preserve">Naive Bayes </w:t>
      </w:r>
      <w:r>
        <w:rPr>
          <w:rFonts w:ascii="Times New Roman" w:hAnsi="Times New Roman"/>
          <w:b w:val="1"/>
          <w:bCs w:val="1"/>
          <w:sz w:val="24"/>
          <w:szCs w:val="24"/>
          <w:rtl w:val="0"/>
          <w:lang w:val="en-US"/>
        </w:rPr>
        <w:t>classification.</w:t>
      </w:r>
    </w:p>
    <w:tbl>
      <w:tblPr>
        <w:tblW w:w="9637" w:type="dxa"/>
        <w:jc w:val="center"/>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569"/>
        <w:gridCol w:w="1814"/>
        <w:gridCol w:w="1814"/>
        <w:gridCol w:w="1813"/>
        <w:gridCol w:w="1814"/>
        <w:gridCol w:w="1813"/>
      </w:tblGrid>
      <w:tr>
        <w:tblPrEx>
          <w:shd w:val="clear" w:color="auto" w:fill="auto"/>
        </w:tblPrEx>
        <w:trPr>
          <w:trHeight w:val="300" w:hRule="atLeast"/>
        </w:trPr>
        <w:tc>
          <w:tcPr>
            <w:tcW w:type="dxa" w:w="569"/>
            <w:tcBorders>
              <w:top w:val="single" w:color="515151" w:sz="8" w:space="0" w:shadow="0" w:frame="0"/>
              <w:left w:val="nil"/>
              <w:bottom w:val="single" w:color="515151" w:sz="8" w:space="0" w:shadow="0" w:frame="0"/>
              <w:right w:val="nil"/>
            </w:tcBorders>
            <w:shd w:val="clear" w:color="auto" w:fill="auto"/>
            <w:tcMar>
              <w:top w:type="dxa" w:w="0"/>
              <w:left w:type="dxa" w:w="0"/>
              <w:bottom w:type="dxa" w:w="0"/>
              <w:right w:type="dxa" w:w="0"/>
            </w:tcMar>
            <w:vAlign w:val="center"/>
          </w:tcPr>
          <w:p>
            <w:pPr>
              <w:pStyle w:val="Normal.0"/>
              <w:spacing w:line="312" w:lineRule="auto"/>
              <w:jc w:val="center"/>
            </w:pPr>
            <w:r>
              <w:rPr>
                <w:rFonts w:ascii="Times New Roman" w:hAnsi="Times New Roman"/>
                <w:b w:val="1"/>
                <w:bCs w:val="1"/>
                <w:i w:val="1"/>
                <w:iCs w:val="1"/>
                <w:sz w:val="20"/>
                <w:szCs w:val="20"/>
                <w:rtl w:val="0"/>
              </w:rPr>
              <w:t>No</w:t>
            </w:r>
          </w:p>
        </w:tc>
        <w:tc>
          <w:tcPr>
            <w:tcW w:type="dxa" w:w="1813"/>
            <w:tcBorders>
              <w:top w:val="single" w:color="515151" w:sz="8" w:space="0" w:shadow="0" w:frame="0"/>
              <w:left w:val="nil"/>
              <w:bottom w:val="single" w:color="515151" w:sz="8" w:space="0" w:shadow="0" w:frame="0"/>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SB</w:t>
            </w:r>
          </w:p>
        </w:tc>
        <w:tc>
          <w:tcPr>
            <w:tcW w:type="dxa" w:w="1813"/>
            <w:tcBorders>
              <w:top w:val="single" w:color="515151" w:sz="8" w:space="0" w:shadow="0" w:frame="0"/>
              <w:left w:val="nil"/>
              <w:bottom w:val="single" w:color="515151" w:sz="8" w:space="0" w:shadow="0" w:frame="0"/>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ULS</w:t>
            </w:r>
          </w:p>
        </w:tc>
        <w:tc>
          <w:tcPr>
            <w:tcW w:type="dxa" w:w="1813"/>
            <w:tcBorders>
              <w:top w:val="single" w:color="515151" w:sz="8" w:space="0" w:shadow="0" w:frame="0"/>
              <w:left w:val="nil"/>
              <w:bottom w:val="single" w:color="515151" w:sz="8" w:space="0" w:shadow="0" w:frame="0"/>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LF</w:t>
            </w:r>
          </w:p>
        </w:tc>
        <w:tc>
          <w:tcPr>
            <w:tcW w:type="dxa" w:w="1813"/>
            <w:tcBorders>
              <w:top w:val="single" w:color="515151" w:sz="8" w:space="0" w:shadow="0" w:frame="0"/>
              <w:left w:val="nil"/>
              <w:bottom w:val="single" w:color="515151" w:sz="8" w:space="0" w:shadow="0" w:frame="0"/>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LV</w:t>
            </w:r>
          </w:p>
        </w:tc>
        <w:tc>
          <w:tcPr>
            <w:tcW w:type="dxa" w:w="1813"/>
            <w:tcBorders>
              <w:top w:val="single" w:color="515151" w:sz="8" w:space="0" w:shadow="0" w:frame="0"/>
              <w:left w:val="nil"/>
              <w:bottom w:val="single" w:color="515151" w:sz="8" w:space="0" w:shadow="0" w:frame="0"/>
              <w:right w:val="nil"/>
            </w:tcBorders>
            <w:shd w:val="clear" w:color="auto" w:fill="auto"/>
            <w:tcMar>
              <w:top w:type="dxa" w:w="0"/>
              <w:left w:type="dxa" w:w="100"/>
              <w:bottom w:type="dxa" w:w="0"/>
              <w:right w:type="dxa" w:w="100"/>
            </w:tcMar>
            <w:vAlign w:val="center"/>
          </w:tcPr>
          <w:p>
            <w:pPr>
              <w:pStyle w:val="Table Style 2"/>
              <w:bidi w:val="0"/>
              <w:ind w:left="0" w:right="0" w:firstLine="0"/>
              <w:jc w:val="left"/>
              <w:rPr>
                <w:rtl w:val="0"/>
              </w:rPr>
            </w:pPr>
            <w:r>
              <w:rPr>
                <w:rFonts w:ascii="Calibri" w:hAnsi="Calibri"/>
                <w:sz w:val="24"/>
                <w:szCs w:val="24"/>
                <w:rtl w:val="0"/>
              </w:rPr>
              <w:t>UK (class)</w:t>
            </w:r>
          </w:p>
        </w:tc>
      </w:tr>
      <w:tr>
        <w:tblPrEx>
          <w:shd w:val="clear" w:color="auto" w:fill="auto"/>
        </w:tblPrEx>
        <w:trPr>
          <w:trHeight w:val="290" w:hRule="atLeast"/>
        </w:trPr>
        <w:tc>
          <w:tcPr>
            <w:tcW w:type="dxa" w:w="569"/>
            <w:tcBorders>
              <w:top w:val="single" w:color="515151" w:sz="8" w:space="0" w:shadow="0" w:frame="0"/>
              <w:left w:val="nil"/>
              <w:bottom w:val="nil"/>
              <w:right w:val="nil"/>
            </w:tcBorders>
            <w:shd w:val="clear" w:color="auto" w:fill="auto"/>
            <w:tcMar>
              <w:top w:type="dxa" w:w="0"/>
              <w:left w:type="dxa" w:w="0"/>
              <w:bottom w:type="dxa" w:w="0"/>
              <w:right w:type="dxa" w:w="0"/>
            </w:tcMar>
            <w:vAlign w:val="center"/>
          </w:tcPr>
          <w:p>
            <w:pPr>
              <w:pStyle w:val="Normal.0"/>
              <w:spacing w:line="312" w:lineRule="auto"/>
              <w:jc w:val="center"/>
            </w:pPr>
            <w:r>
              <w:rPr>
                <w:rFonts w:ascii="Times New Roman" w:hAnsi="Times New Roman"/>
                <w:b w:val="1"/>
                <w:bCs w:val="1"/>
                <w:i w:val="1"/>
                <w:iCs w:val="1"/>
                <w:sz w:val="20"/>
                <w:szCs w:val="20"/>
                <w:rtl w:val="0"/>
              </w:rPr>
              <w:t>1</w:t>
            </w:r>
          </w:p>
        </w:tc>
        <w:tc>
          <w:tcPr>
            <w:tcW w:type="dxa" w:w="1813"/>
            <w:tcBorders>
              <w:top w:val="single" w:color="515151" w:sz="8" w:space="0" w:shadow="0" w:frame="0"/>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1</w:t>
            </w:r>
          </w:p>
        </w:tc>
        <w:tc>
          <w:tcPr>
            <w:tcW w:type="dxa" w:w="1813"/>
            <w:tcBorders>
              <w:top w:val="single" w:color="515151" w:sz="8" w:space="0" w:shadow="0" w:frame="0"/>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16</w:t>
            </w:r>
          </w:p>
        </w:tc>
        <w:tc>
          <w:tcPr>
            <w:tcW w:type="dxa" w:w="1813"/>
            <w:tcBorders>
              <w:top w:val="single" w:color="515151" w:sz="8" w:space="0" w:shadow="0" w:frame="0"/>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0.8</w:t>
            </w:r>
          </w:p>
        </w:tc>
        <w:tc>
          <w:tcPr>
            <w:tcW w:type="dxa" w:w="1813"/>
            <w:tcBorders>
              <w:top w:val="single" w:color="515151" w:sz="8" w:space="0" w:shadow="0" w:frame="0"/>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52</w:t>
            </w:r>
          </w:p>
        </w:tc>
        <w:tc>
          <w:tcPr>
            <w:tcW w:type="dxa" w:w="1813"/>
            <w:tcBorders>
              <w:top w:val="single" w:color="515151" w:sz="8" w:space="0" w:shadow="0" w:frame="0"/>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left"/>
              <w:rPr>
                <w:rtl w:val="0"/>
              </w:rPr>
            </w:pPr>
            <w:r>
              <w:rPr>
                <w:rFonts w:ascii="Calibri" w:hAnsi="Calibri"/>
                <w:sz w:val="24"/>
                <w:szCs w:val="24"/>
                <w:rtl w:val="0"/>
              </w:rPr>
              <w:t>Expert</w:t>
            </w:r>
          </w:p>
        </w:tc>
      </w:tr>
      <w:tr>
        <w:tblPrEx>
          <w:shd w:val="clear" w:color="auto" w:fill="auto"/>
        </w:tblPrEx>
        <w:trPr>
          <w:trHeight w:val="280" w:hRule="atLeast"/>
        </w:trPr>
        <w:tc>
          <w:tcPr>
            <w:tcW w:type="dxa" w:w="569"/>
            <w:tcBorders>
              <w:top w:val="nil"/>
              <w:left w:val="nil"/>
              <w:bottom w:val="nil"/>
              <w:right w:val="nil"/>
            </w:tcBorders>
            <w:shd w:val="clear" w:color="auto" w:fill="auto"/>
            <w:tcMar>
              <w:top w:type="dxa" w:w="0"/>
              <w:left w:type="dxa" w:w="0"/>
              <w:bottom w:type="dxa" w:w="0"/>
              <w:right w:type="dxa" w:w="0"/>
            </w:tcMar>
            <w:vAlign w:val="center"/>
          </w:tcPr>
          <w:p>
            <w:pPr>
              <w:pStyle w:val="Normal.0"/>
              <w:spacing w:line="312" w:lineRule="auto"/>
              <w:jc w:val="center"/>
            </w:pPr>
            <w:r>
              <w:rPr>
                <w:rFonts w:ascii="Times New Roman" w:hAnsi="Times New Roman"/>
                <w:b w:val="1"/>
                <w:bCs w:val="1"/>
                <w:i w:val="1"/>
                <w:iCs w:val="1"/>
                <w:sz w:val="20"/>
                <w:szCs w:val="20"/>
                <w:rtl w:val="0"/>
              </w:rPr>
              <w:t>2</w:t>
            </w:r>
          </w:p>
        </w:tc>
        <w:tc>
          <w:tcPr>
            <w:tcW w:type="dxa" w:w="1813"/>
            <w:tcBorders>
              <w:top w:val="nil"/>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1</w:t>
            </w:r>
          </w:p>
        </w:tc>
        <w:tc>
          <w:tcPr>
            <w:tcW w:type="dxa" w:w="1813"/>
            <w:tcBorders>
              <w:top w:val="nil"/>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9</w:t>
            </w:r>
          </w:p>
        </w:tc>
        <w:tc>
          <w:tcPr>
            <w:tcW w:type="dxa" w:w="1813"/>
            <w:tcBorders>
              <w:top w:val="nil"/>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0.8</w:t>
            </w:r>
          </w:p>
        </w:tc>
        <w:tc>
          <w:tcPr>
            <w:tcW w:type="dxa" w:w="1813"/>
            <w:tcBorders>
              <w:top w:val="nil"/>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18</w:t>
            </w:r>
          </w:p>
        </w:tc>
        <w:tc>
          <w:tcPr>
            <w:tcW w:type="dxa" w:w="1813"/>
            <w:tcBorders>
              <w:top w:val="nil"/>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left"/>
              <w:rPr>
                <w:rtl w:val="0"/>
              </w:rPr>
            </w:pPr>
            <w:r>
              <w:rPr>
                <w:rFonts w:ascii="Calibri" w:hAnsi="Calibri"/>
                <w:sz w:val="24"/>
                <w:szCs w:val="24"/>
                <w:rtl w:val="0"/>
              </w:rPr>
              <w:t>Advanced</w:t>
            </w:r>
          </w:p>
        </w:tc>
      </w:tr>
      <w:tr>
        <w:tblPrEx>
          <w:shd w:val="clear" w:color="auto" w:fill="auto"/>
        </w:tblPrEx>
        <w:trPr>
          <w:trHeight w:val="280" w:hRule="atLeast"/>
        </w:trPr>
        <w:tc>
          <w:tcPr>
            <w:tcW w:type="dxa" w:w="569"/>
            <w:tcBorders>
              <w:top w:val="nil"/>
              <w:left w:val="nil"/>
              <w:bottom w:val="nil"/>
              <w:right w:val="nil"/>
            </w:tcBorders>
            <w:shd w:val="clear" w:color="auto" w:fill="auto"/>
            <w:tcMar>
              <w:top w:type="dxa" w:w="0"/>
              <w:left w:type="dxa" w:w="0"/>
              <w:bottom w:type="dxa" w:w="0"/>
              <w:right w:type="dxa" w:w="0"/>
            </w:tcMar>
            <w:vAlign w:val="center"/>
          </w:tcPr>
          <w:p>
            <w:pPr>
              <w:pStyle w:val="Normal.0"/>
              <w:spacing w:line="312" w:lineRule="auto"/>
              <w:jc w:val="center"/>
            </w:pPr>
            <w:r>
              <w:rPr>
                <w:rFonts w:ascii="Times New Roman" w:hAnsi="Times New Roman"/>
                <w:b w:val="1"/>
                <w:bCs w:val="1"/>
                <w:i w:val="1"/>
                <w:iCs w:val="1"/>
                <w:sz w:val="20"/>
                <w:szCs w:val="20"/>
                <w:rtl w:val="0"/>
              </w:rPr>
              <w:t>3</w:t>
            </w:r>
          </w:p>
        </w:tc>
        <w:tc>
          <w:tcPr>
            <w:tcW w:type="dxa" w:w="1813"/>
            <w:tcBorders>
              <w:top w:val="nil"/>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0.7</w:t>
            </w:r>
          </w:p>
        </w:tc>
        <w:tc>
          <w:tcPr>
            <w:tcW w:type="dxa" w:w="1813"/>
            <w:tcBorders>
              <w:top w:val="nil"/>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-6</w:t>
            </w:r>
          </w:p>
        </w:tc>
        <w:tc>
          <w:tcPr>
            <w:tcW w:type="dxa" w:w="1813"/>
            <w:tcBorders>
              <w:top w:val="nil"/>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0.7</w:t>
            </w:r>
          </w:p>
        </w:tc>
        <w:tc>
          <w:tcPr>
            <w:tcW w:type="dxa" w:w="1813"/>
            <w:tcBorders>
              <w:top w:val="nil"/>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9</w:t>
            </w:r>
          </w:p>
        </w:tc>
        <w:tc>
          <w:tcPr>
            <w:tcW w:type="dxa" w:w="1813"/>
            <w:tcBorders>
              <w:top w:val="nil"/>
              <w:left w:val="nil"/>
              <w:bottom w:val="nil"/>
              <w:right w:val="nil"/>
            </w:tcBorders>
            <w:shd w:val="clear" w:color="auto" w:fill="auto"/>
            <w:tcMar>
              <w:top w:type="dxa" w:w="0"/>
              <w:left w:type="dxa" w:w="100"/>
              <w:bottom w:type="dxa" w:w="0"/>
              <w:right w:type="dxa" w:w="100"/>
            </w:tcMar>
            <w:vAlign w:val="center"/>
          </w:tcPr>
          <w:p>
            <w:pPr>
              <w:pStyle w:val="Table Style 2"/>
              <w:bidi w:val="0"/>
              <w:ind w:left="0" w:right="0" w:firstLine="0"/>
              <w:jc w:val="left"/>
              <w:rPr>
                <w:rtl w:val="0"/>
              </w:rPr>
            </w:pPr>
            <w:r>
              <w:rPr>
                <w:rFonts w:ascii="Calibri" w:hAnsi="Calibri"/>
                <w:sz w:val="24"/>
                <w:szCs w:val="24"/>
                <w:rtl w:val="0"/>
              </w:rPr>
              <w:t>Intermediate</w:t>
            </w:r>
          </w:p>
        </w:tc>
      </w:tr>
      <w:tr>
        <w:tblPrEx>
          <w:shd w:val="clear" w:color="auto" w:fill="auto"/>
        </w:tblPrEx>
        <w:trPr>
          <w:trHeight w:val="290" w:hRule="atLeast"/>
        </w:trPr>
        <w:tc>
          <w:tcPr>
            <w:tcW w:type="dxa" w:w="569"/>
            <w:tcBorders>
              <w:top w:val="nil"/>
              <w:left w:val="nil"/>
              <w:bottom w:val="single" w:color="515151" w:sz="8" w:space="0" w:shadow="0" w:frame="0"/>
              <w:right w:val="nil"/>
            </w:tcBorders>
            <w:shd w:val="clear" w:color="auto" w:fill="auto"/>
            <w:tcMar>
              <w:top w:type="dxa" w:w="0"/>
              <w:left w:type="dxa" w:w="0"/>
              <w:bottom w:type="dxa" w:w="0"/>
              <w:right w:type="dxa" w:w="0"/>
            </w:tcMar>
            <w:vAlign w:val="center"/>
          </w:tcPr>
          <w:p>
            <w:pPr>
              <w:pStyle w:val="Normal.0"/>
              <w:spacing w:line="312" w:lineRule="auto"/>
              <w:jc w:val="center"/>
            </w:pPr>
            <w:r>
              <w:rPr>
                <w:rFonts w:ascii="Times New Roman" w:hAnsi="Times New Roman"/>
                <w:b w:val="1"/>
                <w:bCs w:val="1"/>
                <w:i w:val="1"/>
                <w:iCs w:val="1"/>
                <w:sz w:val="20"/>
                <w:szCs w:val="20"/>
                <w:rtl w:val="0"/>
              </w:rPr>
              <w:t>4</w:t>
            </w:r>
          </w:p>
        </w:tc>
        <w:tc>
          <w:tcPr>
            <w:tcW w:type="dxa" w:w="1813"/>
            <w:tcBorders>
              <w:top w:val="nil"/>
              <w:left w:val="nil"/>
              <w:bottom w:val="single" w:color="515151" w:sz="8" w:space="0" w:shadow="0" w:frame="0"/>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0.4</w:t>
            </w:r>
          </w:p>
        </w:tc>
        <w:tc>
          <w:tcPr>
            <w:tcW w:type="dxa" w:w="1813"/>
            <w:tcBorders>
              <w:top w:val="nil"/>
              <w:left w:val="nil"/>
              <w:bottom w:val="single" w:color="515151" w:sz="8" w:space="0" w:shadow="0" w:frame="0"/>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-11</w:t>
            </w:r>
          </w:p>
        </w:tc>
        <w:tc>
          <w:tcPr>
            <w:tcW w:type="dxa" w:w="1813"/>
            <w:tcBorders>
              <w:top w:val="nil"/>
              <w:left w:val="nil"/>
              <w:bottom w:val="single" w:color="515151" w:sz="8" w:space="0" w:shadow="0" w:frame="0"/>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0.5</w:t>
            </w:r>
          </w:p>
        </w:tc>
        <w:tc>
          <w:tcPr>
            <w:tcW w:type="dxa" w:w="1813"/>
            <w:tcBorders>
              <w:top w:val="nil"/>
              <w:left w:val="nil"/>
              <w:bottom w:val="single" w:color="515151" w:sz="8" w:space="0" w:shadow="0" w:frame="0"/>
              <w:right w:val="nil"/>
            </w:tcBorders>
            <w:shd w:val="clear" w:color="auto" w:fill="auto"/>
            <w:tcMar>
              <w:top w:type="dxa" w:w="0"/>
              <w:left w:type="dxa" w:w="100"/>
              <w:bottom w:type="dxa" w:w="0"/>
              <w:right w:type="dxa" w:w="100"/>
            </w:tcMar>
            <w:vAlign w:val="center"/>
          </w:tcPr>
          <w:p>
            <w:pPr>
              <w:pStyle w:val="Table Style 2"/>
              <w:bidi w:val="0"/>
              <w:ind w:left="0" w:right="0" w:firstLine="0"/>
              <w:jc w:val="center"/>
              <w:rPr>
                <w:rtl w:val="0"/>
              </w:rPr>
            </w:pPr>
            <w:r>
              <w:rPr>
                <w:rFonts w:ascii="Calibri" w:hAnsi="Calibri"/>
                <w:sz w:val="24"/>
                <w:szCs w:val="24"/>
                <w:rtl w:val="0"/>
              </w:rPr>
              <w:t>8</w:t>
            </w:r>
          </w:p>
        </w:tc>
        <w:tc>
          <w:tcPr>
            <w:tcW w:type="dxa" w:w="1813"/>
            <w:tcBorders>
              <w:top w:val="nil"/>
              <w:left w:val="nil"/>
              <w:bottom w:val="single" w:color="515151" w:sz="8" w:space="0" w:shadow="0" w:frame="0"/>
              <w:right w:val="nil"/>
            </w:tcBorders>
            <w:shd w:val="clear" w:color="auto" w:fill="auto"/>
            <w:tcMar>
              <w:top w:type="dxa" w:w="0"/>
              <w:left w:type="dxa" w:w="100"/>
              <w:bottom w:type="dxa" w:w="0"/>
              <w:right w:type="dxa" w:w="100"/>
            </w:tcMar>
            <w:vAlign w:val="center"/>
          </w:tcPr>
          <w:p>
            <w:pPr>
              <w:pStyle w:val="Table Style 2"/>
              <w:bidi w:val="0"/>
              <w:ind w:left="0" w:right="0" w:firstLine="0"/>
              <w:jc w:val="left"/>
              <w:rPr>
                <w:rtl w:val="0"/>
              </w:rPr>
            </w:pPr>
            <w:r>
              <w:rPr>
                <w:rFonts w:ascii="Calibri" w:hAnsi="Calibri"/>
                <w:sz w:val="24"/>
                <w:szCs w:val="24"/>
                <w:rtl w:val="0"/>
              </w:rPr>
              <w:t>Foundational</w:t>
            </w:r>
          </w:p>
        </w:tc>
      </w:tr>
    </w:tbl>
    <w:p>
      <w:pPr>
        <w:pStyle w:val="Default"/>
        <w:tabs>
          <w:tab w:val="left" w:pos="1150"/>
        </w:tabs>
        <w:spacing w:before="160"/>
        <w:jc w:val="center"/>
        <w:rPr>
          <w:b w:val="1"/>
          <w:bCs w:val="1"/>
          <w:sz w:val="20"/>
          <w:szCs w:val="20"/>
        </w:rPr>
      </w:pPr>
    </w:p>
    <w:p>
      <w:pPr>
        <w:pStyle w:val="Normal.0"/>
        <w:spacing w:line="240" w:lineRule="auto"/>
      </w:pPr>
      <w:r>
        <w:rPr>
          <w:rtl w:val="0"/>
          <w:lang w:val="en-US"/>
        </w:rPr>
        <w:t xml:space="preserve">For every topic, </w:t>
      </w:r>
      <w:r>
        <w:rPr>
          <w:rtl w:val="0"/>
          <w:lang w:val="en-US"/>
        </w:rPr>
        <w:t xml:space="preserve">there </w:t>
      </w:r>
      <w:r>
        <w:rPr>
          <w:rtl w:val="0"/>
          <w:lang w:val="en-US"/>
        </w:rPr>
        <w:t xml:space="preserve">have specified </w:t>
      </w:r>
      <w:r>
        <w:rPr>
          <w:rtl w:val="0"/>
          <w:lang w:val="en-US"/>
        </w:rPr>
        <w:t>a real world</w:t>
      </w:r>
      <w:r>
        <w:rPr>
          <w:rtl w:val="0"/>
          <w:lang w:val="it-IT"/>
        </w:rPr>
        <w:t xml:space="preserve"> dataset</w:t>
      </w:r>
      <w:r>
        <w:rPr>
          <w:rtl w:val="0"/>
          <w:lang w:val="en-US"/>
        </w:rPr>
        <w:t>,</w:t>
      </w:r>
      <w:r>
        <w:rPr>
          <w:rtl w:val="0"/>
        </w:rPr>
        <w:t xml:space="preserve"> </w:t>
      </w:r>
      <w:r>
        <w:rPr>
          <w:rtl w:val="0"/>
          <w:lang w:val="en-US"/>
        </w:rPr>
        <w:t xml:space="preserve">which obtained during previous  teaching sessions, </w:t>
      </w:r>
      <w:r>
        <w:rPr>
          <w:rtl w:val="0"/>
          <w:lang w:val="en-US"/>
        </w:rPr>
        <w:t xml:space="preserve">to train and test the two machine learning (k-nn and Naive Bayes) algorithms for </w:t>
      </w:r>
      <w:r>
        <w:rPr>
          <w:rtl w:val="0"/>
          <w:lang w:val="en-US"/>
        </w:rPr>
        <w:t xml:space="preserve">knowledge </w:t>
      </w:r>
      <w:r>
        <w:rPr>
          <w:rtl w:val="0"/>
          <w:lang w:val="it-IT"/>
        </w:rPr>
        <w:t>classification.</w:t>
      </w:r>
      <w:r>
        <w:rPr>
          <w:rtl w:val="0"/>
          <w:lang w:val="en-US"/>
        </w:rPr>
        <w:t xml:space="preserve"> Four knowledge levels were specified as class names as Table 5.4 presents four examples from dataset - full dataset can be seen at Appendix B.</w:t>
      </w:r>
      <w:r>
        <w:rPr>
          <w:rtl w:val="0"/>
          <w:lang w:val="zh-CN" w:eastAsia="zh-CN"/>
        </w:rPr>
        <w:t xml:space="preserve"> </w:t>
      </w:r>
      <w:r>
        <w:rPr>
          <w:rtl w:val="0"/>
          <w:lang w:val="en-US"/>
        </w:rPr>
        <w:t>The dataset consists of 50 samples of records distributed for each knowledge level which are examined carefully by an expert teacher. We</w:t>
      </w:r>
      <w:r>
        <w:rPr>
          <w:rtl w:val="0"/>
        </w:rPr>
        <w:t xml:space="preserve"> </w:t>
      </w:r>
      <w:r>
        <w:rPr>
          <w:rtl w:val="0"/>
          <w:lang w:val="zh-CN" w:eastAsia="zh-CN"/>
        </w:rPr>
        <w:t>could</w:t>
      </w:r>
      <w:r>
        <w:rPr>
          <w:rtl w:val="0"/>
          <w:lang w:val="en-US"/>
        </w:rPr>
        <w:t xml:space="preserve"> not have equal number of samples from all knowledge level (Expert, Advanced, Intermediate, Foundational). Since, among a group of students the ratio of Expert</w:t>
      </w:r>
      <w:r>
        <w:rPr>
          <w:rtl w:val="0"/>
          <w:lang w:val="en-US"/>
        </w:rPr>
        <w:t xml:space="preserve">, </w:t>
      </w:r>
      <w:r>
        <w:rPr>
          <w:rtl w:val="0"/>
          <w:lang w:val="en-US"/>
        </w:rPr>
        <w:t>Advanced</w:t>
      </w:r>
      <w:r>
        <w:rPr>
          <w:rtl w:val="0"/>
          <w:lang w:val="en-US"/>
        </w:rPr>
        <w:t xml:space="preserve">, </w:t>
      </w:r>
      <w:r>
        <w:rPr>
          <w:rtl w:val="0"/>
        </w:rPr>
        <w:t xml:space="preserve">Intermediate </w:t>
      </w:r>
      <w:r>
        <w:rPr>
          <w:rtl w:val="0"/>
          <w:lang w:val="en-US"/>
        </w:rPr>
        <w:t>or</w:t>
      </w:r>
      <w:r>
        <w:rPr>
          <w:rtl w:val="0"/>
        </w:rPr>
        <w:t xml:space="preserve"> </w:t>
      </w:r>
      <w:r>
        <w:rPr>
          <w:rtl w:val="0"/>
          <w:lang w:val="en-US"/>
        </w:rPr>
        <w:t>F</w:t>
      </w:r>
      <w:r>
        <w:rPr>
          <w:rtl w:val="0"/>
          <w:lang w:val="en-US"/>
        </w:rPr>
        <w:t>oundational students is unfeasible</w:t>
      </w:r>
      <w:r>
        <w:rPr>
          <w:rtl w:val="0"/>
          <w:lang w:val="en-US"/>
        </w:rPr>
        <w:t xml:space="preserve">. </w:t>
      </w:r>
      <w:r>
        <w:rPr>
          <w:rtl w:val="0"/>
          <w:lang w:val="en-US"/>
        </w:rPr>
        <w:t>These two</w:t>
      </w:r>
      <w:r>
        <w:rPr>
          <w:rtl w:val="0"/>
          <w:lang w:val="en-US"/>
        </w:rPr>
        <w:t xml:space="preserve"> classification</w:t>
      </w:r>
      <w:r>
        <w:rPr>
          <w:rtl w:val="0"/>
          <w:lang w:val="es-ES_tradnl"/>
        </w:rPr>
        <w:t xml:space="preserve"> algorithms</w:t>
      </w:r>
      <w:r>
        <w:rPr>
          <w:rtl w:val="0"/>
          <w:lang w:val="en-US"/>
        </w:rPr>
        <w:t xml:space="preserve"> discussed below</w:t>
      </w:r>
      <w:r>
        <w:rPr>
          <w:rtl w:val="0"/>
          <w:lang w:val="en-US"/>
        </w:rPr>
        <w:t xml:space="preserve"> are commonly used in educational </w:t>
      </w:r>
      <w:r>
        <w:rPr>
          <w:rtl w:val="0"/>
          <w:lang w:val="en-US"/>
        </w:rPr>
        <w:t>ITS</w:t>
      </w:r>
      <w:r>
        <w:rPr>
          <w:rtl w:val="0"/>
          <w:lang w:val="pt-PT"/>
        </w:rPr>
        <w:t>s.</w:t>
      </w:r>
    </w:p>
    <w:p>
      <w:pPr>
        <w:pStyle w:val="H3"/>
        <w:numPr>
          <w:ilvl w:val="2"/>
          <w:numId w:val="2"/>
        </w:numPr>
        <w:outlineLvl w:val="0"/>
        <w:rPr>
          <w:lang w:val="en-US"/>
        </w:rPr>
      </w:pPr>
      <w:r>
        <w:rPr>
          <w:rtl w:val="0"/>
          <w:lang w:val="en-US"/>
        </w:rPr>
        <w:t xml:space="preserve"> A probabilistic method: development of Na</w:t>
      </w:r>
      <w:r>
        <w:rPr>
          <w:rtl w:val="0"/>
          <w:lang w:val="en-US"/>
        </w:rPr>
        <w:t>ï</w:t>
      </w:r>
      <w:r>
        <w:rPr>
          <w:rtl w:val="0"/>
          <w:lang w:val="en-US"/>
        </w:rPr>
        <w:t>ve Bayes knowledge classification</w:t>
      </w:r>
    </w:p>
    <w:p>
      <w:pPr>
        <w:pStyle w:val="Normal.0"/>
        <w:spacing w:line="240" w:lineRule="auto"/>
      </w:pPr>
      <w:r>
        <w:rPr>
          <w:rtl w:val="0"/>
          <w:lang w:val="en-US"/>
        </w:rPr>
        <w:t xml:space="preserve">For Bayes classification, kernel smoother type is chosen, since the </w:t>
      </w:r>
      <w:r>
        <w:rPr>
          <w:rtl w:val="0"/>
          <w:lang w:val="en-US"/>
        </w:rPr>
        <w:t>predicto</w:t>
      </w:r>
      <w:r>
        <w:rPr>
          <w:rtl w:val="0"/>
          <w:lang w:val="en-US"/>
        </w:rPr>
        <w:t xml:space="preserve">r values of feature class are in scalar type. The kernel density was set to unbound because the </w:t>
      </w:r>
      <w:r>
        <w:rPr>
          <w:rtl w:val="0"/>
          <w:lang w:val="en-US"/>
        </w:rPr>
        <w:t xml:space="preserve">density </w:t>
      </w:r>
      <w:r>
        <w:rPr>
          <w:rtl w:val="0"/>
          <w:lang w:val="en-US"/>
        </w:rPr>
        <w:t xml:space="preserve">of </w:t>
      </w:r>
      <w:r>
        <w:rPr>
          <w:rtl w:val="0"/>
          <w:lang w:val="en-US"/>
        </w:rPr>
        <w:t>value</w:t>
      </w:r>
      <w:r>
        <w:rPr>
          <w:rtl w:val="0"/>
          <w:lang w:val="en-US"/>
        </w:rPr>
        <w:t>s in two column observations can extend over the whole real line Table 5.4.</w:t>
      </w:r>
    </w:p>
    <w:p>
      <w:pPr>
        <w:pStyle w:val="Normal.0"/>
        <w:spacing w:line="240" w:lineRule="auto"/>
      </w:pPr>
      <w:r>
        <w:rPr>
          <w:rtl w:val="0"/>
          <w:lang w:val="en-US"/>
        </w:rPr>
        <w:t xml:space="preserve">Naive Bayes Classifier (NBC) is a probabilistic and supervised machine learning method. </w:t>
      </w:r>
      <w:r>
        <w:rPr>
          <w:rtl w:val="0"/>
          <w:lang w:val="en-US"/>
        </w:rPr>
        <w:t>NBC is usually chosen for its simplicity</w:t>
      </w:r>
      <w:r>
        <w:rPr>
          <w:rtl w:val="0"/>
          <w:lang w:val="en-US"/>
        </w:rPr>
        <w:t xml:space="preserve"> and commonly used for natural language processing, user modeling, and medical diagnostics. </w:t>
      </w:r>
      <w:r>
        <w:rPr>
          <w:rtl w:val="0"/>
          <w:lang w:val="en-US"/>
        </w:rPr>
        <w:t>NBC</w:t>
      </w:r>
      <w:r>
        <w:rPr>
          <w:rtl w:val="0"/>
          <w:lang w:val="en-US"/>
        </w:rPr>
        <w:t xml:space="preserve"> results are assumptions for the state in which the feature observations are given. And also, these features which affect to the state are independent, for that reason it is often referred as </w:t>
      </w:r>
      <w:r>
        <w:rPr>
          <w:rtl w:val="0"/>
          <w:lang w:val="en-US"/>
        </w:rPr>
        <w:t>“</w:t>
      </w:r>
      <w:r>
        <w:rPr>
          <w:rtl w:val="0"/>
          <w:lang w:val="en-US"/>
        </w:rPr>
        <w:t>feature independent model</w:t>
      </w:r>
      <w:r>
        <w:rPr>
          <w:rtl w:val="0"/>
          <w:lang w:val="en-US"/>
        </w:rPr>
        <w:t>”</w:t>
      </w:r>
      <w:r>
        <w:rPr>
          <w:rtl w:val="0"/>
          <w:lang w:val="en-US"/>
        </w:rPr>
        <w:t>.</w:t>
      </w:r>
    </w:p>
    <w:p>
      <w:pPr>
        <w:pStyle w:val="Normal.0"/>
        <w:spacing w:line="240" w:lineRule="auto"/>
      </w:pPr>
      <w:r>
        <w:rPr>
          <w:rtl w:val="0"/>
          <w:lang w:val="en-US"/>
        </w:rPr>
        <w:t>Let {a</w:t>
      </w:r>
      <w:r>
        <w:rPr>
          <w:vertAlign w:val="subscript"/>
          <w:rtl w:val="0"/>
          <w:lang w:val="en-US"/>
        </w:rPr>
        <w:t>1</w:t>
      </w:r>
      <w:r>
        <w:rPr>
          <w:rtl w:val="0"/>
          <w:lang w:val="en-US"/>
        </w:rPr>
        <w:t>, a</w:t>
      </w:r>
      <w:r>
        <w:rPr>
          <w:vertAlign w:val="subscript"/>
          <w:rtl w:val="0"/>
          <w:lang w:val="en-US"/>
        </w:rPr>
        <w:t>2</w:t>
      </w:r>
      <w:r>
        <w:rPr>
          <w:rtl w:val="0"/>
          <w:lang w:val="en-US"/>
        </w:rPr>
        <w:t>, a</w:t>
      </w:r>
      <w:r>
        <w:rPr>
          <w:vertAlign w:val="subscript"/>
          <w:rtl w:val="0"/>
          <w:lang w:val="en-US"/>
        </w:rPr>
        <w:t>3</w:t>
      </w:r>
      <w:r>
        <w:rPr>
          <w:rtl w:val="0"/>
          <w:lang w:val="en-US"/>
        </w:rPr>
        <w:t>…</w:t>
      </w:r>
      <w:r>
        <w:rPr>
          <w:rtl w:val="0"/>
          <w:lang w:val="en-US"/>
        </w:rPr>
        <w:t>, a</w:t>
      </w:r>
      <w:r>
        <w:rPr>
          <w:vertAlign w:val="subscript"/>
          <w:rtl w:val="0"/>
          <w:lang w:val="en-US"/>
        </w:rPr>
        <w:t>q</w:t>
      </w:r>
      <w:r>
        <w:rPr>
          <w:rtl w:val="0"/>
          <w:lang w:val="en-US"/>
        </w:rPr>
        <w:t xml:space="preserve">} be independent feature set </w:t>
      </w:r>
      <w:r>
        <w:rPr>
          <w:b w:val="1"/>
          <w:bCs w:val="1"/>
          <w:i w:val="1"/>
          <w:iCs w:val="1"/>
          <w:rtl w:val="0"/>
          <w:lang w:val="en-US"/>
        </w:rPr>
        <w:t>A</w:t>
      </w:r>
      <w:r>
        <w:rPr>
          <w:rtl w:val="0"/>
          <w:lang w:val="en-US"/>
        </w:rPr>
        <w:t xml:space="preserve"> as predictors and </w:t>
      </w:r>
      <w:r>
        <w:rPr>
          <w:b w:val="1"/>
          <w:bCs w:val="1"/>
          <w:i w:val="1"/>
          <w:iCs w:val="1"/>
          <w:rtl w:val="0"/>
          <w:lang w:val="en-US"/>
        </w:rPr>
        <w:t xml:space="preserve">C </w:t>
      </w:r>
      <w:r>
        <w:rPr>
          <w:rtl w:val="0"/>
          <w:lang w:val="en-US"/>
        </w:rPr>
        <w:t>is the class which comes out as a predicted result. Then, the posterior probability can be calculated as:</w:t>
      </w:r>
    </w:p>
    <w:p>
      <w:pPr>
        <w:pStyle w:val="Normal.0"/>
        <w:spacing w:line="240" w:lineRule="auto"/>
        <w:rPr>
          <w:color w:val="000000"/>
          <w:sz w:val="24"/>
        </w:rPr>
      </w:pPr>
      <m:oMath>
        <m:r>
          <w:rPr xmlns:w="http://schemas.openxmlformats.org/wordprocessingml/2006/main">
            <w:rFonts w:ascii="Cambria Math" w:hAnsi="Cambria Math"/>
            <w:i/>
            <w:color w:val="000000"/>
            <w:sz w:val="24"/>
            <w:szCs w:val="24"/>
          </w:rPr>
          <m:t>P</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C</m:t>
        </m:r>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1</m:t>
            </m:r>
          </m:sub>
        </m:sSub>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2</m:t>
            </m:r>
          </m:sub>
        </m:sSub>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3</m:t>
            </m:r>
          </m:sub>
        </m:sSub>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q</m:t>
            </m:r>
          </m:sub>
        </m:sSub>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f>
          <m:fPr>
            <m:ctrlPr>
              <w:rPr xmlns:w="http://schemas.openxmlformats.org/wordprocessingml/2006/main">
                <w:rFonts w:ascii="Cambria Math" w:hAnsi="Cambria Math"/>
                <w:i/>
                <w:color w:val="000000"/>
                <w:sz w:val="24"/>
                <w:szCs w:val="24"/>
              </w:rPr>
            </m:ctrlPr>
            <m:type m:val="bar"/>
          </m:fPr>
          <m:num>
            <m:r>
              <w:rPr xmlns:w="http://schemas.openxmlformats.org/wordprocessingml/2006/main">
                <w:rFonts w:ascii="Cambria Math" w:hAnsi="Cambria Math"/>
                <w:i/>
                <w:color w:val="000000"/>
                <w:sz w:val="24"/>
                <w:szCs w:val="24"/>
              </w:rPr>
              <m:t>P</m:t>
            </m:r>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1</m:t>
                </m:r>
              </m:sub>
            </m:sSub>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2</m:t>
                </m:r>
              </m:sub>
            </m:sSub>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3</m:t>
                </m:r>
              </m:sub>
            </m:sSub>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q</m:t>
                </m:r>
              </m:sub>
            </m:sSub>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C</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P</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C</m:t>
            </m:r>
            <m:r>
              <w:rPr xmlns:w="http://schemas.openxmlformats.org/wordprocessingml/2006/main">
                <w:rFonts w:ascii="Cambria Math" w:hAnsi="Cambria Math"/>
                <w:i/>
                <w:color w:val="000000"/>
                <w:sz w:val="24"/>
                <w:szCs w:val="24"/>
              </w:rPr>
              <m:t>)</m:t>
            </m:r>
          </m:num>
          <m:den>
            <m:r>
              <w:rPr xmlns:w="http://schemas.openxmlformats.org/wordprocessingml/2006/main">
                <w:rFonts w:ascii="Cambria Math" w:hAnsi="Cambria Math"/>
                <w:i/>
                <w:color w:val="000000"/>
                <w:sz w:val="24"/>
                <w:szCs w:val="24"/>
              </w:rPr>
              <m:t>P</m:t>
            </m:r>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1</m:t>
                </m:r>
              </m:sub>
            </m:sSub>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2</m:t>
                </m:r>
              </m:sub>
            </m:sSub>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3</m:t>
                </m:r>
              </m:sub>
            </m:sSub>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a</m:t>
                </m:r>
              </m:e>
              <m:sub>
                <m:r>
                  <w:rPr xmlns:w="http://schemas.openxmlformats.org/wordprocessingml/2006/main">
                    <w:rFonts w:ascii="Cambria Math" w:hAnsi="Cambria Math"/>
                    <w:i/>
                    <w:color w:val="000000"/>
                    <w:sz w:val="24"/>
                    <w:szCs w:val="24"/>
                  </w:rPr>
                  <m:t>q</m:t>
                </m:r>
              </m:sub>
            </m:sSub>
            <m:r>
              <w:rPr xmlns:w="http://schemas.openxmlformats.org/wordprocessingml/2006/main">
                <w:rFonts w:ascii="Cambria Math" w:hAnsi="Cambria Math"/>
                <w:i/>
                <w:color w:val="000000"/>
                <w:sz w:val="24"/>
                <w:szCs w:val="24"/>
              </w:rPr>
              <m:t>)</m:t>
            </m:r>
          </m:den>
        </m:f>
      </m:oMath>
      <w:r>
        <w:rPr>
          <w:rtl w:val="0"/>
          <w:lang w:val="en-US"/>
        </w:rPr>
        <w:t xml:space="preserve"> </w:t>
        <w:tab/>
        <w:t>(1)</w:t>
      </w:r>
    </w:p>
    <w:p>
      <w:pPr>
        <w:pStyle w:val="Normal.0"/>
        <w:spacing w:line="240" w:lineRule="auto"/>
      </w:pPr>
      <w:r>
        <w:rPr>
          <w:rtl w:val="0"/>
          <w:lang w:val="en-US"/>
        </w:rPr>
        <w:t>where:</w:t>
      </w:r>
    </w:p>
    <w:p>
      <w:pPr>
        <w:pStyle w:val="Normal.0"/>
        <w:numPr>
          <w:ilvl w:val="0"/>
          <w:numId w:val="8"/>
        </w:numPr>
        <w:spacing w:line="240" w:lineRule="auto"/>
        <w:rPr>
          <w:color w:val="000000"/>
          <w:sz w:val="24"/>
        </w:rPr>
      </w:pPr>
      <m:oMath>
        <m:r>
          <w:rPr xmlns:w="http://schemas.openxmlformats.org/wordprocessingml/2006/main">
            <w:rFonts w:ascii="Cambria Math" w:hAnsi="Cambria Math"/>
            <w:i/>
            <w:color w:val="000000"/>
            <w:sz w:val="25"/>
            <w:szCs w:val="25"/>
          </w:rPr>
          <m:t>P</m:t>
        </m:r>
        <m:r>
          <w:rPr xmlns:w="http://schemas.openxmlformats.org/wordprocessingml/2006/main">
            <w:rFonts w:ascii="Cambria Math" w:hAnsi="Cambria Math"/>
            <w:i/>
            <w:color w:val="000000"/>
            <w:sz w:val="25"/>
            <w:szCs w:val="25"/>
          </w:rPr>
          <m:t>(</m:t>
        </m:r>
        <m:sSub>
          <m:e>
            <m:r>
              <w:rPr xmlns:w="http://schemas.openxmlformats.org/wordprocessingml/2006/main">
                <w:rFonts w:ascii="Cambria Math" w:hAnsi="Cambria Math"/>
                <w:i/>
                <w:color w:val="000000"/>
                <w:sz w:val="25"/>
                <w:szCs w:val="25"/>
              </w:rPr>
              <m:t>a</m:t>
            </m:r>
          </m:e>
          <m:sub>
            <m:r>
              <w:rPr xmlns:w="http://schemas.openxmlformats.org/wordprocessingml/2006/main">
                <w:rFonts w:ascii="Cambria Math" w:hAnsi="Cambria Math"/>
                <w:i/>
                <w:color w:val="000000"/>
                <w:sz w:val="25"/>
                <w:szCs w:val="25"/>
              </w:rPr>
              <m:t>1</m:t>
            </m:r>
          </m:sub>
        </m:sSub>
        <m:r>
          <w:rPr xmlns:w="http://schemas.openxmlformats.org/wordprocessingml/2006/main">
            <w:rFonts w:ascii="Cambria Math" w:hAnsi="Cambria Math"/>
            <w:i/>
            <w:color w:val="000000"/>
            <w:sz w:val="25"/>
            <w:szCs w:val="25"/>
          </w:rPr>
          <m:t>,</m:t>
        </m:r>
        <m:sSub>
          <m:e>
            <m:r>
              <w:rPr xmlns:w="http://schemas.openxmlformats.org/wordprocessingml/2006/main">
                <w:rFonts w:ascii="Cambria Math" w:hAnsi="Cambria Math"/>
                <w:i/>
                <w:color w:val="000000"/>
                <w:sz w:val="25"/>
                <w:szCs w:val="25"/>
              </w:rPr>
              <m:t>a</m:t>
            </m:r>
          </m:e>
          <m:sub>
            <m:r>
              <w:rPr xmlns:w="http://schemas.openxmlformats.org/wordprocessingml/2006/main">
                <w:rFonts w:ascii="Cambria Math" w:hAnsi="Cambria Math"/>
                <w:i/>
                <w:color w:val="000000"/>
                <w:sz w:val="25"/>
                <w:szCs w:val="25"/>
              </w:rPr>
              <m:t>2</m:t>
            </m:r>
          </m:sub>
        </m:sSub>
        <m:r>
          <w:rPr xmlns:w="http://schemas.openxmlformats.org/wordprocessingml/2006/main">
            <w:rFonts w:ascii="Cambria Math" w:hAnsi="Cambria Math"/>
            <w:i/>
            <w:color w:val="000000"/>
            <w:sz w:val="25"/>
            <w:szCs w:val="25"/>
          </w:rPr>
          <m:t>,</m:t>
        </m:r>
        <m:sSub>
          <m:e>
            <m:r>
              <w:rPr xmlns:w="http://schemas.openxmlformats.org/wordprocessingml/2006/main">
                <w:rFonts w:ascii="Cambria Math" w:hAnsi="Cambria Math"/>
                <w:i/>
                <w:color w:val="000000"/>
                <w:sz w:val="25"/>
                <w:szCs w:val="25"/>
              </w:rPr>
              <m:t>a</m:t>
            </m:r>
          </m:e>
          <m:sub>
            <m:r>
              <w:rPr xmlns:w="http://schemas.openxmlformats.org/wordprocessingml/2006/main">
                <w:rFonts w:ascii="Cambria Math" w:hAnsi="Cambria Math"/>
                <w:i/>
                <w:color w:val="000000"/>
                <w:sz w:val="25"/>
                <w:szCs w:val="25"/>
              </w:rPr>
              <m:t>3</m:t>
            </m:r>
          </m:sub>
        </m:sSub>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m:t>
        </m:r>
        <m:sSub>
          <m:e>
            <m:r>
              <w:rPr xmlns:w="http://schemas.openxmlformats.org/wordprocessingml/2006/main">
                <w:rFonts w:ascii="Cambria Math" w:hAnsi="Cambria Math"/>
                <w:i/>
                <w:color w:val="000000"/>
                <w:sz w:val="25"/>
                <w:szCs w:val="25"/>
              </w:rPr>
              <m:t>a</m:t>
            </m:r>
          </m:e>
          <m:sub>
            <m:r>
              <w:rPr xmlns:w="http://schemas.openxmlformats.org/wordprocessingml/2006/main">
                <w:rFonts w:ascii="Cambria Math" w:hAnsi="Cambria Math"/>
                <w:i/>
                <w:color w:val="000000"/>
                <w:sz w:val="25"/>
                <w:szCs w:val="25"/>
              </w:rPr>
              <m:t>q</m:t>
            </m:r>
          </m:sub>
        </m:sSub>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C</m:t>
        </m:r>
        <m:r>
          <w:rPr xmlns:w="http://schemas.openxmlformats.org/wordprocessingml/2006/main">
            <w:rFonts w:ascii="Cambria Math" w:hAnsi="Cambria Math"/>
            <w:i/>
            <w:color w:val="000000"/>
            <w:sz w:val="25"/>
            <w:szCs w:val="25"/>
          </w:rPr>
          <m:t>)</m:t>
        </m:r>
      </m:oMath>
      <w:r>
        <w:rPr>
          <w:rtl w:val="0"/>
          <w:lang w:val="en-US"/>
        </w:rPr>
        <w:t xml:space="preserve"> is likelihood joint density of predictors given class </w:t>
      </w:r>
      <w:r>
        <w:rPr>
          <w:b w:val="1"/>
          <w:bCs w:val="1"/>
          <w:i w:val="1"/>
          <w:iCs w:val="1"/>
          <w:rtl w:val="0"/>
          <w:lang w:val="en-US"/>
        </w:rPr>
        <w:t>C,</w:t>
      </w:r>
    </w:p>
    <w:p>
      <w:pPr>
        <w:pStyle w:val="Normal.0"/>
        <w:numPr>
          <w:ilvl w:val="0"/>
          <w:numId w:val="8"/>
        </w:numPr>
        <w:spacing w:line="240" w:lineRule="auto"/>
        <w:rPr>
          <w:color w:val="000000"/>
          <w:sz w:val="24"/>
        </w:rPr>
      </w:pPr>
      <m:oMath>
        <m:r>
          <w:rPr xmlns:w="http://schemas.openxmlformats.org/wordprocessingml/2006/main">
            <w:rFonts w:ascii="Cambria Math" w:hAnsi="Cambria Math"/>
            <w:i/>
            <w:color w:val="000000"/>
            <w:sz w:val="25"/>
            <w:szCs w:val="25"/>
          </w:rPr>
          <m:t>P</m:t>
        </m:r>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C</m:t>
        </m:r>
        <m:r>
          <w:rPr xmlns:w="http://schemas.openxmlformats.org/wordprocessingml/2006/main">
            <w:rFonts w:ascii="Cambria Math" w:hAnsi="Cambria Math"/>
            <w:i/>
            <w:color w:val="000000"/>
            <w:sz w:val="25"/>
            <w:szCs w:val="25"/>
          </w:rPr>
          <m:t>)</m:t>
        </m:r>
      </m:oMath>
      <w:r>
        <w:rPr>
          <w:rtl w:val="0"/>
          <w:lang w:val="en-US"/>
        </w:rPr>
        <w:t xml:space="preserve"> is the class prior probability</w:t>
      </w:r>
    </w:p>
    <w:p>
      <w:pPr>
        <w:pStyle w:val="Normal.0"/>
        <w:numPr>
          <w:ilvl w:val="0"/>
          <w:numId w:val="8"/>
        </w:numPr>
        <w:spacing w:line="240" w:lineRule="auto"/>
        <w:rPr>
          <w:color w:val="000000"/>
          <w:sz w:val="24"/>
        </w:rPr>
      </w:pPr>
      <m:oMath>
        <m:r>
          <w:rPr xmlns:w="http://schemas.openxmlformats.org/wordprocessingml/2006/main">
            <w:rFonts w:ascii="Cambria Math" w:hAnsi="Cambria Math"/>
            <w:i/>
            <w:color w:val="000000"/>
            <w:sz w:val="25"/>
            <w:szCs w:val="25"/>
          </w:rPr>
          <m:t>P</m:t>
        </m:r>
        <m:r>
          <w:rPr xmlns:w="http://schemas.openxmlformats.org/wordprocessingml/2006/main">
            <w:rFonts w:ascii="Cambria Math" w:hAnsi="Cambria Math"/>
            <w:i/>
            <w:color w:val="000000"/>
            <w:sz w:val="25"/>
            <w:szCs w:val="25"/>
          </w:rPr>
          <m:t>(</m:t>
        </m:r>
        <m:sSub>
          <m:e>
            <m:r>
              <w:rPr xmlns:w="http://schemas.openxmlformats.org/wordprocessingml/2006/main">
                <w:rFonts w:ascii="Cambria Math" w:hAnsi="Cambria Math"/>
                <w:i/>
                <w:color w:val="000000"/>
                <w:sz w:val="25"/>
                <w:szCs w:val="25"/>
              </w:rPr>
              <m:t>a</m:t>
            </m:r>
          </m:e>
          <m:sub>
            <m:r>
              <w:rPr xmlns:w="http://schemas.openxmlformats.org/wordprocessingml/2006/main">
                <w:rFonts w:ascii="Cambria Math" w:hAnsi="Cambria Math"/>
                <w:i/>
                <w:color w:val="000000"/>
                <w:sz w:val="25"/>
                <w:szCs w:val="25"/>
              </w:rPr>
              <m:t>1</m:t>
            </m:r>
          </m:sub>
        </m:sSub>
        <m:r>
          <w:rPr xmlns:w="http://schemas.openxmlformats.org/wordprocessingml/2006/main">
            <w:rFonts w:ascii="Cambria Math" w:hAnsi="Cambria Math"/>
            <w:i/>
            <w:color w:val="000000"/>
            <w:sz w:val="25"/>
            <w:szCs w:val="25"/>
          </w:rPr>
          <m:t>,</m:t>
        </m:r>
        <m:sSub>
          <m:e>
            <m:r>
              <w:rPr xmlns:w="http://schemas.openxmlformats.org/wordprocessingml/2006/main">
                <w:rFonts w:ascii="Cambria Math" w:hAnsi="Cambria Math"/>
                <w:i/>
                <w:color w:val="000000"/>
                <w:sz w:val="25"/>
                <w:szCs w:val="25"/>
              </w:rPr>
              <m:t>a</m:t>
            </m:r>
          </m:e>
          <m:sub>
            <m:r>
              <w:rPr xmlns:w="http://schemas.openxmlformats.org/wordprocessingml/2006/main">
                <w:rFonts w:ascii="Cambria Math" w:hAnsi="Cambria Math"/>
                <w:i/>
                <w:color w:val="000000"/>
                <w:sz w:val="25"/>
                <w:szCs w:val="25"/>
              </w:rPr>
              <m:t>2</m:t>
            </m:r>
          </m:sub>
        </m:sSub>
        <m:r>
          <w:rPr xmlns:w="http://schemas.openxmlformats.org/wordprocessingml/2006/main">
            <w:rFonts w:ascii="Cambria Math" w:hAnsi="Cambria Math"/>
            <w:i/>
            <w:color w:val="000000"/>
            <w:sz w:val="25"/>
            <w:szCs w:val="25"/>
          </w:rPr>
          <m:t>,</m:t>
        </m:r>
        <m:sSub>
          <m:e>
            <m:r>
              <w:rPr xmlns:w="http://schemas.openxmlformats.org/wordprocessingml/2006/main">
                <w:rFonts w:ascii="Cambria Math" w:hAnsi="Cambria Math"/>
                <w:i/>
                <w:color w:val="000000"/>
                <w:sz w:val="25"/>
                <w:szCs w:val="25"/>
              </w:rPr>
              <m:t>a</m:t>
            </m:r>
          </m:e>
          <m:sub>
            <m:r>
              <w:rPr xmlns:w="http://schemas.openxmlformats.org/wordprocessingml/2006/main">
                <w:rFonts w:ascii="Cambria Math" w:hAnsi="Cambria Math"/>
                <w:i/>
                <w:color w:val="000000"/>
                <w:sz w:val="25"/>
                <w:szCs w:val="25"/>
              </w:rPr>
              <m:t>3</m:t>
            </m:r>
          </m:sub>
        </m:sSub>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m:t>
        </m:r>
        <m:sSub>
          <m:e>
            <m:r>
              <w:rPr xmlns:w="http://schemas.openxmlformats.org/wordprocessingml/2006/main">
                <w:rFonts w:ascii="Cambria Math" w:hAnsi="Cambria Math"/>
                <w:i/>
                <w:color w:val="000000"/>
                <w:sz w:val="25"/>
                <w:szCs w:val="25"/>
              </w:rPr>
              <m:t>a</m:t>
            </m:r>
          </m:e>
          <m:sub>
            <m:r>
              <w:rPr xmlns:w="http://schemas.openxmlformats.org/wordprocessingml/2006/main">
                <w:rFonts w:ascii="Cambria Math" w:hAnsi="Cambria Math"/>
                <w:i/>
                <w:color w:val="000000"/>
                <w:sz w:val="25"/>
                <w:szCs w:val="25"/>
              </w:rPr>
              <m:t>q</m:t>
            </m:r>
          </m:sub>
        </m:sSub>
        <m:r>
          <w:rPr xmlns:w="http://schemas.openxmlformats.org/wordprocessingml/2006/main">
            <w:rFonts w:ascii="Cambria Math" w:hAnsi="Cambria Math"/>
            <w:i/>
            <w:color w:val="000000"/>
            <w:sz w:val="25"/>
            <w:szCs w:val="25"/>
          </w:rPr>
          <m:t>)</m:t>
        </m:r>
      </m:oMath>
      <w:r>
        <w:rPr>
          <w:rtl w:val="0"/>
          <w:lang w:val="en-US"/>
        </w:rPr>
        <w:t xml:space="preserve"> is the joint density of predictors</w:t>
      </w:r>
    </w:p>
    <w:p>
      <w:pPr>
        <w:pStyle w:val="Normal.0"/>
        <w:spacing w:line="240" w:lineRule="auto"/>
      </w:pPr>
      <w:r>
        <w:rPr>
          <w:rtl w:val="0"/>
          <w:lang w:val="en-US"/>
        </w:rPr>
        <w:t xml:space="preserve">We can rewrite the (1) equation with our predefined independent feature arguments </w:t>
      </w:r>
      <w:r>
        <w:rPr>
          <w:b w:val="1"/>
          <w:bCs w:val="1"/>
          <w:i w:val="1"/>
          <w:iCs w:val="1"/>
          <w:rtl w:val="0"/>
          <w:lang w:val="en-US"/>
        </w:rPr>
        <w:t>Fu</w:t>
      </w:r>
      <w:r>
        <w:rPr>
          <w:b w:val="1"/>
          <w:bCs w:val="1"/>
          <w:i w:val="1"/>
          <w:iCs w:val="1"/>
          <w:vertAlign w:val="subscript"/>
          <w:rtl w:val="0"/>
          <w:lang w:val="en-US"/>
        </w:rPr>
        <w:t xml:space="preserve">c </w:t>
      </w:r>
      <w:r>
        <w:rPr>
          <w:b w:val="1"/>
          <w:bCs w:val="1"/>
          <w:i w:val="1"/>
          <w:iCs w:val="1"/>
          <w:rtl w:val="0"/>
          <w:lang w:val="en-US"/>
        </w:rPr>
        <w:t>(</w:t>
      </w:r>
      <w:r>
        <w:rPr>
          <w:i w:val="1"/>
          <w:iCs w:val="1"/>
          <w:rtl w:val="0"/>
          <w:lang w:val="en-US"/>
        </w:rPr>
        <w:t>SB, ULS, LF, LV</w:t>
      </w:r>
      <w:r>
        <w:rPr>
          <w:b w:val="1"/>
          <w:bCs w:val="1"/>
          <w:i w:val="1"/>
          <w:iCs w:val="1"/>
          <w:rtl w:val="0"/>
          <w:lang w:val="en-US"/>
        </w:rPr>
        <w:t xml:space="preserve">) </w:t>
      </w:r>
      <w:r>
        <w:rPr>
          <w:rtl w:val="0"/>
          <w:lang w:val="en-US"/>
        </w:rPr>
        <w:t xml:space="preserve">given set of user features </w:t>
      </w:r>
      <w:r>
        <w:rPr>
          <w:rtl w:val="0"/>
          <w:lang w:val="en-US"/>
        </w:rPr>
        <w:t xml:space="preserve">and </w:t>
      </w:r>
      <w:r>
        <w:rPr>
          <w:rtl w:val="0"/>
          <w:lang w:val="en-US"/>
        </w:rPr>
        <w:t xml:space="preserve">predict </w:t>
      </w:r>
      <w:r>
        <w:rPr>
          <w:rtl w:val="0"/>
          <w:lang w:val="en-US"/>
        </w:rPr>
        <w:t>(</w:t>
      </w:r>
      <w:r>
        <w:rPr>
          <w:i w:val="1"/>
          <w:iCs w:val="1"/>
          <w:rtl w:val="0"/>
          <w:lang w:val="en-US"/>
        </w:rPr>
        <w:t>UK</w:t>
      </w:r>
      <w:r>
        <w:rPr>
          <w:rtl w:val="0"/>
          <w:lang w:val="en-US"/>
        </w:rPr>
        <w:t xml:space="preserve">) </w:t>
      </w:r>
      <w:r>
        <w:rPr>
          <w:rtl w:val="0"/>
          <w:lang w:val="en-US"/>
        </w:rPr>
        <w:t>the user</w:t>
      </w:r>
      <w:r>
        <w:rPr>
          <w:rtl w:val="1"/>
        </w:rPr>
        <w:t>’</w:t>
      </w:r>
      <w:r>
        <w:rPr>
          <w:rtl w:val="0"/>
          <w:lang w:val="en-US"/>
        </w:rPr>
        <w:t xml:space="preserve">s knowledge degree </w:t>
      </w:r>
      <w:r>
        <w:rPr>
          <w:rtl w:val="0"/>
          <w:lang w:val="en-US"/>
        </w:rPr>
        <w:t>or the</w:t>
      </w:r>
      <w:r>
        <w:rPr>
          <w:rtl w:val="0"/>
          <w:lang w:val="en-US"/>
        </w:rPr>
        <w:t xml:space="preserve"> class </w:t>
      </w:r>
      <w:r>
        <w:rPr>
          <w:rtl w:val="0"/>
          <w:lang w:val="en-US"/>
        </w:rPr>
        <w:t xml:space="preserve">of </w:t>
      </w:r>
      <w:r>
        <w:rPr>
          <w:rtl w:val="0"/>
          <w:lang w:val="en-US"/>
        </w:rPr>
        <w:t>hypothesis</w:t>
      </w:r>
      <w:r>
        <w:rPr>
          <w:rtl w:val="0"/>
          <w:lang w:val="en-US"/>
        </w:rPr>
        <w:t xml:space="preserve"> for</w:t>
      </w:r>
      <w:r>
        <w:rPr>
          <w:rtl w:val="0"/>
        </w:rPr>
        <w:t xml:space="preserve"> </w:t>
      </w:r>
      <w:r>
        <w:rPr>
          <w:rtl w:val="0"/>
          <w:lang w:val="en-US"/>
        </w:rPr>
        <w:t>NBK</w:t>
      </w:r>
      <w:r>
        <w:rPr>
          <w:i w:val="1"/>
          <w:iCs w:val="1"/>
          <w:rtl w:val="0"/>
          <w:lang w:val="en-US"/>
        </w:rPr>
        <w:t xml:space="preserve">. </w:t>
      </w:r>
      <w:r>
        <w:rPr>
          <w:rtl w:val="0"/>
          <w:lang w:val="en-US"/>
        </w:rPr>
        <w:t>The p</w:t>
      </w:r>
      <w:r>
        <w:rPr>
          <w:rtl w:val="0"/>
          <w:lang w:val="en-US"/>
        </w:rPr>
        <w:t>robability degree of a user</w:t>
      </w:r>
      <w:r>
        <w:rPr>
          <w:rtl w:val="1"/>
        </w:rPr>
        <w:t xml:space="preserve">’ </w:t>
      </w:r>
      <w:r>
        <w:rPr>
          <w:rtl w:val="0"/>
          <w:lang w:val="en-US"/>
        </w:rPr>
        <w:t>knowledge for a topic</w:t>
      </w:r>
      <w:r>
        <w:rPr>
          <w:i w:val="1"/>
          <w:iCs w:val="1"/>
          <w:rtl w:val="0"/>
          <w:lang w:val="en-US"/>
        </w:rPr>
        <w:t xml:space="preserve"> </w:t>
      </w:r>
      <w:r>
        <w:rPr>
          <w:rtl w:val="0"/>
          <w:lang w:val="en-US"/>
        </w:rPr>
        <w:t>can be calculated from:</w:t>
      </w:r>
    </w:p>
    <w:p>
      <w:pPr>
        <w:pStyle w:val="Normal.0"/>
        <w:spacing w:line="240" w:lineRule="auto"/>
        <w:rPr>
          <w:color w:val="000000"/>
          <w:sz w:val="24"/>
        </w:rPr>
      </w:pPr>
      <m:oMath>
        <m:r>
          <w:rPr xmlns:w="http://schemas.openxmlformats.org/wordprocessingml/2006/main">
            <w:rFonts w:ascii="Cambria Math" w:hAnsi="Cambria Math"/>
            <w:i/>
            <w:color w:val="000000"/>
            <w:sz w:val="24"/>
            <w:szCs w:val="24"/>
          </w:rPr>
          <m:t>P</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U</m:t>
        </m:r>
        <m:r>
          <w:rPr xmlns:w="http://schemas.openxmlformats.org/wordprocessingml/2006/main">
            <w:rFonts w:ascii="Cambria Math" w:hAnsi="Cambria Math"/>
            <w:i/>
            <w:color w:val="000000"/>
            <w:sz w:val="24"/>
            <w:szCs w:val="24"/>
          </w:rPr>
          <m:t>K</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S</m:t>
        </m:r>
        <m:r>
          <w:rPr xmlns:w="http://schemas.openxmlformats.org/wordprocessingml/2006/main">
            <w:rFonts w:ascii="Cambria Math" w:hAnsi="Cambria Math"/>
            <w:i/>
            <w:color w:val="000000"/>
            <w:sz w:val="24"/>
            <w:szCs w:val="24"/>
          </w:rPr>
          <m:t>B</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U</m:t>
        </m:r>
        <m:r>
          <w:rPr xmlns:w="http://schemas.openxmlformats.org/wordprocessingml/2006/main">
            <w:rFonts w:ascii="Cambria Math" w:hAnsi="Cambria Math"/>
            <w:i/>
            <w:color w:val="000000"/>
            <w:sz w:val="24"/>
            <w:szCs w:val="24"/>
          </w:rPr>
          <m:t>L</m:t>
        </m:r>
        <m:r>
          <w:rPr xmlns:w="http://schemas.openxmlformats.org/wordprocessingml/2006/main">
            <w:rFonts w:ascii="Cambria Math" w:hAnsi="Cambria Math"/>
            <w:i/>
            <w:color w:val="000000"/>
            <w:sz w:val="24"/>
            <w:szCs w:val="24"/>
          </w:rPr>
          <m:t>S</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L</m:t>
        </m:r>
        <m:r>
          <w:rPr xmlns:w="http://schemas.openxmlformats.org/wordprocessingml/2006/main">
            <w:rFonts w:ascii="Cambria Math" w:hAnsi="Cambria Math"/>
            <w:i/>
            <w:color w:val="000000"/>
            <w:sz w:val="24"/>
            <w:szCs w:val="24"/>
          </w:rPr>
          <m:t>F</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L</m:t>
        </m:r>
        <m:r>
          <w:rPr xmlns:w="http://schemas.openxmlformats.org/wordprocessingml/2006/main">
            <w:rFonts w:ascii="Cambria Math" w:hAnsi="Cambria Math"/>
            <w:i/>
            <w:color w:val="000000"/>
            <w:sz w:val="24"/>
            <w:szCs w:val="24"/>
          </w:rPr>
          <m:t>V</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f>
          <m:fPr>
            <m:ctrlPr>
              <w:rPr xmlns:w="http://schemas.openxmlformats.org/wordprocessingml/2006/main">
                <w:rFonts w:ascii="Cambria Math" w:hAnsi="Cambria Math"/>
                <w:i/>
                <w:color w:val="000000"/>
                <w:sz w:val="24"/>
                <w:szCs w:val="24"/>
              </w:rPr>
            </m:ctrlPr>
            <m:type m:val="bar"/>
          </m:fPr>
          <m:num>
            <m:r>
              <w:rPr xmlns:w="http://schemas.openxmlformats.org/wordprocessingml/2006/main">
                <w:rFonts w:ascii="Cambria Math" w:hAnsi="Cambria Math"/>
                <w:i/>
                <w:color w:val="000000"/>
                <w:sz w:val="24"/>
                <w:szCs w:val="24"/>
              </w:rPr>
              <m:t>P</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S</m:t>
            </m:r>
            <m:r>
              <w:rPr xmlns:w="http://schemas.openxmlformats.org/wordprocessingml/2006/main">
                <w:rFonts w:ascii="Cambria Math" w:hAnsi="Cambria Math"/>
                <w:i/>
                <w:color w:val="000000"/>
                <w:sz w:val="24"/>
                <w:szCs w:val="24"/>
              </w:rPr>
              <m:t>B</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U</m:t>
            </m:r>
            <m:r>
              <w:rPr xmlns:w="http://schemas.openxmlformats.org/wordprocessingml/2006/main">
                <w:rFonts w:ascii="Cambria Math" w:hAnsi="Cambria Math"/>
                <w:i/>
                <w:color w:val="000000"/>
                <w:sz w:val="24"/>
                <w:szCs w:val="24"/>
              </w:rPr>
              <m:t>L</m:t>
            </m:r>
            <m:r>
              <w:rPr xmlns:w="http://schemas.openxmlformats.org/wordprocessingml/2006/main">
                <w:rFonts w:ascii="Cambria Math" w:hAnsi="Cambria Math"/>
                <w:i/>
                <w:color w:val="000000"/>
                <w:sz w:val="24"/>
                <w:szCs w:val="24"/>
              </w:rPr>
              <m:t>S</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L</m:t>
            </m:r>
            <m:r>
              <w:rPr xmlns:w="http://schemas.openxmlformats.org/wordprocessingml/2006/main">
                <w:rFonts w:ascii="Cambria Math" w:hAnsi="Cambria Math"/>
                <w:i/>
                <w:color w:val="000000"/>
                <w:sz w:val="24"/>
                <w:szCs w:val="24"/>
              </w:rPr>
              <m:t>F</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L</m:t>
            </m:r>
            <m:r>
              <w:rPr xmlns:w="http://schemas.openxmlformats.org/wordprocessingml/2006/main">
                <w:rFonts w:ascii="Cambria Math" w:hAnsi="Cambria Math"/>
                <w:i/>
                <w:color w:val="000000"/>
                <w:sz w:val="24"/>
                <w:szCs w:val="24"/>
              </w:rPr>
              <m:t>V</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U</m:t>
            </m:r>
            <m:r>
              <w:rPr xmlns:w="http://schemas.openxmlformats.org/wordprocessingml/2006/main">
                <w:rFonts w:ascii="Cambria Math" w:hAnsi="Cambria Math"/>
                <w:i/>
                <w:color w:val="000000"/>
                <w:sz w:val="24"/>
                <w:szCs w:val="24"/>
              </w:rPr>
              <m:t>K</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P</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U</m:t>
            </m:r>
            <m:r>
              <w:rPr xmlns:w="http://schemas.openxmlformats.org/wordprocessingml/2006/main">
                <w:rFonts w:ascii="Cambria Math" w:hAnsi="Cambria Math"/>
                <w:i/>
                <w:color w:val="000000"/>
                <w:sz w:val="24"/>
                <w:szCs w:val="24"/>
              </w:rPr>
              <m:t>K</m:t>
            </m:r>
            <m:r>
              <w:rPr xmlns:w="http://schemas.openxmlformats.org/wordprocessingml/2006/main">
                <w:rFonts w:ascii="Cambria Math" w:hAnsi="Cambria Math"/>
                <w:i/>
                <w:color w:val="000000"/>
                <w:sz w:val="24"/>
                <w:szCs w:val="24"/>
              </w:rPr>
              <m:t>)</m:t>
            </m:r>
          </m:num>
          <m:den>
            <m:r>
              <w:rPr xmlns:w="http://schemas.openxmlformats.org/wordprocessingml/2006/main">
                <w:rFonts w:ascii="Cambria Math" w:hAnsi="Cambria Math"/>
                <w:i/>
                <w:color w:val="000000"/>
                <w:sz w:val="24"/>
                <w:szCs w:val="24"/>
              </w:rPr>
              <m:t>P</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S</m:t>
            </m:r>
            <m:r>
              <w:rPr xmlns:w="http://schemas.openxmlformats.org/wordprocessingml/2006/main">
                <w:rFonts w:ascii="Cambria Math" w:hAnsi="Cambria Math"/>
                <w:i/>
                <w:color w:val="000000"/>
                <w:sz w:val="24"/>
                <w:szCs w:val="24"/>
              </w:rPr>
              <m:t>B</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U</m:t>
            </m:r>
            <m:r>
              <w:rPr xmlns:w="http://schemas.openxmlformats.org/wordprocessingml/2006/main">
                <w:rFonts w:ascii="Cambria Math" w:hAnsi="Cambria Math"/>
                <w:i/>
                <w:color w:val="000000"/>
                <w:sz w:val="24"/>
                <w:szCs w:val="24"/>
              </w:rPr>
              <m:t>L</m:t>
            </m:r>
            <m:r>
              <w:rPr xmlns:w="http://schemas.openxmlformats.org/wordprocessingml/2006/main">
                <w:rFonts w:ascii="Cambria Math" w:hAnsi="Cambria Math"/>
                <w:i/>
                <w:color w:val="000000"/>
                <w:sz w:val="24"/>
                <w:szCs w:val="24"/>
              </w:rPr>
              <m:t>S</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L</m:t>
            </m:r>
            <m:r>
              <w:rPr xmlns:w="http://schemas.openxmlformats.org/wordprocessingml/2006/main">
                <w:rFonts w:ascii="Cambria Math" w:hAnsi="Cambria Math"/>
                <w:i/>
                <w:color w:val="000000"/>
                <w:sz w:val="24"/>
                <w:szCs w:val="24"/>
              </w:rPr>
              <m:t>F</m:t>
            </m:r>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L</m:t>
            </m:r>
            <m:r>
              <w:rPr xmlns:w="http://schemas.openxmlformats.org/wordprocessingml/2006/main">
                <w:rFonts w:ascii="Cambria Math" w:hAnsi="Cambria Math"/>
                <w:i/>
                <w:color w:val="000000"/>
                <w:sz w:val="24"/>
                <w:szCs w:val="24"/>
              </w:rPr>
              <m:t>V</m:t>
            </m:r>
            <m:r>
              <w:rPr xmlns:w="http://schemas.openxmlformats.org/wordprocessingml/2006/main">
                <w:rFonts w:ascii="Cambria Math" w:hAnsi="Cambria Math"/>
                <w:i/>
                <w:color w:val="000000"/>
                <w:sz w:val="24"/>
                <w:szCs w:val="24"/>
              </w:rPr>
              <m:t>)</m:t>
            </m:r>
          </m:den>
        </m:f>
      </m:oMath>
      <w:r>
        <w:rPr>
          <w:rtl w:val="0"/>
        </w:rPr>
        <w:tab/>
        <w:tab/>
        <w:t>(2)</w:t>
      </w:r>
    </w:p>
    <w:p>
      <w:pPr>
        <w:pStyle w:val="Normal.0"/>
        <w:spacing w:line="240" w:lineRule="auto"/>
      </w:pPr>
      <w:r>
        <w:rPr>
          <w:rtl w:val="0"/>
          <w:lang w:val="en-US"/>
        </w:rPr>
        <w:t>Table 5.3 shows the feature of attributes and class hypothesis which affecting for students knowledge class. Attribute density was defined with the criteria given by subject instructors.</w:t>
      </w:r>
    </w:p>
    <w:p>
      <w:pPr>
        <w:pStyle w:val="H3"/>
        <w:numPr>
          <w:ilvl w:val="2"/>
          <w:numId w:val="2"/>
        </w:numPr>
        <w:outlineLvl w:val="0"/>
        <w:rPr>
          <w:lang w:val="en-US"/>
        </w:rPr>
      </w:pPr>
      <w:r>
        <w:rPr>
          <w:rtl w:val="0"/>
          <w:lang w:val="en-US"/>
        </w:rPr>
        <w:t xml:space="preserve"> </w:t>
      </w:r>
      <w:r>
        <w:rPr>
          <w:rtl w:val="0"/>
          <w:lang w:val="en-US"/>
        </w:rPr>
        <w:t xml:space="preserve">A probabilistic method: development of </w:t>
      </w:r>
      <w:r>
        <w:rPr>
          <w:rtl w:val="0"/>
          <w:lang w:val="en-US"/>
        </w:rPr>
        <w:t>k-NN</w:t>
      </w:r>
      <w:r>
        <w:rPr>
          <w:rtl w:val="0"/>
          <w:lang w:val="en-US"/>
        </w:rPr>
        <w:t xml:space="preserve"> knowledge classification</w:t>
      </w:r>
    </w:p>
    <w:p>
      <w:pPr>
        <w:pStyle w:val="Normal.0"/>
        <w:spacing w:line="240" w:lineRule="auto"/>
      </w:pPr>
      <w:r>
        <w:rPr>
          <w:rtl w:val="0"/>
          <w:lang w:val="en-US"/>
        </w:rPr>
        <w:t>For knowledge classification, among the supervised learning methods, nearest neighbour (k-nn) classifier is widely used. This sub-section describes briefly on k-nn classification and its application to our particular study.</w:t>
      </w:r>
    </w:p>
    <w:p>
      <w:pPr>
        <w:pStyle w:val="Normal.0"/>
        <w:spacing w:line="240" w:lineRule="auto"/>
      </w:pPr>
      <w:r>
        <w:rPr>
          <w:rtl w:val="0"/>
          <w:lang w:val="en-US"/>
        </w:rPr>
        <w:t xml:space="preserve">Categorising the new points according to the distance from the other points in (the world) training dataset is an effective classification method of k-nn. </w:t>
      </w:r>
      <w:r>
        <w:rPr>
          <w:rtl w:val="0"/>
          <w:lang w:val="zh-CN" w:eastAsia="zh-CN"/>
        </w:rPr>
        <w:t>Suppose</w:t>
      </w:r>
      <w:r>
        <w:rPr>
          <w:rFonts w:ascii="Arial Unicode MS" w:cs="Arial Unicode MS" w:hAnsi="Arial Unicode MS" w:eastAsia="Arial Unicode MS" w:hint="eastAsia"/>
          <w:b w:val="0"/>
          <w:bCs w:val="0"/>
          <w:i w:val="0"/>
          <w:iCs w:val="0"/>
          <w:rtl w:val="0"/>
          <w:lang w:val="zh-CN" w:eastAsia="zh-CN"/>
        </w:rPr>
        <w:t>，</w:t>
      </w:r>
      <w:r>
        <w:rPr>
          <w:rtl w:val="0"/>
          <w:lang w:val="en-US"/>
        </w:rPr>
        <w:t xml:space="preserve">we have six new observations and one of them has similar predictors </w:t>
      </w:r>
      <w:r>
        <w:rPr>
          <w:rtl w:val="0"/>
          <w:lang w:val="en-US"/>
        </w:rPr>
        <w:t xml:space="preserve">with the data in Table </w:t>
      </w:r>
      <w:r>
        <w:rPr>
          <w:rtl w:val="0"/>
          <w:lang w:val="en-US"/>
        </w:rPr>
        <w:t>5</w:t>
      </w:r>
      <w:r>
        <w:rPr>
          <w:rtl w:val="0"/>
        </w:rPr>
        <w:t>.1</w:t>
      </w:r>
      <w:r>
        <w:rPr>
          <w:rtl w:val="0"/>
          <w:lang w:val="en-US"/>
        </w:rPr>
        <w:t xml:space="preserve"> (25 visitors and 0.8 score) and they appear in the plot Fig 5.3 as </w:t>
      </w:r>
      <w:r>
        <w:rPr>
          <w:rtl w:val="0"/>
          <w:lang w:val="en-US"/>
        </w:rPr>
        <w:t>“</w:t>
      </w:r>
      <w:r>
        <w:rPr>
          <w:rtl w:val="0"/>
          <w:lang w:val="en-US"/>
        </w:rPr>
        <w:t>x</w:t>
      </w:r>
      <w:r>
        <w:rPr>
          <w:rtl w:val="0"/>
          <w:lang w:val="en-US"/>
        </w:rPr>
        <w:t xml:space="preserve">” </w:t>
      </w:r>
      <w:r>
        <w:rPr>
          <w:rtl w:val="0"/>
          <w:lang w:val="en-US"/>
        </w:rPr>
        <w:t xml:space="preserve">colours indicating their class names.  We make the value of </w:t>
      </w:r>
      <w:r>
        <w:rPr>
          <w:i w:val="1"/>
          <w:iCs w:val="1"/>
          <w:rtl w:val="0"/>
          <w:lang w:val="en-US"/>
        </w:rPr>
        <w:t>k</w:t>
      </w:r>
      <w:r>
        <w:rPr>
          <w:rtl w:val="0"/>
          <w:lang w:val="en-US"/>
        </w:rPr>
        <w:t xml:space="preserve"> equals to five. </w:t>
      </w:r>
      <w:r>
        <w:rPr>
          <w:rtl w:val="0"/>
          <w:lang w:val="en-US"/>
        </w:rPr>
        <w:t>The size of dotted circle indicates k value which encompasses five other points</w:t>
      </w:r>
      <w:r>
        <w:rPr>
          <w:rtl w:val="0"/>
          <w:lang w:val="en-US"/>
        </w:rPr>
        <w:t xml:space="preserve"> and to make classification decision as </w:t>
      </w:r>
      <w:r>
        <w:rPr>
          <w:rtl w:val="0"/>
          <w:lang w:val="en-US"/>
        </w:rPr>
        <w:t>“</w:t>
      </w:r>
      <w:r>
        <w:rPr>
          <w:i w:val="1"/>
          <w:iCs w:val="1"/>
          <w:rtl w:val="0"/>
          <w:lang w:val="en-US"/>
        </w:rPr>
        <w:t>Advanced</w:t>
      </w:r>
      <w:r>
        <w:rPr>
          <w:rtl w:val="0"/>
          <w:lang w:val="en-US"/>
        </w:rPr>
        <w:t>”</w:t>
      </w:r>
      <w:r>
        <w:rPr>
          <w:rtl w:val="0"/>
          <w:lang w:val="en-US"/>
        </w:rPr>
        <w:t>.</w:t>
      </w:r>
    </w:p>
    <w:p>
      <w:pPr>
        <w:pStyle w:val="Normal.0"/>
        <w:spacing w:line="240" w:lineRule="auto"/>
        <w:ind w:firstLine="0"/>
      </w:pPr>
      <w:r>
        <w:drawing>
          <wp:inline distT="0" distB="0" distL="0" distR="0">
            <wp:extent cx="6120057" cy="4770178"/>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Screen Shot 2020-02-29 at 21.25.12.png"/>
                    <pic:cNvPicPr>
                      <a:picLocks noChangeAspect="1"/>
                    </pic:cNvPicPr>
                  </pic:nvPicPr>
                  <pic:blipFill>
                    <a:blip r:embed="rId7">
                      <a:extLst/>
                    </a:blip>
                    <a:srcRect l="0" t="0" r="0" b="0"/>
                    <a:stretch>
                      <a:fillRect/>
                    </a:stretch>
                  </pic:blipFill>
                  <pic:spPr>
                    <a:xfrm>
                      <a:off x="0" y="0"/>
                      <a:ext cx="6120057" cy="4770178"/>
                    </a:xfrm>
                    <a:prstGeom prst="rect">
                      <a:avLst/>
                    </a:prstGeom>
                    <a:ln w="12700" cap="flat">
                      <a:noFill/>
                      <a:miter lim="400000"/>
                    </a:ln>
                    <a:effectLst/>
                  </pic:spPr>
                </pic:pic>
              </a:graphicData>
            </a:graphic>
          </wp:inline>
        </w:drawing>
      </w:r>
    </w:p>
    <w:p>
      <w:pPr>
        <w:pStyle w:val="Default"/>
        <w:spacing w:line="360" w:lineRule="auto"/>
        <w:ind w:firstLine="567"/>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   Fig. 3 Scatter plot of trains set for: k-Nearest Neighbour</w:t>
      </w:r>
    </w:p>
    <w:p>
      <w:pPr>
        <w:pStyle w:val="Normal.0"/>
        <w:spacing w:line="240" w:lineRule="auto"/>
      </w:pPr>
      <w:r>
        <w:rPr>
          <w:rtl w:val="0"/>
          <w:lang w:val="en-US"/>
        </w:rPr>
        <w:t xml:space="preserve">The three things need to be defined for classification are  k-value, training dataset, choosing one of the distance metrics. The </w:t>
      </w:r>
      <w:r>
        <w:rPr>
          <w:i w:val="1"/>
          <w:iCs w:val="1"/>
          <w:rtl w:val="0"/>
          <w:lang w:val="en-US"/>
        </w:rPr>
        <w:t xml:space="preserve">Euclidean </w:t>
      </w:r>
      <w:r>
        <w:rPr>
          <w:rtl w:val="0"/>
          <w:lang w:val="en-US"/>
        </w:rPr>
        <w:t xml:space="preserve">(EU) and </w:t>
      </w:r>
      <w:r>
        <w:rPr>
          <w:i w:val="1"/>
          <w:iCs w:val="1"/>
          <w:rtl w:val="0"/>
          <w:lang w:val="en-US"/>
        </w:rPr>
        <w:t xml:space="preserve">Minkowski </w:t>
      </w:r>
      <w:r>
        <w:rPr>
          <w:rtl w:val="0"/>
          <w:lang w:val="en-US"/>
        </w:rPr>
        <w:t xml:space="preserve">(MI) distance metrics (3,4) are famously used metrics and I also used these two for evaluation. Euclidean is a distance measuring method used for detecting the length between two points in Cartesian coordinate system. Say, </w:t>
      </w:r>
      <w:r>
        <w:rPr>
          <w:i w:val="1"/>
          <w:iCs w:val="1"/>
          <w:rtl w:val="0"/>
          <w:lang w:val="en-US"/>
        </w:rPr>
        <w:t xml:space="preserve">x </w:t>
      </w:r>
      <w:r>
        <w:rPr>
          <w:rtl w:val="0"/>
          <w:lang w:val="en-US"/>
        </w:rPr>
        <w:t xml:space="preserve">and </w:t>
      </w:r>
      <w:r>
        <w:rPr>
          <w:i w:val="1"/>
          <w:iCs w:val="1"/>
          <w:rtl w:val="0"/>
          <w:lang w:val="en-US"/>
        </w:rPr>
        <w:t xml:space="preserve">y </w:t>
      </w:r>
      <w:r>
        <w:rPr>
          <w:rtl w:val="0"/>
          <w:lang w:val="en-US"/>
        </w:rPr>
        <w:t>are two points in a plain and their distance length can be converted into metric distance by means of Euclidean. The formula for IE can be written as:</w:t>
      </w:r>
    </w:p>
    <w:p>
      <w:pPr>
        <w:pStyle w:val="Normal.0"/>
        <w:spacing w:line="240" w:lineRule="auto"/>
        <w:rPr>
          <w:color w:val="000000"/>
          <w:sz w:val="24"/>
        </w:rPr>
      </w:pPr>
      <m:oMath>
        <m:sSubSup>
          <m:e>
            <m:r>
              <w:rPr xmlns:w="http://schemas.openxmlformats.org/wordprocessingml/2006/main">
                <w:rFonts w:ascii="Cambria Math" w:hAnsi="Cambria Math"/>
                <w:i/>
                <w:color w:val="000000"/>
                <w:sz w:val="24"/>
                <w:szCs w:val="24"/>
              </w:rPr>
              <m:t>d</m:t>
            </m:r>
          </m:e>
          <m:sub>
            <m:r>
              <w:rPr xmlns:w="http://schemas.openxmlformats.org/wordprocessingml/2006/main">
                <w:rFonts w:ascii="Cambria Math" w:hAnsi="Cambria Math"/>
                <w:i/>
                <w:color w:val="000000"/>
                <w:sz w:val="24"/>
                <w:szCs w:val="24"/>
              </w:rPr>
              <m:t>s</m:t>
            </m:r>
            <m:r>
              <w:rPr xmlns:w="http://schemas.openxmlformats.org/wordprocessingml/2006/main">
                <w:rFonts w:ascii="Cambria Math" w:hAnsi="Cambria Math"/>
                <w:i/>
                <w:color w:val="000000"/>
                <w:sz w:val="24"/>
                <w:szCs w:val="24"/>
              </w:rPr>
              <m:t>t</m:t>
            </m:r>
          </m:sub>
          <m:sup>
            <m:r>
              <w:rPr xmlns:w="http://schemas.openxmlformats.org/wordprocessingml/2006/main">
                <w:rFonts w:ascii="Cambria Math" w:hAnsi="Cambria Math"/>
                <w:i/>
                <w:color w:val="000000"/>
                <w:sz w:val="24"/>
                <w:szCs w:val="24"/>
              </w:rPr>
              <m:t>2</m:t>
            </m:r>
          </m:sup>
        </m:sSubSup>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x</m:t>
            </m:r>
          </m:e>
          <m:sub>
            <m:r>
              <w:rPr xmlns:w="http://schemas.openxmlformats.org/wordprocessingml/2006/main">
                <w:rFonts w:ascii="Cambria Math" w:hAnsi="Cambria Math"/>
                <w:i/>
                <w:color w:val="000000"/>
                <w:sz w:val="24"/>
                <w:szCs w:val="24"/>
              </w:rPr>
              <m:t>s</m:t>
            </m:r>
          </m:sub>
        </m:sSub>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y</m:t>
            </m:r>
          </m:e>
          <m:sub>
            <m:r>
              <w:rPr xmlns:w="http://schemas.openxmlformats.org/wordprocessingml/2006/main">
                <w:rFonts w:ascii="Cambria Math" w:hAnsi="Cambria Math"/>
                <w:i/>
                <w:color w:val="000000"/>
                <w:sz w:val="24"/>
                <w:szCs w:val="24"/>
              </w:rPr>
              <m:t>t</m:t>
            </m:r>
          </m:sub>
        </m:sSub>
        <m:r>
          <w:rPr xmlns:w="http://schemas.openxmlformats.org/wordprocessingml/2006/main">
            <w:rFonts w:ascii="Cambria Math" w:hAnsi="Cambria Math"/>
            <w:i/>
            <w:color w:val="000000"/>
            <w:sz w:val="24"/>
            <w:szCs w:val="24"/>
          </w:rPr>
          <m:t>)</m:t>
        </m:r>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x</m:t>
            </m:r>
          </m:e>
          <m:sub>
            <m:r>
              <w:rPr xmlns:w="http://schemas.openxmlformats.org/wordprocessingml/2006/main">
                <w:rFonts w:ascii="Cambria Math" w:hAnsi="Cambria Math"/>
                <w:i/>
                <w:color w:val="000000"/>
                <w:sz w:val="24"/>
                <w:szCs w:val="24"/>
              </w:rPr>
              <m:t>s</m:t>
            </m:r>
          </m:sub>
        </m:sSub>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y</m:t>
            </m:r>
          </m:e>
          <m:sub>
            <m:r>
              <w:rPr xmlns:w="http://schemas.openxmlformats.org/wordprocessingml/2006/main">
                <w:rFonts w:ascii="Cambria Math" w:hAnsi="Cambria Math"/>
                <w:i/>
                <w:color w:val="000000"/>
                <w:sz w:val="24"/>
                <w:szCs w:val="24"/>
              </w:rPr>
              <m:t>t</m:t>
            </m:r>
          </m:sub>
        </m:sSub>
        <m:sSup>
          <m:e>
            <m:r>
              <w:rPr xmlns:w="http://schemas.openxmlformats.org/wordprocessingml/2006/main">
                <w:rFonts w:ascii="Cambria Math" w:hAnsi="Cambria Math"/>
                <w:i/>
                <w:color w:val="000000"/>
                <w:sz w:val="24"/>
                <w:szCs w:val="24"/>
              </w:rPr>
              <m:t>)</m:t>
            </m:r>
          </m:e>
          <m:sup>
            <m:r>
              <w:rPr xmlns:w="http://schemas.openxmlformats.org/wordprocessingml/2006/main">
                <w:rFonts w:ascii="Cambria Math" w:hAnsi="Cambria Math"/>
                <w:i/>
                <w:color w:val="000000"/>
                <w:sz w:val="24"/>
                <w:szCs w:val="24"/>
              </w:rPr>
              <m:t>′</m:t>
            </m:r>
          </m:sup>
        </m:sSup>
      </m:oMath>
      <w:r>
        <w:rPr>
          <w:rtl w:val="0"/>
        </w:rPr>
        <w:tab/>
        <w:tab/>
        <w:t>(3)</w:t>
      </w:r>
    </w:p>
    <w:p>
      <w:pPr>
        <w:pStyle w:val="Normal.0"/>
        <w:spacing w:line="240" w:lineRule="auto"/>
      </w:pPr>
      <w:r>
        <w:rPr>
          <w:rtl w:val="0"/>
          <w:lang w:val="en-US"/>
        </w:rPr>
        <w:t>The formula for MI can be written as:</w:t>
      </w:r>
    </w:p>
    <w:p>
      <w:pPr>
        <w:pStyle w:val="Normal.0"/>
        <w:spacing w:line="240" w:lineRule="auto"/>
        <w:rPr>
          <w:color w:val="000000"/>
          <w:sz w:val="24"/>
        </w:rPr>
      </w:pPr>
      <m:oMath>
        <m:sSub>
          <m:e>
            <m:r>
              <w:rPr xmlns:w="http://schemas.openxmlformats.org/wordprocessingml/2006/main">
                <w:rFonts w:ascii="Cambria Math" w:hAnsi="Cambria Math"/>
                <w:i/>
                <w:color w:val="000000"/>
                <w:sz w:val="25"/>
                <w:szCs w:val="25"/>
              </w:rPr>
              <m:t>d</m:t>
            </m:r>
          </m:e>
          <m:sub>
            <m:r>
              <w:rPr xmlns:w="http://schemas.openxmlformats.org/wordprocessingml/2006/main">
                <w:rFonts w:ascii="Cambria Math" w:hAnsi="Cambria Math"/>
                <w:i/>
                <w:color w:val="000000"/>
                <w:sz w:val="25"/>
                <w:szCs w:val="25"/>
              </w:rPr>
              <m:t>s</m:t>
            </m:r>
            <m:r>
              <w:rPr xmlns:w="http://schemas.openxmlformats.org/wordprocessingml/2006/main">
                <w:rFonts w:ascii="Cambria Math" w:hAnsi="Cambria Math"/>
                <w:i/>
                <w:color w:val="000000"/>
                <w:sz w:val="25"/>
                <w:szCs w:val="25"/>
              </w:rPr>
              <m:t>t</m:t>
            </m:r>
          </m:sub>
        </m:sSub>
        <m:r>
          <w:rPr xmlns:w="http://schemas.openxmlformats.org/wordprocessingml/2006/main">
            <w:rFonts w:ascii="Cambria Math" w:hAnsi="Cambria Math"/>
            <w:i/>
            <w:color w:val="000000"/>
            <w:sz w:val="25"/>
            <w:szCs w:val="25"/>
          </w:rPr>
          <m:t>=</m:t>
        </m:r>
        <m:rad>
          <m:radPr>
            <m:ctrlPr>
              <w:rPr xmlns:w="http://schemas.openxmlformats.org/wordprocessingml/2006/main">
                <w:rFonts w:ascii="Cambria Math" w:hAnsi="Cambria Math"/>
                <w:i/>
                <w:color w:val="000000"/>
                <w:sz w:val="25"/>
                <w:szCs w:val="25"/>
              </w:rPr>
            </m:ctrlPr>
            <m:degHide m:val="off"/>
          </m:radPr>
          <m:deg>
            <m:r>
              <w:rPr xmlns:w="http://schemas.openxmlformats.org/wordprocessingml/2006/main">
                <w:rFonts w:ascii="Cambria Math" w:hAnsi="Cambria Math"/>
                <w:i/>
                <w:color w:val="000000"/>
                <w:sz w:val="25"/>
                <w:szCs w:val="25"/>
              </w:rPr>
              <m:t>p</m:t>
            </m:r>
          </m:deg>
          <m:e>
            <m:limUpp>
              <m:e>
                <m:limLow>
                  <m:e>
                    <m:r>
                      <w:rPr xmlns:w="http://schemas.openxmlformats.org/wordprocessingml/2006/main">
                        <w:rFonts w:ascii="Cambria Math" w:hAnsi="Cambria Math"/>
                        <w:i/>
                        <w:color w:val="000000"/>
                        <w:sz w:val="25"/>
                        <w:szCs w:val="25"/>
                      </w:rPr>
                      <m:t>∑</m:t>
                    </m:r>
                  </m:e>
                  <m:lim>
                    <m:r>
                      <w:rPr xmlns:w="http://schemas.openxmlformats.org/wordprocessingml/2006/main">
                        <w:rFonts w:ascii="Cambria Math" w:hAnsi="Cambria Math"/>
                        <w:i/>
                        <w:color w:val="000000"/>
                        <w:sz w:val="25"/>
                        <w:szCs w:val="25"/>
                      </w:rPr>
                      <m:t>i</m:t>
                    </m:r>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1</m:t>
                    </m:r>
                  </m:lim>
                </m:limLow>
              </m:e>
              <m:lim>
                <m:r>
                  <w:rPr xmlns:w="http://schemas.openxmlformats.org/wordprocessingml/2006/main">
                    <w:rFonts w:ascii="Cambria Math" w:hAnsi="Cambria Math"/>
                    <w:i/>
                    <w:color w:val="000000"/>
                    <w:sz w:val="25"/>
                    <w:szCs w:val="25"/>
                  </w:rPr>
                  <m:t>n</m:t>
                </m:r>
              </m:lim>
            </m:limUpp>
            <m:r>
              <w:rPr xmlns:w="http://schemas.openxmlformats.org/wordprocessingml/2006/main">
                <w:rFonts w:ascii="Cambria Math" w:hAnsi="Cambria Math"/>
                <w:i/>
                <w:color w:val="000000"/>
                <w:sz w:val="25"/>
                <w:szCs w:val="25"/>
              </w:rPr>
              <m:t>|</m:t>
            </m:r>
            <m:sSub>
              <m:e>
                <m:r>
                  <w:rPr xmlns:w="http://schemas.openxmlformats.org/wordprocessingml/2006/main">
                    <w:rFonts w:ascii="Cambria Math" w:hAnsi="Cambria Math"/>
                    <w:i/>
                    <w:color w:val="000000"/>
                    <w:sz w:val="25"/>
                    <w:szCs w:val="25"/>
                  </w:rPr>
                  <m:t>x</m:t>
                </m:r>
              </m:e>
              <m:sub>
                <m:r>
                  <w:rPr xmlns:w="http://schemas.openxmlformats.org/wordprocessingml/2006/main">
                    <w:rFonts w:ascii="Cambria Math" w:hAnsi="Cambria Math"/>
                    <w:i/>
                    <w:color w:val="000000"/>
                    <w:sz w:val="25"/>
                    <w:szCs w:val="25"/>
                  </w:rPr>
                  <m:t>s</m:t>
                </m:r>
                <m:r>
                  <w:rPr xmlns:w="http://schemas.openxmlformats.org/wordprocessingml/2006/main">
                    <w:rFonts w:ascii="Cambria Math" w:hAnsi="Cambria Math"/>
                    <w:i/>
                    <w:color w:val="000000"/>
                    <w:sz w:val="25"/>
                    <w:szCs w:val="25"/>
                  </w:rPr>
                  <m:t>j</m:t>
                </m:r>
              </m:sub>
            </m:sSub>
            <m:r>
              <w:rPr xmlns:w="http://schemas.openxmlformats.org/wordprocessingml/2006/main">
                <w:rFonts w:ascii="Cambria Math" w:hAnsi="Cambria Math"/>
                <w:i/>
                <w:color w:val="000000"/>
                <w:sz w:val="25"/>
                <w:szCs w:val="25"/>
              </w:rPr>
              <m:t>-</m:t>
            </m:r>
            <m:sSub>
              <m:e>
                <m:r>
                  <w:rPr xmlns:w="http://schemas.openxmlformats.org/wordprocessingml/2006/main">
                    <w:rFonts w:ascii="Cambria Math" w:hAnsi="Cambria Math"/>
                    <w:i/>
                    <w:color w:val="000000"/>
                    <w:sz w:val="25"/>
                    <w:szCs w:val="25"/>
                  </w:rPr>
                  <m:t>y</m:t>
                </m:r>
              </m:e>
              <m:sub>
                <m:r>
                  <w:rPr xmlns:w="http://schemas.openxmlformats.org/wordprocessingml/2006/main">
                    <w:rFonts w:ascii="Cambria Math" w:hAnsi="Cambria Math"/>
                    <w:i/>
                    <w:color w:val="000000"/>
                    <w:sz w:val="25"/>
                    <w:szCs w:val="25"/>
                  </w:rPr>
                  <m:t>t</m:t>
                </m:r>
                <m:r>
                  <w:rPr xmlns:w="http://schemas.openxmlformats.org/wordprocessingml/2006/main">
                    <w:rFonts w:ascii="Cambria Math" w:hAnsi="Cambria Math"/>
                    <w:i/>
                    <w:color w:val="000000"/>
                    <w:sz w:val="25"/>
                    <w:szCs w:val="25"/>
                  </w:rPr>
                  <m:t>j</m:t>
                </m:r>
              </m:sub>
            </m:sSub>
            <m:sSup>
              <m:e>
                <m:r>
                  <w:rPr xmlns:w="http://schemas.openxmlformats.org/wordprocessingml/2006/main">
                    <w:rFonts w:ascii="Cambria Math" w:hAnsi="Cambria Math"/>
                    <w:i/>
                    <w:color w:val="000000"/>
                    <w:sz w:val="25"/>
                    <w:szCs w:val="25"/>
                  </w:rPr>
                  <m:t>|</m:t>
                </m:r>
              </m:e>
              <m:sup>
                <m:r>
                  <w:rPr xmlns:w="http://schemas.openxmlformats.org/wordprocessingml/2006/main">
                    <w:rFonts w:ascii="Cambria Math" w:hAnsi="Cambria Math"/>
                    <w:i/>
                    <w:color w:val="000000"/>
                    <w:sz w:val="25"/>
                    <w:szCs w:val="25"/>
                  </w:rPr>
                  <m:t>p</m:t>
                </m:r>
              </m:sup>
            </m:sSup>
          </m:e>
        </m:rad>
      </m:oMath>
      <w:r>
        <w:rPr>
          <w:rtl w:val="0"/>
        </w:rPr>
        <w:tab/>
        <w:tab/>
        <w:t>(4)</w:t>
      </w:r>
    </w:p>
    <w:p>
      <w:pPr>
        <w:pStyle w:val="Normal.0"/>
        <w:spacing w:line="240" w:lineRule="auto"/>
      </w:pPr>
      <w:r>
        <w:rPr>
          <w:rtl w:val="0"/>
          <w:lang w:val="en-US"/>
        </w:rPr>
        <w:t>Table 5.4 shows the domain</w:t>
      </w:r>
      <w:r>
        <w:rPr>
          <w:rtl w:val="0"/>
          <w:lang w:val="en-US"/>
        </w:rPr>
        <w:t>’</w:t>
      </w:r>
      <w:r>
        <w:rPr>
          <w:rtl w:val="0"/>
          <w:lang w:val="en-US"/>
        </w:rPr>
        <w:t>s feature (predictor) data of users and response data as class names representing the user</w:t>
      </w:r>
      <w:r>
        <w:rPr>
          <w:rtl w:val="0"/>
          <w:lang w:val="en-US"/>
        </w:rPr>
        <w:t>’</w:t>
      </w:r>
      <w:r>
        <w:rPr>
          <w:rtl w:val="0"/>
          <w:lang w:val="en-US"/>
        </w:rPr>
        <w:t>s knowledge level. Algorithm k</w:t>
      </w:r>
      <w:r>
        <w:rPr>
          <w:rtl w:val="0"/>
        </w:rPr>
        <w:t>-nn</w:t>
      </w:r>
      <w:r>
        <w:rPr>
          <w:rtl w:val="0"/>
          <w:lang w:val="en-US"/>
        </w:rPr>
        <w:t xml:space="preserve"> classifies the learner</w:t>
      </w:r>
      <w:r>
        <w:rPr>
          <w:rtl w:val="0"/>
          <w:lang w:val="en-US"/>
        </w:rPr>
        <w:t>’</w:t>
      </w:r>
      <w:r>
        <w:rPr>
          <w:rtl w:val="0"/>
          <w:lang w:val="en-US"/>
        </w:rPr>
        <w:t xml:space="preserve">s knowledge level (last column on the table) for the current topic </w:t>
      </w:r>
      <w:r>
        <w:rPr>
          <w:rtl w:val="0"/>
          <w:lang w:val="zh-CN" w:eastAsia="zh-CN"/>
        </w:rPr>
        <w:t>depending</w:t>
      </w:r>
      <w:r>
        <w:rPr>
          <w:rtl w:val="0"/>
          <w:lang w:val="en-US"/>
        </w:rPr>
        <w:t xml:space="preserve"> on the feature values given on first four columns in the table. As it is shown in Table 5.4 there four target class distributions: </w:t>
      </w:r>
      <w:r>
        <w:rPr>
          <w:i w:val="1"/>
          <w:iCs w:val="1"/>
          <w:rtl w:val="0"/>
          <w:lang w:val="en-US"/>
        </w:rPr>
        <w:t xml:space="preserve">Expert, Advanced, Intermediate </w:t>
      </w:r>
      <w:r>
        <w:rPr>
          <w:rtl w:val="0"/>
          <w:lang w:val="en-US"/>
        </w:rPr>
        <w:t>and</w:t>
      </w:r>
      <w:r>
        <w:rPr>
          <w:i w:val="1"/>
          <w:iCs w:val="1"/>
          <w:rtl w:val="0"/>
          <w:lang w:val="en-US"/>
        </w:rPr>
        <w:t xml:space="preserve"> Foundational</w:t>
      </w:r>
      <w:r>
        <w:rPr>
          <w:rtl w:val="0"/>
          <w:lang w:val="en-US"/>
        </w:rPr>
        <w:t xml:space="preserve">. </w:t>
      </w:r>
    </w:p>
    <w:p>
      <w:pPr>
        <w:pStyle w:val="H3"/>
        <w:numPr>
          <w:ilvl w:val="2"/>
          <w:numId w:val="2"/>
        </w:numPr>
        <w:outlineLvl w:val="0"/>
        <w:rPr>
          <w:lang w:val="en-US"/>
        </w:rPr>
      </w:pPr>
      <w:r>
        <w:rPr>
          <w:rtl w:val="0"/>
          <w:lang w:val="en-US"/>
        </w:rPr>
        <w:t xml:space="preserve"> Comparison of two given knowledge classification results</w:t>
      </w:r>
    </w:p>
    <w:p>
      <w:pPr>
        <w:pStyle w:val="Normal.0"/>
        <w:spacing w:line="240" w:lineRule="auto"/>
      </w:pPr>
      <w:r>
        <w:rPr>
          <w:rtl w:val="0"/>
          <w:lang w:val="en-US"/>
        </w:rPr>
        <w:t xml:space="preserve">We have used Matlab (software version MATLAB_R2015) classification learner APP which is Machine learning algorithm </w:t>
      </w:r>
      <w:r>
        <w:rPr>
          <w:rtl w:val="0"/>
          <w:lang w:val="en-US"/>
        </w:rPr>
        <w:t>“</w:t>
      </w:r>
      <w:r>
        <w:rPr>
          <w:rtl w:val="0"/>
          <w:lang w:val="en-US"/>
        </w:rPr>
        <w:t>Classification learner</w:t>
      </w:r>
      <w:r>
        <w:rPr>
          <w:rtl w:val="0"/>
          <w:lang w:val="en-US"/>
        </w:rPr>
        <w:t>”</w:t>
      </w:r>
      <w:r>
        <w:rPr>
          <w:rtl w:val="0"/>
          <w:lang w:val="en-US"/>
        </w:rPr>
        <w:t xml:space="preserve">. Classification accuracies of NBC and k-nn are discussed in this sub-section. For this purpose, dataset with 150 samples are used to train and validate the algorithms Table 5.5. </w:t>
      </w:r>
    </w:p>
    <w:p>
      <w:pPr>
        <w:pStyle w:val="Normal.0"/>
        <w:spacing w:line="240" w:lineRule="auto"/>
      </w:pPr>
      <w:r>
        <w:rPr>
          <w:b w:val="1"/>
          <w:bCs w:val="1"/>
          <w:rtl w:val="0"/>
          <w:lang w:val="en-US"/>
        </w:rPr>
        <w:t>Data preparation</w:t>
      </w:r>
      <w:r>
        <w:rPr>
          <w:rtl w:val="0"/>
          <w:lang w:val="en-US"/>
        </w:rPr>
        <w:t xml:space="preserve"> - Data types in feature set are all double type and the class vector values are in sting categorical data type.</w:t>
      </w:r>
    </w:p>
    <w:p>
      <w:pPr>
        <w:pStyle w:val="Normal.0"/>
        <w:spacing w:line="240" w:lineRule="auto"/>
      </w:pPr>
    </w:p>
    <w:p>
      <w:pPr>
        <w:pStyle w:val="Normal.0"/>
        <w:spacing w:line="240" w:lineRule="auto"/>
      </w:pPr>
      <w:r>
        <w:rPr>
          <w:rtl w:val="0"/>
          <w:lang w:val="en-US"/>
        </w:rPr>
        <w:t>The best results with 150 observations for k-nn are 97,3% and 96,7% accuracy on EU and MI respectively. These results were obtained with k value set with {5 and 6}. The</w:t>
      </w:r>
      <w:r>
        <w:rPr>
          <w:rtl w:val="0"/>
          <w:lang w:val="en-US"/>
        </w:rPr>
        <w:t xml:space="preserve"> best results </w:t>
      </w:r>
      <w:r>
        <w:rPr>
          <w:rtl w:val="0"/>
          <w:lang w:val="en-US"/>
        </w:rPr>
        <w:t>for</w:t>
      </w:r>
      <w:r>
        <w:rPr>
          <w:rtl w:val="0"/>
        </w:rPr>
        <w:t xml:space="preserve"> </w:t>
      </w:r>
      <w:r>
        <w:rPr>
          <w:rtl w:val="0"/>
          <w:lang w:val="en-US"/>
        </w:rPr>
        <w:t xml:space="preserve">NBC were 96%. </w:t>
      </w:r>
    </w:p>
    <w:p>
      <w:pPr>
        <w:pStyle w:val="Default"/>
        <w:spacing w:line="360" w:lineRule="auto"/>
        <w:ind w:firstLine="567"/>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Table 5 Comparing the performance of algorithms</w:t>
      </w:r>
    </w:p>
    <w:tbl>
      <w:tblPr>
        <w:tblW w:w="963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888"/>
        <w:gridCol w:w="1357"/>
        <w:gridCol w:w="1674"/>
        <w:gridCol w:w="3713"/>
      </w:tblGrid>
      <w:tr>
        <w:tblPrEx>
          <w:shd w:val="clear" w:color="auto" w:fill="auto"/>
        </w:tblPrEx>
        <w:trPr>
          <w:trHeight w:val="251" w:hRule="atLeast"/>
        </w:trPr>
        <w:tc>
          <w:tcPr>
            <w:tcW w:type="dxa" w:w="2888"/>
            <w:vMerge w:val="restart"/>
            <w:tcBorders>
              <w:top w:val="single" w:color="515151" w:sz="8" w:space="0" w:shadow="0" w:frame="0"/>
              <w:left w:val="single" w:color="515151" w:sz="8" w:space="0" w:shadow="0" w:frame="0"/>
              <w:bottom w:val="single" w:color="515151" w:sz="8" w:space="0" w:shadow="0" w:frame="0"/>
              <w:right w:val="single" w:color="515151" w:sz="8" w:space="0" w:shadow="0" w:frame="0"/>
            </w:tcBorders>
            <w:shd w:val="clear" w:color="auto" w:fill="d5d5d5"/>
            <w:tcMar>
              <w:top w:type="dxa" w:w="80"/>
              <w:left w:type="dxa" w:w="80"/>
              <w:bottom w:type="dxa" w:w="80"/>
              <w:right w:type="dxa" w:w="80"/>
            </w:tcMar>
            <w:vAlign w:val="center"/>
          </w:tcPr>
          <w:p>
            <w:pPr>
              <w:pStyle w:val="Table Style 2"/>
              <w:spacing w:before="80" w:line="216" w:lineRule="auto"/>
              <w:ind w:firstLine="113"/>
              <w:jc w:val="left"/>
            </w:pPr>
            <w:r>
              <w:rPr>
                <w:rFonts w:ascii="Times New Roman" w:hAnsi="Times New Roman"/>
                <w:b w:val="1"/>
                <w:bCs w:val="1"/>
                <w:sz w:val="22"/>
                <w:szCs w:val="22"/>
                <w:rtl w:val="0"/>
              </w:rPr>
              <w:t>Algorithm</w:t>
            </w:r>
          </w:p>
        </w:tc>
        <w:tc>
          <w:tcPr>
            <w:tcW w:type="dxa" w:w="3030"/>
            <w:gridSpan w:val="2"/>
            <w:tcBorders>
              <w:top w:val="single" w:color="515151" w:sz="8" w:space="0" w:shadow="0" w:frame="0"/>
              <w:left w:val="single" w:color="515151" w:sz="8" w:space="0" w:shadow="0" w:frame="0"/>
              <w:bottom w:val="single" w:color="515151" w:sz="8" w:space="0" w:shadow="0" w:frame="0"/>
              <w:right w:val="single" w:color="515151" w:sz="8" w:space="0" w:shadow="0" w:frame="0"/>
            </w:tcBorders>
            <w:shd w:val="clear" w:color="auto" w:fill="d5d5d5"/>
            <w:tcMar>
              <w:top w:type="dxa" w:w="80"/>
              <w:left w:type="dxa" w:w="80"/>
              <w:bottom w:type="dxa" w:w="80"/>
              <w:right w:type="dxa" w:w="80"/>
            </w:tcMar>
            <w:vAlign w:val="center"/>
          </w:tcPr>
          <w:p>
            <w:pPr>
              <w:pStyle w:val="Table Style 2"/>
              <w:spacing w:before="80" w:line="216" w:lineRule="auto"/>
              <w:ind w:firstLine="113"/>
              <w:jc w:val="center"/>
            </w:pPr>
            <w:r>
              <w:rPr>
                <w:rFonts w:ascii="Times New Roman" w:hAnsi="Times New Roman"/>
                <w:b w:val="1"/>
                <w:bCs w:val="1"/>
                <w:sz w:val="22"/>
                <w:szCs w:val="22"/>
                <w:rtl w:val="0"/>
              </w:rPr>
              <w:t>k-NN</w:t>
            </w:r>
          </w:p>
        </w:tc>
        <w:tc>
          <w:tcPr>
            <w:tcW w:type="dxa" w:w="3713"/>
            <w:vMerge w:val="restart"/>
            <w:tcBorders>
              <w:top w:val="single" w:color="515151" w:sz="8" w:space="0" w:shadow="0" w:frame="0"/>
              <w:left w:val="single" w:color="515151" w:sz="8" w:space="0" w:shadow="0" w:frame="0"/>
              <w:bottom w:val="single" w:color="515151" w:sz="8" w:space="0" w:shadow="0" w:frame="0"/>
              <w:right w:val="single" w:color="515151" w:sz="8" w:space="0" w:shadow="0" w:frame="0"/>
            </w:tcBorders>
            <w:shd w:val="clear" w:color="auto" w:fill="d5d5d5"/>
            <w:tcMar>
              <w:top w:type="dxa" w:w="80"/>
              <w:left w:type="dxa" w:w="80"/>
              <w:bottom w:type="dxa" w:w="80"/>
              <w:right w:type="dxa" w:w="80"/>
            </w:tcMar>
            <w:vAlign w:val="center"/>
          </w:tcPr>
          <w:p>
            <w:pPr>
              <w:pStyle w:val="Table Style 2"/>
              <w:spacing w:before="80" w:line="216" w:lineRule="auto"/>
              <w:ind w:firstLine="113"/>
              <w:jc w:val="center"/>
            </w:pPr>
            <w:r>
              <w:rPr>
                <w:rFonts w:ascii="Times New Roman" w:hAnsi="Times New Roman"/>
                <w:b w:val="1"/>
                <w:bCs w:val="1"/>
                <w:sz w:val="22"/>
                <w:szCs w:val="22"/>
                <w:rtl w:val="0"/>
              </w:rPr>
              <w:t>NBC</w:t>
            </w:r>
          </w:p>
        </w:tc>
      </w:tr>
      <w:tr>
        <w:tblPrEx>
          <w:shd w:val="clear" w:color="auto" w:fill="auto"/>
        </w:tblPrEx>
        <w:trPr>
          <w:trHeight w:val="251" w:hRule="atLeast"/>
        </w:trPr>
        <w:tc>
          <w:tcPr>
            <w:tcW w:type="dxa" w:w="2888"/>
            <w:vMerge w:val="continue"/>
            <w:tcBorders>
              <w:top w:val="single" w:color="515151" w:sz="8" w:space="0" w:shadow="0" w:frame="0"/>
              <w:left w:val="single" w:color="515151" w:sz="8" w:space="0" w:shadow="0" w:frame="0"/>
              <w:bottom w:val="single" w:color="515151" w:sz="8" w:space="0" w:shadow="0" w:frame="0"/>
              <w:right w:val="single" w:color="515151" w:sz="8" w:space="0" w:shadow="0" w:frame="0"/>
            </w:tcBorders>
            <w:shd w:val="clear" w:color="auto" w:fill="d5d5d5"/>
          </w:tcPr>
          <w:p/>
        </w:tc>
        <w:tc>
          <w:tcPr>
            <w:tcW w:type="dxa" w:w="1356"/>
            <w:tcBorders>
              <w:top w:val="single" w:color="515151" w:sz="8" w:space="0" w:shadow="0" w:frame="0"/>
              <w:left w:val="single" w:color="515151" w:sz="8" w:space="0" w:shadow="0" w:frame="0"/>
              <w:bottom w:val="single" w:color="515151" w:sz="8" w:space="0" w:shadow="0" w:frame="0"/>
              <w:right w:val="nil"/>
            </w:tcBorders>
            <w:shd w:val="clear" w:color="auto" w:fill="d5d5d5"/>
            <w:tcMar>
              <w:top w:type="dxa" w:w="80"/>
              <w:left w:type="dxa" w:w="80"/>
              <w:bottom w:type="dxa" w:w="80"/>
              <w:right w:type="dxa" w:w="80"/>
            </w:tcMar>
            <w:vAlign w:val="center"/>
          </w:tcPr>
          <w:p>
            <w:pPr>
              <w:pStyle w:val="Table Style 2"/>
              <w:spacing w:before="80" w:line="216" w:lineRule="auto"/>
              <w:ind w:firstLine="113"/>
              <w:jc w:val="center"/>
            </w:pPr>
            <w:r>
              <w:rPr>
                <w:rFonts w:ascii="Times New Roman" w:hAnsi="Times New Roman"/>
                <w:b w:val="1"/>
                <w:bCs w:val="1"/>
                <w:sz w:val="22"/>
                <w:szCs w:val="22"/>
                <w:rtl w:val="0"/>
              </w:rPr>
              <w:t>EU</w:t>
            </w:r>
            <w:r>
              <w:rPr>
                <w:rFonts w:ascii="Times New Roman" w:hAnsi="Times New Roman"/>
                <w:b w:val="1"/>
                <w:bCs w:val="1"/>
                <w:sz w:val="12"/>
                <w:szCs w:val="12"/>
                <w:rtl w:val="0"/>
                <w:lang w:val="en-US"/>
              </w:rPr>
              <w:t>k=5,6</w:t>
            </w:r>
          </w:p>
        </w:tc>
        <w:tc>
          <w:tcPr>
            <w:tcW w:type="dxa" w:w="1674"/>
            <w:tcBorders>
              <w:top w:val="single" w:color="515151" w:sz="8" w:space="0" w:shadow="0" w:frame="0"/>
              <w:left w:val="nil"/>
              <w:bottom w:val="single" w:color="515151" w:sz="8" w:space="0" w:shadow="0" w:frame="0"/>
              <w:right w:val="single" w:color="515151" w:sz="8" w:space="0" w:shadow="0" w:frame="0"/>
            </w:tcBorders>
            <w:shd w:val="clear" w:color="auto" w:fill="d5d5d5"/>
            <w:tcMar>
              <w:top w:type="dxa" w:w="80"/>
              <w:left w:type="dxa" w:w="80"/>
              <w:bottom w:type="dxa" w:w="80"/>
              <w:right w:type="dxa" w:w="80"/>
            </w:tcMar>
            <w:vAlign w:val="center"/>
          </w:tcPr>
          <w:p>
            <w:pPr>
              <w:pStyle w:val="Table Style 2"/>
              <w:spacing w:before="80" w:line="216" w:lineRule="auto"/>
              <w:ind w:firstLine="113"/>
              <w:jc w:val="center"/>
            </w:pPr>
            <w:r>
              <w:rPr>
                <w:rFonts w:ascii="Times New Roman" w:hAnsi="Times New Roman"/>
                <w:b w:val="1"/>
                <w:bCs w:val="1"/>
                <w:sz w:val="22"/>
                <w:szCs w:val="22"/>
                <w:rtl w:val="0"/>
              </w:rPr>
              <w:t>MI</w:t>
            </w:r>
            <w:r>
              <w:rPr>
                <w:rFonts w:ascii="Times New Roman" w:hAnsi="Times New Roman"/>
                <w:b w:val="1"/>
                <w:bCs w:val="1"/>
                <w:sz w:val="12"/>
                <w:szCs w:val="12"/>
                <w:rtl w:val="0"/>
                <w:lang w:val="en-US"/>
              </w:rPr>
              <w:t>k=5</w:t>
            </w:r>
          </w:p>
        </w:tc>
        <w:tc>
          <w:tcPr>
            <w:tcW w:type="dxa" w:w="3713"/>
            <w:vMerge w:val="continue"/>
            <w:tcBorders>
              <w:top w:val="single" w:color="515151" w:sz="8" w:space="0" w:shadow="0" w:frame="0"/>
              <w:left w:val="single" w:color="515151" w:sz="8" w:space="0" w:shadow="0" w:frame="0"/>
              <w:bottom w:val="single" w:color="515151" w:sz="8" w:space="0" w:shadow="0" w:frame="0"/>
              <w:right w:val="single" w:color="515151" w:sz="8" w:space="0" w:shadow="0" w:frame="0"/>
            </w:tcBorders>
            <w:shd w:val="clear" w:color="auto" w:fill="d5d5d5"/>
          </w:tcPr>
          <w:p/>
        </w:tc>
      </w:tr>
      <w:tr>
        <w:tblPrEx>
          <w:shd w:val="clear" w:color="auto" w:fill="auto"/>
        </w:tblPrEx>
        <w:trPr>
          <w:trHeight w:val="458" w:hRule="atLeast"/>
        </w:trPr>
        <w:tc>
          <w:tcPr>
            <w:tcW w:type="dxa" w:w="2888"/>
            <w:tcBorders>
              <w:top w:val="single" w:color="515151" w:sz="8" w:space="0" w:shadow="0" w:frame="0"/>
              <w:left w:val="single" w:color="515151" w:sz="8" w:space="0" w:shadow="0" w:frame="0"/>
              <w:bottom w:val="nil"/>
              <w:right w:val="single" w:color="515151" w:sz="8" w:space="0" w:shadow="0" w:frame="0"/>
            </w:tcBorders>
            <w:shd w:val="clear" w:color="auto" w:fill="auto"/>
            <w:tcMar>
              <w:top w:type="dxa" w:w="80"/>
              <w:left w:type="dxa" w:w="80"/>
              <w:bottom w:type="dxa" w:w="80"/>
              <w:right w:type="dxa" w:w="80"/>
            </w:tcMar>
            <w:vAlign w:val="top"/>
          </w:tcPr>
          <w:p>
            <w:pPr>
              <w:pStyle w:val="Table Style 2"/>
              <w:spacing w:before="80" w:line="216" w:lineRule="auto"/>
              <w:jc w:val="left"/>
            </w:pPr>
            <w:r>
              <w:rPr>
                <w:rFonts w:ascii="Times New Roman" w:hAnsi="Times New Roman"/>
                <w:b w:val="1"/>
                <w:bCs w:val="1"/>
                <w:sz w:val="22"/>
                <w:szCs w:val="22"/>
                <w:rtl w:val="0"/>
              </w:rPr>
              <w:t>Average number of misclassified observations</w:t>
            </w:r>
          </w:p>
        </w:tc>
        <w:tc>
          <w:tcPr>
            <w:tcW w:type="dxa" w:w="1356"/>
            <w:tcBorders>
              <w:top w:val="single" w:color="515151" w:sz="8" w:space="0" w:shadow="0" w:frame="0"/>
              <w:left w:val="single" w:color="515151" w:sz="8" w:space="0" w:shadow="0" w:frame="0"/>
              <w:bottom w:val="nil"/>
              <w:right w:val="nil"/>
            </w:tcBorders>
            <w:shd w:val="clear" w:color="auto" w:fill="auto"/>
            <w:tcMar>
              <w:top w:type="dxa" w:w="80"/>
              <w:left w:type="dxa" w:w="80"/>
              <w:bottom w:type="dxa" w:w="80"/>
              <w:right w:type="dxa" w:w="80"/>
            </w:tcMar>
            <w:vAlign w:val="center"/>
          </w:tcPr>
          <w:p>
            <w:pPr>
              <w:pStyle w:val="Table Style 2"/>
              <w:spacing w:before="80" w:line="216" w:lineRule="auto"/>
              <w:ind w:firstLine="113"/>
              <w:jc w:val="center"/>
            </w:pPr>
            <w:r>
              <w:rPr>
                <w:rFonts w:ascii="Times New Roman" w:hAnsi="Times New Roman"/>
                <w:b w:val="1"/>
                <w:bCs w:val="1"/>
                <w:sz w:val="22"/>
                <w:szCs w:val="22"/>
                <w:rtl w:val="0"/>
              </w:rPr>
              <w:t>4</w:t>
            </w:r>
          </w:p>
        </w:tc>
        <w:tc>
          <w:tcPr>
            <w:tcW w:type="dxa" w:w="1674"/>
            <w:tcBorders>
              <w:top w:val="single" w:color="515151" w:sz="8" w:space="0" w:shadow="0" w:frame="0"/>
              <w:left w:val="nil"/>
              <w:bottom w:val="nil"/>
              <w:right w:val="single" w:color="515151" w:sz="8" w:space="0" w:shadow="0" w:frame="0"/>
            </w:tcBorders>
            <w:shd w:val="clear" w:color="auto" w:fill="auto"/>
            <w:tcMar>
              <w:top w:type="dxa" w:w="80"/>
              <w:left w:type="dxa" w:w="80"/>
              <w:bottom w:type="dxa" w:w="80"/>
              <w:right w:type="dxa" w:w="80"/>
            </w:tcMar>
            <w:vAlign w:val="center"/>
          </w:tcPr>
          <w:p>
            <w:pPr>
              <w:pStyle w:val="Table Style 2"/>
              <w:spacing w:before="80" w:line="216" w:lineRule="auto"/>
              <w:ind w:firstLine="113"/>
              <w:jc w:val="center"/>
            </w:pPr>
            <w:r>
              <w:rPr>
                <w:rFonts w:ascii="Times New Roman" w:hAnsi="Times New Roman"/>
                <w:b w:val="1"/>
                <w:bCs w:val="1"/>
                <w:sz w:val="22"/>
                <w:szCs w:val="22"/>
                <w:rtl w:val="0"/>
              </w:rPr>
              <w:t>5</w:t>
            </w:r>
          </w:p>
        </w:tc>
        <w:tc>
          <w:tcPr>
            <w:tcW w:type="dxa" w:w="3713"/>
            <w:tcBorders>
              <w:top w:val="single" w:color="515151" w:sz="8" w:space="0" w:shadow="0" w:frame="0"/>
              <w:left w:val="single" w:color="515151" w:sz="8" w:space="0" w:shadow="0" w:frame="0"/>
              <w:bottom w:val="nil"/>
              <w:right w:val="single" w:color="515151" w:sz="8" w:space="0" w:shadow="0" w:frame="0"/>
            </w:tcBorders>
            <w:shd w:val="clear" w:color="auto" w:fill="auto"/>
            <w:tcMar>
              <w:top w:type="dxa" w:w="80"/>
              <w:left w:type="dxa" w:w="80"/>
              <w:bottom w:type="dxa" w:w="80"/>
              <w:right w:type="dxa" w:w="80"/>
            </w:tcMar>
            <w:vAlign w:val="center"/>
          </w:tcPr>
          <w:p>
            <w:pPr>
              <w:pStyle w:val="Table Style 2"/>
              <w:spacing w:before="80" w:line="216" w:lineRule="auto"/>
              <w:ind w:firstLine="113"/>
              <w:jc w:val="center"/>
            </w:pPr>
            <w:r>
              <w:rPr>
                <w:rFonts w:ascii="Times New Roman" w:hAnsi="Times New Roman"/>
                <w:b w:val="1"/>
                <w:bCs w:val="1"/>
                <w:sz w:val="22"/>
                <w:szCs w:val="22"/>
                <w:rtl w:val="0"/>
              </w:rPr>
              <w:t>6</w:t>
            </w:r>
          </w:p>
        </w:tc>
      </w:tr>
      <w:tr>
        <w:tblPrEx>
          <w:shd w:val="clear" w:color="auto" w:fill="auto"/>
        </w:tblPrEx>
        <w:trPr>
          <w:trHeight w:val="241" w:hRule="atLeast"/>
        </w:trPr>
        <w:tc>
          <w:tcPr>
            <w:tcW w:type="dxa" w:w="2888"/>
            <w:tcBorders>
              <w:top w:val="nil"/>
              <w:left w:val="single" w:color="515151" w:sz="8" w:space="0" w:shadow="0" w:frame="0"/>
              <w:bottom w:val="single" w:color="515151" w:sz="8" w:space="0" w:shadow="0" w:frame="0"/>
              <w:right w:val="single" w:color="515151" w:sz="8" w:space="0" w:shadow="0" w:frame="0"/>
            </w:tcBorders>
            <w:shd w:val="clear" w:color="auto" w:fill="auto"/>
            <w:tcMar>
              <w:top w:type="dxa" w:w="80"/>
              <w:left w:type="dxa" w:w="80"/>
              <w:bottom w:type="dxa" w:w="80"/>
              <w:right w:type="dxa" w:w="80"/>
            </w:tcMar>
            <w:vAlign w:val="top"/>
          </w:tcPr>
          <w:p>
            <w:pPr>
              <w:pStyle w:val="Table Style 2"/>
              <w:spacing w:before="80" w:line="216" w:lineRule="auto"/>
              <w:jc w:val="left"/>
            </w:pPr>
            <w:r>
              <w:rPr>
                <w:rFonts w:ascii="Times New Roman" w:hAnsi="Times New Roman"/>
                <w:b w:val="1"/>
                <w:bCs w:val="1"/>
                <w:sz w:val="22"/>
                <w:szCs w:val="22"/>
                <w:rtl w:val="0"/>
              </w:rPr>
              <w:t>Classification accuracy (%)</w:t>
            </w:r>
          </w:p>
        </w:tc>
        <w:tc>
          <w:tcPr>
            <w:tcW w:type="dxa" w:w="1356"/>
            <w:tcBorders>
              <w:top w:val="nil"/>
              <w:left w:val="single" w:color="515151" w:sz="8" w:space="0" w:shadow="0" w:frame="0"/>
              <w:bottom w:val="single" w:color="515151" w:sz="8" w:space="0" w:shadow="0" w:frame="0"/>
              <w:right w:val="nil"/>
            </w:tcBorders>
            <w:shd w:val="clear" w:color="auto" w:fill="auto"/>
            <w:tcMar>
              <w:top w:type="dxa" w:w="80"/>
              <w:left w:type="dxa" w:w="80"/>
              <w:bottom w:type="dxa" w:w="80"/>
              <w:right w:type="dxa" w:w="80"/>
            </w:tcMar>
            <w:vAlign w:val="center"/>
          </w:tcPr>
          <w:p>
            <w:pPr>
              <w:pStyle w:val="Table Style 2"/>
              <w:spacing w:before="80" w:line="216" w:lineRule="auto"/>
              <w:ind w:firstLine="113"/>
              <w:jc w:val="center"/>
            </w:pPr>
            <w:r>
              <w:rPr>
                <w:rFonts w:ascii="Times New Roman" w:hAnsi="Times New Roman"/>
                <w:b w:val="1"/>
                <w:bCs w:val="1"/>
                <w:sz w:val="22"/>
                <w:szCs w:val="22"/>
                <w:rtl w:val="0"/>
              </w:rPr>
              <w:t>97,3</w:t>
            </w:r>
          </w:p>
        </w:tc>
        <w:tc>
          <w:tcPr>
            <w:tcW w:type="dxa" w:w="1674"/>
            <w:tcBorders>
              <w:top w:val="nil"/>
              <w:left w:val="nil"/>
              <w:bottom w:val="single" w:color="515151" w:sz="8" w:space="0" w:shadow="0" w:frame="0"/>
              <w:right w:val="single" w:color="515151" w:sz="8" w:space="0" w:shadow="0" w:frame="0"/>
            </w:tcBorders>
            <w:shd w:val="clear" w:color="auto" w:fill="auto"/>
            <w:tcMar>
              <w:top w:type="dxa" w:w="80"/>
              <w:left w:type="dxa" w:w="80"/>
              <w:bottom w:type="dxa" w:w="80"/>
              <w:right w:type="dxa" w:w="80"/>
            </w:tcMar>
            <w:vAlign w:val="center"/>
          </w:tcPr>
          <w:p>
            <w:pPr>
              <w:pStyle w:val="Table Style 2"/>
              <w:spacing w:before="80" w:line="216" w:lineRule="auto"/>
              <w:ind w:firstLine="113"/>
              <w:jc w:val="center"/>
            </w:pPr>
            <w:r>
              <w:rPr>
                <w:rFonts w:ascii="Times New Roman" w:hAnsi="Times New Roman"/>
                <w:b w:val="1"/>
                <w:bCs w:val="1"/>
                <w:sz w:val="22"/>
                <w:szCs w:val="22"/>
                <w:rtl w:val="0"/>
              </w:rPr>
              <w:t>96,7</w:t>
            </w:r>
          </w:p>
        </w:tc>
        <w:tc>
          <w:tcPr>
            <w:tcW w:type="dxa" w:w="3713"/>
            <w:tcBorders>
              <w:top w:val="nil"/>
              <w:left w:val="single" w:color="515151" w:sz="8" w:space="0" w:shadow="0" w:frame="0"/>
              <w:bottom w:val="single" w:color="515151" w:sz="8" w:space="0" w:shadow="0" w:frame="0"/>
              <w:right w:val="single" w:color="515151" w:sz="8" w:space="0" w:shadow="0" w:frame="0"/>
            </w:tcBorders>
            <w:shd w:val="clear" w:color="auto" w:fill="auto"/>
            <w:tcMar>
              <w:top w:type="dxa" w:w="80"/>
              <w:left w:type="dxa" w:w="80"/>
              <w:bottom w:type="dxa" w:w="80"/>
              <w:right w:type="dxa" w:w="80"/>
            </w:tcMar>
            <w:vAlign w:val="center"/>
          </w:tcPr>
          <w:p>
            <w:pPr>
              <w:pStyle w:val="Table Style 2"/>
              <w:spacing w:before="80" w:line="216" w:lineRule="auto"/>
              <w:ind w:firstLine="113"/>
              <w:jc w:val="center"/>
            </w:pPr>
            <w:r>
              <w:rPr>
                <w:rFonts w:ascii="Times New Roman" w:hAnsi="Times New Roman"/>
                <w:b w:val="1"/>
                <w:bCs w:val="1"/>
                <w:sz w:val="22"/>
                <w:szCs w:val="22"/>
                <w:rtl w:val="0"/>
              </w:rPr>
              <w:t>96</w:t>
            </w:r>
          </w:p>
        </w:tc>
      </w:tr>
    </w:tbl>
    <w:p>
      <w:pPr>
        <w:pStyle w:val="Normal.0"/>
        <w:spacing w:line="240" w:lineRule="auto"/>
        <w:ind w:firstLine="283"/>
        <w:rPr>
          <w:sz w:val="22"/>
          <w:szCs w:val="22"/>
        </w:rPr>
      </w:pPr>
    </w:p>
    <w:p>
      <w:pPr>
        <w:pStyle w:val="Normal.0"/>
        <w:spacing w:line="240" w:lineRule="auto"/>
        <w:ind w:firstLine="283"/>
        <w:rPr>
          <w:sz w:val="22"/>
          <w:szCs w:val="22"/>
        </w:rPr>
      </w:pPr>
    </w:p>
    <w:p>
      <w:pPr>
        <w:pStyle w:val="Normal.0"/>
        <w:spacing w:line="240" w:lineRule="auto"/>
      </w:pPr>
      <w:r>
        <w:rPr>
          <w:rtl w:val="0"/>
          <w:lang w:val="en-US"/>
        </w:rPr>
        <w:t xml:space="preserve">During the experiment we have evaluated different options available to control the algorithm in order to obtain better results from classification methods. The distribution names of BNC have to be specified because of the predictors were all not similar, for example some of them were comma-separated pair values. When we train BN classifier model using Gaussian distribution for all predictor distributions the output of confusion matrix was 86,4% accuracy. Major misclassification area has occurred in predicting the </w:t>
      </w:r>
      <w:r>
        <w:rPr>
          <w:rtl w:val="0"/>
          <w:lang w:val="en-US"/>
        </w:rPr>
        <w:t>“</w:t>
      </w:r>
      <w:r>
        <w:rPr>
          <w:i w:val="1"/>
          <w:iCs w:val="1"/>
          <w:rtl w:val="0"/>
          <w:lang w:val="en-US"/>
        </w:rPr>
        <w:t>Foundation</w:t>
      </w:r>
      <w:r>
        <w:rPr>
          <w:rtl w:val="0"/>
          <w:lang w:val="en-US"/>
        </w:rPr>
        <w:t xml:space="preserve">” </w:t>
      </w:r>
      <w:r>
        <w:rPr>
          <w:rtl w:val="0"/>
          <w:lang w:val="en-US"/>
        </w:rPr>
        <w:t xml:space="preserve">as </w:t>
      </w:r>
      <w:r>
        <w:rPr>
          <w:rtl w:val="0"/>
          <w:lang w:val="en-US"/>
        </w:rPr>
        <w:t>“</w:t>
      </w:r>
      <w:r>
        <w:rPr>
          <w:i w:val="1"/>
          <w:iCs w:val="1"/>
          <w:rtl w:val="0"/>
          <w:lang w:val="en-US"/>
        </w:rPr>
        <w:t>Intermediate</w:t>
      </w:r>
      <w:r>
        <w:rPr>
          <w:rtl w:val="0"/>
          <w:lang w:val="en-US"/>
        </w:rPr>
        <w:t xml:space="preserve">” </w:t>
      </w:r>
      <w:r>
        <w:rPr>
          <w:rtl w:val="0"/>
          <w:lang w:val="en-US"/>
        </w:rPr>
        <w:t>knowledge level</w:t>
      </w:r>
      <w:r>
        <w:rPr>
          <w:rtl w:val="0"/>
          <w:lang w:val="en-US"/>
        </w:rPr>
        <w:t xml:space="preserve">. Since the misclassification of these two level of knowledge were not as significant as to consider for recommendation process, because in this adaptive learning system the content recommendation have more consideration to upper levels of knowledge. Then, we used comparison of cross validation and model generalisation error rate got better from 0.14 to 0.10. In addition, after opting the </w:t>
      </w:r>
      <w:r>
        <w:rPr>
          <w:i w:val="1"/>
          <w:iCs w:val="1"/>
          <w:rtl w:val="0"/>
          <w:lang w:val="en-US"/>
        </w:rPr>
        <w:t>kernel</w:t>
      </w:r>
      <w:r>
        <w:rPr>
          <w:rtl w:val="0"/>
          <w:lang w:val="en-US"/>
        </w:rPr>
        <w:t xml:space="preserve"> distribution with smoother type, we could improve the confusion matrix to about 96% accuracy.</w:t>
      </w:r>
    </w:p>
    <w:p>
      <w:pPr>
        <w:pStyle w:val="Normal.0"/>
        <w:spacing w:line="240" w:lineRule="auto"/>
      </w:pPr>
    </w:p>
    <w:p>
      <w:pPr>
        <w:pStyle w:val="Default"/>
        <w:spacing w:line="360" w:lineRule="auto"/>
        <w:ind w:firstLine="567"/>
        <w:jc w:val="center"/>
      </w:pPr>
      <w:r>
        <w:rPr>
          <w:rFonts w:ascii="Times New Roman" w:hAnsi="Times New Roman"/>
          <w:b w:val="1"/>
          <w:bCs w:val="1"/>
          <w:sz w:val="24"/>
          <w:szCs w:val="24"/>
          <w:rtl w:val="0"/>
          <w:lang w:val="en-US"/>
        </w:rPr>
        <w:t xml:space="preserve">   </w:t>
      </w:r>
    </w:p>
    <w:sectPr>
      <w:headerReference w:type="default" r:id="rId8"/>
      <w:footerReference w:type="default" r:id="rId9"/>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ind w:left="7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11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47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83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9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5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91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27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Bullet"/>
  </w:abstractNum>
  <w:abstractNum w:abstractNumId="3">
    <w:multiLevelType w:val="hybridMultilevel"/>
    <w:styleLink w:val="Bullet"/>
    <w:lvl w:ilvl="0">
      <w:start w:val="1"/>
      <w:numFmt w:val="bullet"/>
      <w:suff w:val="tab"/>
      <w:lvlText w:val="•"/>
      <w:lvlJc w:val="left"/>
      <w:pPr>
        <w:tabs>
          <w:tab w:val="num" w:pos="763"/>
        </w:tabs>
        <w:ind w:left="196" w:firstLine="371"/>
      </w:pPr>
      <w:rPr>
        <w:rFonts w:hAnsi="Arial Unicode MS"/>
        <w:caps w:val="0"/>
        <w:smallCaps w:val="0"/>
        <w:strike w:val="0"/>
        <w:dstrike w:val="0"/>
        <w:outline w:val="0"/>
        <w:emboss w:val="0"/>
        <w:imprint w:val="0"/>
        <w:spacing w:val="0"/>
        <w:w w:val="100"/>
        <w:kern w:val="0"/>
        <w:position w:val="-2"/>
        <w:highlight w:val="none"/>
        <w:vertAlign w:val="baseline"/>
      </w:rPr>
    </w:lvl>
    <w:lvl w:ilvl="1">
      <w:start w:val="1"/>
      <w:numFmt w:val="bullet"/>
      <w:suff w:val="tab"/>
      <w:lvlText w:val="•"/>
      <w:lvlJc w:val="left"/>
      <w:pPr>
        <w:tabs>
          <w:tab w:val="num" w:pos="943"/>
        </w:tabs>
        <w:ind w:left="376" w:firstLine="371"/>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tabs>
          <w:tab w:val="num" w:pos="1123"/>
        </w:tabs>
        <w:ind w:left="556" w:firstLine="371"/>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tabs>
          <w:tab w:val="num" w:pos="1303"/>
        </w:tabs>
        <w:ind w:left="736" w:firstLine="371"/>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tabs>
          <w:tab w:val="num" w:pos="1483"/>
        </w:tabs>
        <w:ind w:left="916" w:firstLine="371"/>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tabs>
          <w:tab w:val="num" w:pos="1663"/>
        </w:tabs>
        <w:ind w:left="1096" w:firstLine="371"/>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tabs>
          <w:tab w:val="num" w:pos="1843"/>
        </w:tabs>
        <w:ind w:left="1276" w:firstLine="371"/>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tabs>
          <w:tab w:val="num" w:pos="2023"/>
        </w:tabs>
        <w:ind w:left="1456" w:firstLine="371"/>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tabs>
          <w:tab w:val="num" w:pos="2203"/>
        </w:tabs>
        <w:ind w:left="1636" w:firstLine="371"/>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multiLevelType w:val="hybridMultilevel"/>
    <w:numStyleLink w:val="Dash"/>
  </w:abstractNum>
  <w:abstractNum w:abstractNumId="5">
    <w:multiLevelType w:val="hybridMultilevel"/>
    <w:styleLink w:val="Dash"/>
    <w:lvl w:ilvl="0">
      <w:start w:val="1"/>
      <w:numFmt w:val="bullet"/>
      <w:suff w:val="tab"/>
      <w:lvlText w:val="-"/>
      <w:lvlJc w:val="left"/>
      <w:pPr>
        <w:tabs>
          <w:tab w:val="num" w:pos="829"/>
        </w:tabs>
        <w:ind w:left="262" w:firstLine="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start w:val="1"/>
      <w:numFmt w:val="bullet"/>
      <w:suff w:val="tab"/>
      <w:lvlText w:val="-"/>
      <w:lvlJc w:val="left"/>
      <w:pPr>
        <w:tabs>
          <w:tab w:val="num" w:pos="1069"/>
        </w:tabs>
        <w:ind w:left="502" w:firstLine="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start w:val="1"/>
      <w:numFmt w:val="bullet"/>
      <w:suff w:val="tab"/>
      <w:lvlText w:val="-"/>
      <w:lvlJc w:val="left"/>
      <w:pPr>
        <w:tabs>
          <w:tab w:val="num" w:pos="1309"/>
        </w:tabs>
        <w:ind w:left="742" w:firstLine="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start w:val="1"/>
      <w:numFmt w:val="bullet"/>
      <w:suff w:val="tab"/>
      <w:lvlText w:val="-"/>
      <w:lvlJc w:val="left"/>
      <w:pPr>
        <w:tabs>
          <w:tab w:val="num" w:pos="1549"/>
        </w:tabs>
        <w:ind w:left="982" w:firstLine="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start w:val="1"/>
      <w:numFmt w:val="bullet"/>
      <w:suff w:val="tab"/>
      <w:lvlText w:val="-"/>
      <w:lvlJc w:val="left"/>
      <w:pPr>
        <w:tabs>
          <w:tab w:val="num" w:pos="1789"/>
        </w:tabs>
        <w:ind w:left="1222" w:firstLine="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start w:val="1"/>
      <w:numFmt w:val="bullet"/>
      <w:suff w:val="tab"/>
      <w:lvlText w:val="-"/>
      <w:lvlJc w:val="left"/>
      <w:pPr>
        <w:tabs>
          <w:tab w:val="num" w:pos="2029"/>
        </w:tabs>
        <w:ind w:left="1462" w:firstLine="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start w:val="1"/>
      <w:numFmt w:val="bullet"/>
      <w:suff w:val="tab"/>
      <w:lvlText w:val="-"/>
      <w:lvlJc w:val="left"/>
      <w:pPr>
        <w:tabs>
          <w:tab w:val="num" w:pos="2269"/>
        </w:tabs>
        <w:ind w:left="1702" w:firstLine="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start w:val="1"/>
      <w:numFmt w:val="bullet"/>
      <w:suff w:val="tab"/>
      <w:lvlText w:val="-"/>
      <w:lvlJc w:val="left"/>
      <w:pPr>
        <w:tabs>
          <w:tab w:val="num" w:pos="2509"/>
        </w:tabs>
        <w:ind w:left="1942" w:firstLine="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start w:val="1"/>
      <w:numFmt w:val="bullet"/>
      <w:suff w:val="tab"/>
      <w:lvlText w:val="-"/>
      <w:lvlJc w:val="left"/>
      <w:pPr>
        <w:tabs>
          <w:tab w:val="num" w:pos="2749"/>
        </w:tabs>
        <w:ind w:left="2182" w:firstLine="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1.%2."/>
        <w:lvlJc w:val="left"/>
        <w:pPr>
          <w:ind w:left="7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1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3.%4."/>
        <w:lvlJc w:val="left"/>
        <w:pPr>
          <w:ind w:left="147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3.%4.%5."/>
        <w:lvlJc w:val="left"/>
        <w:pPr>
          <w:ind w:left="183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3.%4.%5.%6."/>
        <w:lvlJc w:val="left"/>
        <w:pPr>
          <w:ind w:left="219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3.%4.%5.%6.%7."/>
        <w:lvlJc w:val="left"/>
        <w:pPr>
          <w:ind w:left="255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3.%4.%5.%6.%7.%8."/>
        <w:lvlJc w:val="left"/>
        <w:pPr>
          <w:ind w:left="291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3.%4.%5.%6.%7.%8.%9."/>
        <w:lvlJc w:val="left"/>
        <w:pPr>
          <w:ind w:left="327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start w:val="1"/>
        <w:numFmt w:val="decimal"/>
        <w:suff w:val="tab"/>
        <w:lvlText w:val="%1."/>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1.%2."/>
        <w:lvlJc w:val="left"/>
        <w:pPr>
          <w:ind w:left="7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11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47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83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19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55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91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3273" w:hanging="393"/>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Override>
  </w:num>
  <w:num w:numId="5">
    <w:abstractNumId w:val="3"/>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1">
    <w:name w:val="H1"/>
    <w:next w:val="H1"/>
    <w:pPr>
      <w:keepNext w:val="0"/>
      <w:keepLines w:val="0"/>
      <w:pageBreakBefore w:val="0"/>
      <w:widowControl w:val="1"/>
      <w:shd w:val="clear" w:color="auto" w:fill="auto"/>
      <w:suppressAutoHyphens w:val="0"/>
      <w:bidi w:val="0"/>
      <w:spacing w:before="80" w:after="120" w:line="120" w:lineRule="atLeast"/>
      <w:ind w:left="0" w:right="0" w:firstLine="0"/>
      <w:jc w:val="left"/>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28"/>
      <w:szCs w:val="28"/>
      <w:u w:val="none"/>
      <w:shd w:val="clear" w:color="auto" w:fill="ffffff"/>
      <w:vertAlign w:val="baseline"/>
      <w14:textOutline>
        <w14:noFill/>
      </w14:textOutline>
      <w14:textFill>
        <w14:solidFill>
          <w14:srgbClr w14:val="000000"/>
        </w14:solidFill>
      </w14:textFill>
    </w:rPr>
  </w:style>
  <w:style w:type="numbering" w:styleId="Numbered">
    <w:name w:val="Numbered"/>
    <w:pPr>
      <w:numPr>
        <w:numId w:val="1"/>
      </w:numPr>
    </w:pPr>
  </w:style>
  <w:style w:type="paragraph" w:styleId="H2">
    <w:name w:val="H2"/>
    <w:next w:val="H2"/>
    <w:pPr>
      <w:keepNext w:val="0"/>
      <w:keepLines w:val="0"/>
      <w:pageBreakBefore w:val="0"/>
      <w:widowControl w:val="1"/>
      <w:shd w:val="clear" w:color="auto" w:fill="auto"/>
      <w:suppressAutoHyphens w:val="0"/>
      <w:bidi w:val="0"/>
      <w:spacing w:before="160" w:after="12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vertAlign w:val="baseline"/>
      <w:lang w:val="en-US"/>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360" w:lineRule="auto"/>
      <w:ind w:left="0" w:right="0" w:firstLine="567"/>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vertAlign w:val="baseline"/>
      <w:lang w:val="en-US"/>
      <w14:textOutline>
        <w14:noFill/>
      </w14:textOutline>
      <w14:textFill>
        <w14:solidFill>
          <w14:srgbClr w14:val="000000"/>
        </w14:solidFill>
      </w14:textFill>
    </w:rPr>
  </w:style>
  <w:style w:type="paragraph" w:styleId="Caption">
    <w:name w:val="Caption"/>
    <w:next w:val="Caption"/>
    <w:pPr>
      <w:keepNext w:val="0"/>
      <w:keepLines w:val="0"/>
      <w:pageBreakBefore w:val="0"/>
      <w:widowControl w:val="1"/>
      <w:shd w:val="clear" w:color="auto" w:fill="auto"/>
      <w:tabs>
        <w:tab w:val="left" w:pos="1150"/>
      </w:tabs>
      <w:suppressAutoHyphens w:val="0"/>
      <w:bidi w:val="0"/>
      <w:spacing w:before="0" w:after="0" w:line="240" w:lineRule="auto"/>
      <w:ind w:left="0" w:right="0" w:firstLine="0"/>
      <w:jc w:val="left"/>
      <w:outlineLvl w:val="9"/>
    </w:pPr>
    <w:rPr>
      <w:rFonts w:ascii="Helvetica Neue" w:cs="Helvetica Neue" w:hAnsi="Helvetica Neue" w:eastAsia="Helvetica Neue"/>
      <w:b w:val="1"/>
      <w:bCs w:val="1"/>
      <w:i w:val="0"/>
      <w:iCs w:val="0"/>
      <w:caps w:val="0"/>
      <w:smallCaps w:val="0"/>
      <w:strike w:val="0"/>
      <w:dstrike w:val="0"/>
      <w:outline w:val="0"/>
      <w:color w:val="000000"/>
      <w:spacing w:val="0"/>
      <w:kern w:val="0"/>
      <w:position w:val="0"/>
      <w:sz w:val="20"/>
      <w:szCs w:val="20"/>
      <w:u w:val="none"/>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14:textOutline>
        <w14:noFill/>
      </w14:textOutline>
      <w14:textFill>
        <w14:solidFill>
          <w14:srgbClr w14:val="000000"/>
        </w14:solidFill>
      </w14:textFill>
    </w:rPr>
  </w:style>
  <w:style w:type="paragraph" w:styleId="Table Style 3">
    <w:name w:val="Table Style 3"/>
    <w:next w:val="Table Style 3"/>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1"/>
      <w:bCs w:val="1"/>
      <w:i w:val="0"/>
      <w:iCs w:val="0"/>
      <w:caps w:val="0"/>
      <w:smallCaps w:val="0"/>
      <w:strike w:val="0"/>
      <w:dstrike w:val="0"/>
      <w:outline w:val="0"/>
      <w:color w:val="fefffe"/>
      <w:spacing w:val="0"/>
      <w:kern w:val="0"/>
      <w:position w:val="0"/>
      <w:sz w:val="20"/>
      <w:szCs w:val="20"/>
      <w:u w:val="none"/>
      <w:vertAlign w:val="baseline"/>
      <w14:textOutline>
        <w14:noFill/>
      </w14:textOutline>
      <w14:textFill>
        <w14:solidFill>
          <w14:srgbClr w14:val="FFFFFF"/>
        </w14:solidFill>
      </w14:textFill>
    </w:rPr>
  </w:style>
  <w:style w:type="paragraph" w:styleId="H3">
    <w:name w:val="H3"/>
    <w:next w:val="H3"/>
    <w:pPr>
      <w:keepNext w:val="0"/>
      <w:keepLines w:val="0"/>
      <w:pageBreakBefore w:val="0"/>
      <w:widowControl w:val="1"/>
      <w:shd w:val="clear" w:color="auto" w:fill="auto"/>
      <w:suppressAutoHyphens w:val="0"/>
      <w:bidi w:val="0"/>
      <w:spacing w:before="160" w:after="120" w:line="240" w:lineRule="auto"/>
      <w:ind w:left="0" w:right="0" w:firstLine="0"/>
      <w:jc w:val="left"/>
      <w:outlineLvl w:val="9"/>
    </w:pP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24"/>
      <w:szCs w:val="24"/>
      <w:u w:val="none"/>
      <w:vertAlign w:val="baseline"/>
      <w:lang w:val="en-US"/>
      <w14:textOutline>
        <w14:noFill/>
      </w14:textOutline>
      <w14:textFill>
        <w14:solidFill>
          <w14:srgbClr w14:val="000000"/>
        </w14:solidFill>
      </w14:textFill>
    </w:rPr>
  </w:style>
  <w:style w:type="numbering" w:styleId="Bullet">
    <w:name w:val="Bullet"/>
    <w:pPr>
      <w:numPr>
        <w:numId w:val="5"/>
      </w:numPr>
    </w:p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vertAlign w:val="baseline"/>
      <w14:textOutline>
        <w14:noFill/>
      </w14:textOutline>
      <w14:textFill>
        <w14:solidFill>
          <w14:srgbClr w14:val="000000"/>
        </w14:solidFill>
      </w14:textFill>
    </w:rPr>
  </w:style>
  <w:style w:type="numbering" w:styleId="Dash">
    <w:name w:val="Dash"/>
    <w:pPr>
      <w:numPr>
        <w:numId w:val="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359999" algn="just" defTabSz="457200" rtl="0" fontAlgn="auto" latinLnBrk="0" hangingPunct="0">
          <a:lnSpc>
            <a:spcPct val="15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