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4CA6B" w14:textId="77777777" w:rsidR="00CF4769" w:rsidRPr="00CF4769" w:rsidRDefault="00CF4769" w:rsidP="00CF4769">
      <w:pPr>
        <w:rPr>
          <w:b/>
          <w:bCs/>
        </w:rPr>
      </w:pPr>
      <w:r w:rsidRPr="00CF4769">
        <w:rPr>
          <w:b/>
          <w:bCs/>
        </w:rPr>
        <w:t>Response to Editorial Comments – Reference Corrections</w:t>
      </w:r>
    </w:p>
    <w:p w14:paraId="1A3DD3ED" w14:textId="77777777" w:rsidR="00101578" w:rsidRDefault="00101578" w:rsidP="00CF4769"/>
    <w:p w14:paraId="0D84FD09" w14:textId="77777777" w:rsidR="00756796" w:rsidRPr="00756796" w:rsidRDefault="00756796" w:rsidP="00756796">
      <w:r w:rsidRPr="00756796">
        <w:t>This document includes the revised reference list with all necessary corrections, as requested during the proof stage.</w:t>
      </w:r>
    </w:p>
    <w:p w14:paraId="41EBFE4A" w14:textId="77777777" w:rsidR="00756796" w:rsidRPr="00756796" w:rsidRDefault="00756796" w:rsidP="00756796">
      <w:r w:rsidRPr="00756796">
        <w:t>All references cited in the manuscript text have been carefully reviewed and verified. Missing references that were cited in the text have now been added to the reference list.</w:t>
      </w:r>
    </w:p>
    <w:p w14:paraId="15872351" w14:textId="77777777" w:rsidR="00756796" w:rsidRPr="00756796" w:rsidRDefault="00756796" w:rsidP="00756796">
      <w:r w:rsidRPr="00756796">
        <w:t>References that were present in the reference list but not cited in the manuscript (e.g., Ref. [11, 19, 23, 43, 45, 46, 51, 56, 59]) have been removed directly within the proof system to ensure full consistency between in-text citations and the reference list.</w:t>
      </w:r>
    </w:p>
    <w:p w14:paraId="7C62AA5F" w14:textId="77777777" w:rsidR="00756796" w:rsidRPr="00756796" w:rsidRDefault="00756796" w:rsidP="00756796">
      <w:r w:rsidRPr="00756796">
        <w:t>Due to limited access to editing functionalities for inserting and adjusting all references within the proof system, the remaining corrections (including added references and citation adjustments) are provided in this document for implementation.</w:t>
      </w:r>
    </w:p>
    <w:p w14:paraId="702EF772" w14:textId="77777777" w:rsidR="00756796" w:rsidRPr="00756796" w:rsidRDefault="00756796" w:rsidP="00756796">
      <w:r w:rsidRPr="00756796">
        <w:t>Additionally, minor corrections have been made to ensure accurate identification of authors’ family names and proper citation formatting (e.g., correction of “Ahmed et al. (2024)” to “Bedaiwy (2024)”).</w:t>
      </w:r>
    </w:p>
    <w:p w14:paraId="54D7B0D9" w14:textId="77777777" w:rsidR="00756796" w:rsidRPr="00756796" w:rsidRDefault="00756796" w:rsidP="00756796">
      <w:r w:rsidRPr="00756796">
        <w:t>For clarity, all corrected or newly added references and corresponding in-text citations have been highlighted using color for ease of identification.</w:t>
      </w:r>
    </w:p>
    <w:p w14:paraId="71A845FA" w14:textId="77777777" w:rsidR="00756796" w:rsidRPr="00756796" w:rsidRDefault="00756796" w:rsidP="00756796">
      <w:r w:rsidRPr="00756796">
        <w:t>All changes have been implemented in accordance with the journal’s requirements.</w:t>
      </w:r>
    </w:p>
    <w:p w14:paraId="30892D62" w14:textId="77777777" w:rsidR="00CF4769" w:rsidRDefault="00CF4769" w:rsidP="002124EF">
      <w:pPr>
        <w:rPr>
          <w:i/>
          <w:iCs/>
        </w:rPr>
      </w:pPr>
    </w:p>
    <w:p w14:paraId="282658E9" w14:textId="77777777" w:rsidR="00756796" w:rsidRDefault="00756796" w:rsidP="002124EF">
      <w:pPr>
        <w:rPr>
          <w:i/>
          <w:iCs/>
        </w:rPr>
      </w:pPr>
    </w:p>
    <w:p w14:paraId="43615413" w14:textId="1AC5C7A8" w:rsidR="002124EF" w:rsidRPr="002124EF" w:rsidRDefault="002124EF" w:rsidP="002124EF">
      <w:pPr>
        <w:rPr>
          <w:i/>
          <w:iCs/>
        </w:rPr>
      </w:pPr>
      <w:r w:rsidRPr="002124EF">
        <w:rPr>
          <w:i/>
          <w:iCs/>
        </w:rPr>
        <w:t>Reference: Reference [</w:t>
      </w:r>
      <w:r w:rsidRPr="002124EF">
        <w:rPr>
          <w:i/>
          <w:iCs/>
          <w:highlight w:val="green"/>
        </w:rPr>
        <w:t>Fazan</w:t>
      </w:r>
      <w:r w:rsidRPr="002124EF">
        <w:rPr>
          <w:i/>
          <w:iCs/>
        </w:rPr>
        <w:t xml:space="preserve"> et al. 2024, Holmes et al. 2021, Schöbel et al. 2023, Hashmi and Bal 2024, PRISMA 2020, Al-Shabandar et al. 2024, Garcia-Salirrosas </w:t>
      </w:r>
      <w:r w:rsidR="00A27962" w:rsidRPr="00756796">
        <w:rPr>
          <w:i/>
          <w:iCs/>
          <w:highlight w:val="yellow"/>
        </w:rPr>
        <w:t xml:space="preserve">and </w:t>
      </w:r>
      <w:r w:rsidR="00A27962" w:rsidRPr="00756796">
        <w:rPr>
          <w:highlight w:val="yellow"/>
        </w:rPr>
        <w:t>Millones</w:t>
      </w:r>
      <w:r w:rsidR="00A27962" w:rsidRPr="00756796">
        <w:rPr>
          <w:i/>
          <w:iCs/>
          <w:highlight w:val="yellow"/>
        </w:rPr>
        <w:t xml:space="preserve"> </w:t>
      </w:r>
      <w:r w:rsidRPr="002124EF">
        <w:rPr>
          <w:i/>
          <w:iCs/>
          <w:highlight w:val="yellow"/>
        </w:rPr>
        <w:t>2022</w:t>
      </w:r>
      <w:r w:rsidRPr="002124EF">
        <w:rPr>
          <w:i/>
          <w:iCs/>
        </w:rPr>
        <w:t xml:space="preserve">, Zhang, Jantakoon, and Laoha’s 2025, Shoval 2025, </w:t>
      </w:r>
      <w:r w:rsidR="00A27962" w:rsidRPr="00756796">
        <w:rPr>
          <w:highlight w:val="cyan"/>
        </w:rPr>
        <w:t>Möller</w:t>
      </w:r>
      <w:r w:rsidR="00A27962" w:rsidRPr="002124EF">
        <w:rPr>
          <w:i/>
          <w:iCs/>
        </w:rPr>
        <w:t xml:space="preserve"> </w:t>
      </w:r>
      <w:r w:rsidRPr="002124EF">
        <w:rPr>
          <w:i/>
          <w:iCs/>
        </w:rPr>
        <w:t xml:space="preserve">et al. 2024, </w:t>
      </w:r>
      <w:r w:rsidRPr="002124EF">
        <w:rPr>
          <w:i/>
          <w:iCs/>
          <w:highlight w:val="lightGray"/>
        </w:rPr>
        <w:t>Ahmed</w:t>
      </w:r>
      <w:r w:rsidRPr="002124EF">
        <w:rPr>
          <w:i/>
          <w:iCs/>
        </w:rPr>
        <w:t xml:space="preserve"> et al. 2024] was mentioned in the manuscript; however, this was not included in the reference list. As a rule, all mentioned references should be present in the reference list. Please provide the reference details to be inserted in the reference list and ensure that all references are in alphabetical order.</w:t>
      </w:r>
    </w:p>
    <w:p w14:paraId="57AD29CA" w14:textId="711B7877" w:rsidR="00D764C5" w:rsidRDefault="00D764C5"/>
    <w:p w14:paraId="0ED62E1A" w14:textId="41640C6D" w:rsidR="000D6B88" w:rsidRDefault="002124EF">
      <w:r>
        <w:t xml:space="preserve">Fazan et al. (2024) should be corrected in the text as </w:t>
      </w:r>
      <w:r w:rsidRPr="00CF4769">
        <w:rPr>
          <w:highlight w:val="green"/>
        </w:rPr>
        <w:t>Faizan et al. (2025</w:t>
      </w:r>
      <w:r>
        <w:t>):</w:t>
      </w:r>
    </w:p>
    <w:p w14:paraId="0B1589F7" w14:textId="77777777" w:rsidR="00A301CC" w:rsidRDefault="000D6B88" w:rsidP="000D6B88">
      <w:pPr>
        <w:pStyle w:val="ListParagraph"/>
        <w:numPr>
          <w:ilvl w:val="0"/>
          <w:numId w:val="1"/>
        </w:numPr>
      </w:pPr>
      <w:r w:rsidRPr="00CF4769">
        <w:rPr>
          <w:highlight w:val="green"/>
        </w:rPr>
        <w:t>Faizan</w:t>
      </w:r>
      <w:r w:rsidRPr="000D6B88">
        <w:t xml:space="preserve"> ul Haq, F., Asim, M., Suki, N. M., Zakaria, N., &amp; Hussain, S. (2025). </w:t>
      </w:r>
      <w:r w:rsidRPr="00A301CC">
        <w:rPr>
          <w:i/>
          <w:iCs/>
        </w:rPr>
        <w:t>AI adoption and educational effectiveness in emerging higher education institutions: The moderating role of digital literacy and institutional support</w:t>
      </w:r>
      <w:r w:rsidRPr="000D6B88">
        <w:t>. Journal of Information &amp; Knowledge Management.</w:t>
      </w:r>
      <w:r w:rsidRPr="000D6B88">
        <w:t xml:space="preserve"> </w:t>
      </w:r>
      <w:hyperlink r:id="rId5" w:history="1">
        <w:r w:rsidRPr="004C1C3E">
          <w:rPr>
            <w:rStyle w:val="Hyperlink"/>
          </w:rPr>
          <w:t>https://dx.doi.org/10.1142/S021964922550090X</w:t>
        </w:r>
      </w:hyperlink>
    </w:p>
    <w:p w14:paraId="7B8F7311" w14:textId="69367AA8" w:rsidR="00A301CC" w:rsidRDefault="000D6B88" w:rsidP="00A301CC">
      <w:pPr>
        <w:pStyle w:val="ListParagraph"/>
        <w:numPr>
          <w:ilvl w:val="0"/>
          <w:numId w:val="1"/>
        </w:numPr>
      </w:pPr>
      <w:r w:rsidRPr="00D764C5">
        <w:t xml:space="preserve">Holmes, W., Bialik, M., &amp; Fadel, C. (2021). </w:t>
      </w:r>
      <w:r w:rsidRPr="00A301CC">
        <w:rPr>
          <w:i/>
          <w:iCs/>
        </w:rPr>
        <w:t>Artificial intelligence in education: Promises and implications for teaching and learning</w:t>
      </w:r>
      <w:r w:rsidRPr="00D764C5">
        <w:t xml:space="preserve">. Center for Curriculum Redesign. </w:t>
      </w:r>
      <w:hyperlink r:id="rId6" w:history="1">
        <w:r w:rsidR="002124EF" w:rsidRPr="004C1C3E">
          <w:rPr>
            <w:rStyle w:val="Hyperlink"/>
          </w:rPr>
          <w:t>https://www.scirp.org/reference/referencespapers?referenceid=4060853</w:t>
        </w:r>
      </w:hyperlink>
    </w:p>
    <w:p w14:paraId="73CFB969" w14:textId="781E8558" w:rsidR="002124EF" w:rsidRDefault="002124EF" w:rsidP="002124EF">
      <w:pPr>
        <w:pStyle w:val="ListParagraph"/>
        <w:numPr>
          <w:ilvl w:val="0"/>
          <w:numId w:val="1"/>
        </w:numPr>
      </w:pPr>
      <w:r w:rsidRPr="00111F2B">
        <w:t>Schöbel et al. 2023</w:t>
      </w:r>
      <w:r>
        <w:t xml:space="preserve"> please replaced as </w:t>
      </w:r>
      <w:r>
        <w:t>follows in</w:t>
      </w:r>
      <w:r>
        <w:t xml:space="preserve"> the text : </w:t>
      </w:r>
    </w:p>
    <w:p w14:paraId="24CD815A" w14:textId="77777777" w:rsidR="002124EF" w:rsidRDefault="002124EF" w:rsidP="002124EF">
      <w:pPr>
        <w:pStyle w:val="ListParagraph"/>
      </w:pPr>
    </w:p>
    <w:p w14:paraId="0308D4F4" w14:textId="509FFD84" w:rsidR="002124EF" w:rsidRDefault="002124EF" w:rsidP="002124EF">
      <w:pPr>
        <w:pStyle w:val="ListParagraph"/>
      </w:pPr>
      <w:r>
        <w:t>Please remove from the text:</w:t>
      </w:r>
    </w:p>
    <w:p w14:paraId="04DE4606" w14:textId="45EE73E9" w:rsidR="002124EF" w:rsidRPr="002124EF" w:rsidRDefault="002124EF" w:rsidP="002124EF">
      <w:pPr>
        <w:pStyle w:val="ListParagraph"/>
        <w:rPr>
          <w:rFonts w:ascii="Times New Roman" w:hAnsi="Times New Roman" w:cs="Times New Roman"/>
        </w:rPr>
      </w:pPr>
      <w:r>
        <w:t xml:space="preserve"> </w:t>
      </w:r>
      <w:r w:rsidRPr="002124EF">
        <w:rPr>
          <w:rFonts w:ascii="Times New Roman" w:hAnsi="Times New Roman" w:cs="Times New Roman"/>
        </w:rPr>
        <w:t>Moreover, Schöbel et al. (2023) noted three possible advantages and five major obstacles for the use of ChatGPT in higher education, including worries about plagiarism, a lack of regulations, and its effect on critical thinking , and please</w:t>
      </w:r>
    </w:p>
    <w:p w14:paraId="387B470A" w14:textId="77777777" w:rsidR="002124EF" w:rsidRDefault="002124EF" w:rsidP="002124EF">
      <w:pPr>
        <w:pStyle w:val="ListParagraph"/>
        <w:rPr>
          <w:rFonts w:ascii="Times New Roman" w:hAnsi="Times New Roman" w:cs="Times New Roman"/>
        </w:rPr>
      </w:pPr>
    </w:p>
    <w:p w14:paraId="5E30FC31" w14:textId="7AE82FB6" w:rsidR="002124EF" w:rsidRPr="002124EF" w:rsidRDefault="002124EF" w:rsidP="002124EF">
      <w:pPr>
        <w:pStyle w:val="ListParagraph"/>
        <w:rPr>
          <w:rFonts w:ascii="Times New Roman" w:hAnsi="Times New Roman" w:cs="Times New Roman"/>
        </w:rPr>
      </w:pPr>
      <w:r w:rsidRPr="002124EF">
        <w:rPr>
          <w:rFonts w:ascii="Times New Roman" w:hAnsi="Times New Roman" w:cs="Times New Roman"/>
        </w:rPr>
        <w:t>replace with:</w:t>
      </w:r>
    </w:p>
    <w:p w14:paraId="62B32ACE" w14:textId="77777777" w:rsidR="002124EF" w:rsidRDefault="002124EF" w:rsidP="002124EF">
      <w:pPr>
        <w:pStyle w:val="ListParagraph"/>
      </w:pPr>
    </w:p>
    <w:p w14:paraId="1847D47C" w14:textId="6C611017" w:rsidR="002124EF" w:rsidRDefault="002124EF" w:rsidP="002124EF">
      <w:pPr>
        <w:pStyle w:val="ListParagraph"/>
      </w:pPr>
      <w:r w:rsidRPr="00F37E66">
        <w:t>Shuhaiber et al. (2024)</w:t>
      </w:r>
      <w:r>
        <w:t xml:space="preserve"> has</w:t>
      </w:r>
      <w:r w:rsidRPr="00F37E66">
        <w:t xml:space="preserve"> shown that trust, performance expectancy, effort expectancy, and hedonic motivation are significant factors for students’ attitude and usage of ChatGPT in higher education settings.</w:t>
      </w:r>
    </w:p>
    <w:p w14:paraId="133D028E" w14:textId="77777777" w:rsidR="002124EF" w:rsidRDefault="002124EF" w:rsidP="002124EF">
      <w:pPr>
        <w:pStyle w:val="ListParagraph"/>
      </w:pPr>
    </w:p>
    <w:p w14:paraId="16AF6ACC" w14:textId="0E7E02C5" w:rsidR="002124EF" w:rsidRDefault="002124EF" w:rsidP="002124EF">
      <w:pPr>
        <w:pStyle w:val="ListParagraph"/>
      </w:pPr>
      <w:r>
        <w:t>APA:</w:t>
      </w:r>
    </w:p>
    <w:p w14:paraId="62A0CE1A" w14:textId="77777777" w:rsidR="002124EF" w:rsidRDefault="002124EF" w:rsidP="002124EF">
      <w:pPr>
        <w:pStyle w:val="ListParagraph"/>
      </w:pPr>
      <w:r w:rsidRPr="00A301CC">
        <w:t xml:space="preserve">Shuhaiber, A., Kuhail, M. A., &amp; Salman, S. (2025). </w:t>
      </w:r>
      <w:r w:rsidRPr="002124EF">
        <w:rPr>
          <w:i/>
          <w:iCs/>
        </w:rPr>
        <w:t>ChatGPT in higher education: A student’s perspective</w:t>
      </w:r>
      <w:r w:rsidRPr="00A301CC">
        <w:t xml:space="preserve">. </w:t>
      </w:r>
      <w:r w:rsidRPr="002124EF">
        <w:t>Computers in Human Behavior Reports, 17</w:t>
      </w:r>
      <w:r w:rsidRPr="00A301CC">
        <w:t xml:space="preserve">, 100565. </w:t>
      </w:r>
      <w:hyperlink r:id="rId7" w:history="1">
        <w:r w:rsidRPr="004C1C3E">
          <w:rPr>
            <w:rStyle w:val="Hyperlink"/>
          </w:rPr>
          <w:t>https://doi.org/10.1016/j.chbr.2024.100565</w:t>
        </w:r>
      </w:hyperlink>
    </w:p>
    <w:p w14:paraId="7023FBE2" w14:textId="77777777" w:rsidR="002124EF" w:rsidRDefault="002124EF" w:rsidP="002124EF">
      <w:pPr>
        <w:pStyle w:val="ListParagraph"/>
      </w:pPr>
    </w:p>
    <w:p w14:paraId="2BBA35A6" w14:textId="77777777" w:rsidR="00A301CC" w:rsidRDefault="00F37E66" w:rsidP="00A301CC">
      <w:pPr>
        <w:pStyle w:val="ListParagraph"/>
        <w:numPr>
          <w:ilvl w:val="0"/>
          <w:numId w:val="1"/>
        </w:numPr>
      </w:pPr>
      <w:r w:rsidRPr="00F37E66">
        <w:t xml:space="preserve">Hashmi, N., &amp; Bal, A. S. (2024). </w:t>
      </w:r>
      <w:r w:rsidRPr="00A301CC">
        <w:rPr>
          <w:i/>
          <w:iCs/>
        </w:rPr>
        <w:t>Generative AI in higher education and beyond</w:t>
      </w:r>
      <w:r w:rsidRPr="00F37E66">
        <w:t xml:space="preserve">. </w:t>
      </w:r>
      <w:r w:rsidRPr="002124EF">
        <w:t>Business Horizons, 67</w:t>
      </w:r>
      <w:r w:rsidRPr="00F37E66">
        <w:t>(5), 607–614.</w:t>
      </w:r>
      <w:r w:rsidRPr="00F37E66">
        <w:t xml:space="preserve"> </w:t>
      </w:r>
      <w:hyperlink r:id="rId8" w:history="1">
        <w:r w:rsidRPr="004C1C3E">
          <w:rPr>
            <w:rStyle w:val="Hyperlink"/>
          </w:rPr>
          <w:t>https://doi.org/10.1016/j.bushor.2024.05.005</w:t>
        </w:r>
      </w:hyperlink>
    </w:p>
    <w:p w14:paraId="1CB8F767" w14:textId="3F2C90C2" w:rsidR="00D764C5" w:rsidRDefault="00D764C5" w:rsidP="00A301CC">
      <w:pPr>
        <w:pStyle w:val="ListParagraph"/>
        <w:numPr>
          <w:ilvl w:val="0"/>
          <w:numId w:val="1"/>
        </w:numPr>
      </w:pPr>
      <w:r w:rsidRPr="00D764C5">
        <w:t xml:space="preserve">Page, M. J. et al. (2021). </w:t>
      </w:r>
      <w:r w:rsidRPr="00A301CC">
        <w:rPr>
          <w:i/>
          <w:iCs/>
        </w:rPr>
        <w:t>The PRISMA 2020 statement</w:t>
      </w:r>
      <w:r w:rsidRPr="00D764C5">
        <w:t>. BMJ.</w:t>
      </w:r>
      <w:r>
        <w:t xml:space="preserve"> </w:t>
      </w:r>
      <w:hyperlink r:id="rId9" w:history="1">
        <w:r w:rsidRPr="004C1C3E">
          <w:rPr>
            <w:rStyle w:val="Hyperlink"/>
          </w:rPr>
          <w:t>https://www.bmj.com/content/372/bmj.n71</w:t>
        </w:r>
      </w:hyperlink>
    </w:p>
    <w:p w14:paraId="360738FF" w14:textId="77777777" w:rsidR="00A27962" w:rsidRDefault="00A27962" w:rsidP="00A27962">
      <w:pPr>
        <w:pStyle w:val="ListParagraph"/>
        <w:numPr>
          <w:ilvl w:val="0"/>
          <w:numId w:val="1"/>
        </w:numPr>
      </w:pPr>
      <w:r>
        <w:t>Please delete from the text:</w:t>
      </w:r>
    </w:p>
    <w:p w14:paraId="4E2254EB" w14:textId="77777777" w:rsidR="00A27962" w:rsidRDefault="00A27962" w:rsidP="00A27962">
      <w:pPr>
        <w:pStyle w:val="ListParagraph"/>
      </w:pPr>
      <w:r w:rsidRPr="00111F2B">
        <w:t>Al-Shabandar et al. 2024</w:t>
      </w:r>
    </w:p>
    <w:p w14:paraId="2F038B64" w14:textId="77777777" w:rsidR="00A27962" w:rsidRDefault="00A27962" w:rsidP="00A27962">
      <w:pPr>
        <w:pStyle w:val="ListParagraph"/>
      </w:pPr>
    </w:p>
    <w:p w14:paraId="5FEC32D2" w14:textId="77777777" w:rsidR="00A301CC" w:rsidRDefault="00A301CC" w:rsidP="00A301CC">
      <w:pPr>
        <w:pStyle w:val="ListParagraph"/>
        <w:numPr>
          <w:ilvl w:val="0"/>
          <w:numId w:val="1"/>
        </w:numPr>
      </w:pPr>
      <w:r w:rsidRPr="00C176FF">
        <w:t xml:space="preserve">García-Salirrosas, E. E., &amp; </w:t>
      </w:r>
      <w:r w:rsidRPr="00756796">
        <w:rPr>
          <w:highlight w:val="yellow"/>
        </w:rPr>
        <w:t>Millones</w:t>
      </w:r>
      <w:r w:rsidRPr="00C176FF">
        <w:t xml:space="preserve">, D. Y. (2022). </w:t>
      </w:r>
      <w:r w:rsidRPr="00A301CC">
        <w:rPr>
          <w:i/>
          <w:iCs/>
        </w:rPr>
        <w:t>E-Teach performance: A scale to evaluate teaching performance in virtual environments in higher education programs for adults</w:t>
      </w:r>
      <w:r w:rsidRPr="00C176FF">
        <w:t xml:space="preserve">. In </w:t>
      </w:r>
      <w:r w:rsidRPr="00A27962">
        <w:t>2022 10th International Conference on Information and Education Technology (ICIET).</w:t>
      </w:r>
      <w:r w:rsidRPr="00C176FF">
        <w:t xml:space="preserve"> https://doi.org/10.1109/ICIET55102.2022.9779014</w:t>
      </w:r>
    </w:p>
    <w:p w14:paraId="6D3C86A5" w14:textId="77777777" w:rsidR="00A301CC" w:rsidRDefault="00A301CC" w:rsidP="00A301CC">
      <w:pPr>
        <w:pStyle w:val="ListParagraph"/>
        <w:numPr>
          <w:ilvl w:val="0"/>
          <w:numId w:val="1"/>
        </w:numPr>
      </w:pPr>
      <w:r w:rsidRPr="00470D74">
        <w:t>Zhang, J., Jantakoon, T., &amp; Laoha, R. (2025). Meta-Analysis of Artificial Intelligence in Education. </w:t>
      </w:r>
      <w:r w:rsidRPr="00A301CC">
        <w:rPr>
          <w:i/>
          <w:iCs/>
        </w:rPr>
        <w:t>Higher Education Studies</w:t>
      </w:r>
      <w:r w:rsidRPr="00470D74">
        <w:t>, </w:t>
      </w:r>
      <w:r w:rsidRPr="00A301CC">
        <w:rPr>
          <w:i/>
          <w:iCs/>
        </w:rPr>
        <w:t>15</w:t>
      </w:r>
      <w:r w:rsidRPr="00470D74">
        <w:t xml:space="preserve">(2), 189-210. </w:t>
      </w:r>
      <w:hyperlink r:id="rId10" w:history="1">
        <w:r w:rsidRPr="004C1C3E">
          <w:rPr>
            <w:rStyle w:val="Hyperlink"/>
          </w:rPr>
          <w:t>https://doi.org/10.5539/hes.v15n2p189</w:t>
        </w:r>
      </w:hyperlink>
    </w:p>
    <w:p w14:paraId="671E4E69" w14:textId="77777777" w:rsidR="00A301CC" w:rsidRDefault="00A301CC" w:rsidP="00A301CC">
      <w:pPr>
        <w:pStyle w:val="ListParagraph"/>
        <w:numPr>
          <w:ilvl w:val="0"/>
          <w:numId w:val="1"/>
        </w:numPr>
      </w:pPr>
      <w:r w:rsidRPr="00BA04BA">
        <w:t>Hadar Shoval, D. (2025). Artificial intelligence in higher education: Bridging or widening the gap for diverse student populations?. </w:t>
      </w:r>
      <w:r w:rsidRPr="00A301CC">
        <w:rPr>
          <w:i/>
          <w:iCs/>
        </w:rPr>
        <w:t>Education Sciences</w:t>
      </w:r>
      <w:r w:rsidRPr="00BA04BA">
        <w:t>, </w:t>
      </w:r>
      <w:r w:rsidRPr="00A301CC">
        <w:rPr>
          <w:i/>
          <w:iCs/>
        </w:rPr>
        <w:t>15</w:t>
      </w:r>
      <w:r w:rsidRPr="00BA04BA">
        <w:t xml:space="preserve">(5), 637. </w:t>
      </w:r>
      <w:hyperlink r:id="rId11" w:history="1">
        <w:r w:rsidRPr="004C1C3E">
          <w:rPr>
            <w:rStyle w:val="Hyperlink"/>
          </w:rPr>
          <w:t>https://doi.org/10.3390/educsci15050637</w:t>
        </w:r>
      </w:hyperlink>
    </w:p>
    <w:p w14:paraId="22ED518D" w14:textId="77777777" w:rsidR="00A301CC" w:rsidRDefault="00A301CC" w:rsidP="00A301CC">
      <w:pPr>
        <w:pStyle w:val="ListParagraph"/>
        <w:numPr>
          <w:ilvl w:val="0"/>
          <w:numId w:val="1"/>
        </w:numPr>
      </w:pPr>
      <w:r w:rsidRPr="00756796">
        <w:rPr>
          <w:highlight w:val="cyan"/>
        </w:rPr>
        <w:t>Möller</w:t>
      </w:r>
      <w:r w:rsidRPr="00C176FF">
        <w:t>, M., Nirmal, G., Fabietti, D., Stierstorfer, Q., Zakhvatkin, M., Sommerfeld, H., &amp; Schütt, S. (2024). Revolutionising distance learning: A comparative study of learning progress with AI-driven tutoring. </w:t>
      </w:r>
      <w:r w:rsidRPr="00A301CC">
        <w:rPr>
          <w:i/>
          <w:iCs/>
        </w:rPr>
        <w:t>arXiv preprint arXiv:2403.14642</w:t>
      </w:r>
      <w:r w:rsidRPr="00C176FF">
        <w:t xml:space="preserve">. </w:t>
      </w:r>
      <w:hyperlink r:id="rId12" w:history="1">
        <w:r w:rsidRPr="004C1C3E">
          <w:rPr>
            <w:rStyle w:val="Hyperlink"/>
          </w:rPr>
          <w:t>https://arxiv.org/abs/2403.14642</w:t>
        </w:r>
      </w:hyperlink>
    </w:p>
    <w:p w14:paraId="71E100E5" w14:textId="6F7F6263" w:rsidR="00A301CC" w:rsidRDefault="00A301CC" w:rsidP="002124EF">
      <w:pPr>
        <w:pStyle w:val="ListParagraph"/>
        <w:numPr>
          <w:ilvl w:val="0"/>
          <w:numId w:val="1"/>
        </w:numPr>
      </w:pPr>
      <w:r w:rsidRPr="00756796">
        <w:rPr>
          <w:highlight w:val="lightGray"/>
        </w:rPr>
        <w:t>Bedaiwy</w:t>
      </w:r>
      <w:r w:rsidRPr="00470D74">
        <w:t>, A. A. A. (2024). EFL Faculty Members' and Students' Perceptions of the Use of Artificial Intelligence Applications in Teaching English Language in University. </w:t>
      </w:r>
      <w:r w:rsidRPr="00A301CC">
        <w:rPr>
          <w:i/>
          <w:iCs/>
        </w:rPr>
        <w:t>Egyptian Journal of Educational Sciences</w:t>
      </w:r>
      <w:r w:rsidRPr="00470D74">
        <w:t>, </w:t>
      </w:r>
      <w:r w:rsidRPr="00A301CC">
        <w:rPr>
          <w:i/>
          <w:iCs/>
        </w:rPr>
        <w:t>4</w:t>
      </w:r>
      <w:r w:rsidRPr="00470D74">
        <w:t>(2), 85-122.</w:t>
      </w:r>
      <w:r w:rsidR="00101578" w:rsidRPr="00101578">
        <w:t xml:space="preserve"> </w:t>
      </w:r>
      <w:r w:rsidR="00101578" w:rsidRPr="00101578">
        <w:t>https://doi.org/10.21608/ejes.2024.413505</w:t>
      </w:r>
    </w:p>
    <w:p w14:paraId="28737AFF" w14:textId="5967362D" w:rsidR="002124EF" w:rsidRDefault="002124EF">
      <w:r w:rsidRPr="002124EF">
        <w:t>The citation “</w:t>
      </w:r>
      <w:r w:rsidRPr="00756796">
        <w:rPr>
          <w:highlight w:val="lightGray"/>
        </w:rPr>
        <w:t>Ahmed</w:t>
      </w:r>
      <w:r w:rsidRPr="002124EF">
        <w:t xml:space="preserve"> et al. (2024)” should be corrected to “Bedaiwy (2024),” as “Bedaiwy” is the correct family name, while “Ahmed” is part of the given name.</w:t>
      </w:r>
    </w:p>
    <w:p w14:paraId="67BC9AA9" w14:textId="77777777" w:rsidR="00F37E66" w:rsidRDefault="00F37E66"/>
    <w:p w14:paraId="1096F1BA" w14:textId="77777777" w:rsidR="002124EF" w:rsidRDefault="002124EF"/>
    <w:sectPr w:rsidR="002124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D0825"/>
    <w:multiLevelType w:val="hybridMultilevel"/>
    <w:tmpl w:val="3A6EF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91475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F2B"/>
    <w:rsid w:val="000D6B88"/>
    <w:rsid w:val="00101578"/>
    <w:rsid w:val="00111F2B"/>
    <w:rsid w:val="002124EF"/>
    <w:rsid w:val="002F7BE1"/>
    <w:rsid w:val="00470D74"/>
    <w:rsid w:val="004B5A04"/>
    <w:rsid w:val="00696AA9"/>
    <w:rsid w:val="00756796"/>
    <w:rsid w:val="00756ACC"/>
    <w:rsid w:val="009F28F8"/>
    <w:rsid w:val="00A26328"/>
    <w:rsid w:val="00A27962"/>
    <w:rsid w:val="00A301CC"/>
    <w:rsid w:val="00A3679E"/>
    <w:rsid w:val="00B21386"/>
    <w:rsid w:val="00BA04BA"/>
    <w:rsid w:val="00C176FF"/>
    <w:rsid w:val="00CF4769"/>
    <w:rsid w:val="00D764C5"/>
    <w:rsid w:val="00E50A63"/>
    <w:rsid w:val="00ED0ED3"/>
    <w:rsid w:val="00F37E66"/>
    <w:rsid w:val="00F70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10C4D"/>
  <w15:chartTrackingRefBased/>
  <w15:docId w15:val="{E5B1E66A-529B-464B-B700-210718998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1F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11F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1F2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11F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11F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11F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1F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1F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1F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F2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11F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1F2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1F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1F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1F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1F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1F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1F2B"/>
    <w:rPr>
      <w:rFonts w:eastAsiaTheme="majorEastAsia" w:cstheme="majorBidi"/>
      <w:color w:val="272727" w:themeColor="text1" w:themeTint="D8"/>
    </w:rPr>
  </w:style>
  <w:style w:type="paragraph" w:styleId="Title">
    <w:name w:val="Title"/>
    <w:basedOn w:val="Normal"/>
    <w:next w:val="Normal"/>
    <w:link w:val="TitleChar"/>
    <w:uiPriority w:val="10"/>
    <w:qFormat/>
    <w:rsid w:val="00111F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1F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1F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1F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1F2B"/>
    <w:pPr>
      <w:spacing w:before="160"/>
      <w:jc w:val="center"/>
    </w:pPr>
    <w:rPr>
      <w:i/>
      <w:iCs/>
      <w:color w:val="404040" w:themeColor="text1" w:themeTint="BF"/>
    </w:rPr>
  </w:style>
  <w:style w:type="character" w:customStyle="1" w:styleId="QuoteChar">
    <w:name w:val="Quote Char"/>
    <w:basedOn w:val="DefaultParagraphFont"/>
    <w:link w:val="Quote"/>
    <w:uiPriority w:val="29"/>
    <w:rsid w:val="00111F2B"/>
    <w:rPr>
      <w:i/>
      <w:iCs/>
      <w:color w:val="404040" w:themeColor="text1" w:themeTint="BF"/>
    </w:rPr>
  </w:style>
  <w:style w:type="paragraph" w:styleId="ListParagraph">
    <w:name w:val="List Paragraph"/>
    <w:basedOn w:val="Normal"/>
    <w:uiPriority w:val="34"/>
    <w:qFormat/>
    <w:rsid w:val="00111F2B"/>
    <w:pPr>
      <w:ind w:left="720"/>
      <w:contextualSpacing/>
    </w:pPr>
  </w:style>
  <w:style w:type="character" w:styleId="IntenseEmphasis">
    <w:name w:val="Intense Emphasis"/>
    <w:basedOn w:val="DefaultParagraphFont"/>
    <w:uiPriority w:val="21"/>
    <w:qFormat/>
    <w:rsid w:val="00111F2B"/>
    <w:rPr>
      <w:i/>
      <w:iCs/>
      <w:color w:val="2F5496" w:themeColor="accent1" w:themeShade="BF"/>
    </w:rPr>
  </w:style>
  <w:style w:type="paragraph" w:styleId="IntenseQuote">
    <w:name w:val="Intense Quote"/>
    <w:basedOn w:val="Normal"/>
    <w:next w:val="Normal"/>
    <w:link w:val="IntenseQuoteChar"/>
    <w:uiPriority w:val="30"/>
    <w:qFormat/>
    <w:rsid w:val="00111F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1F2B"/>
    <w:rPr>
      <w:i/>
      <w:iCs/>
      <w:color w:val="2F5496" w:themeColor="accent1" w:themeShade="BF"/>
    </w:rPr>
  </w:style>
  <w:style w:type="character" w:styleId="IntenseReference">
    <w:name w:val="Intense Reference"/>
    <w:basedOn w:val="DefaultParagraphFont"/>
    <w:uiPriority w:val="32"/>
    <w:qFormat/>
    <w:rsid w:val="00111F2B"/>
    <w:rPr>
      <w:b/>
      <w:bCs/>
      <w:smallCaps/>
      <w:color w:val="2F5496" w:themeColor="accent1" w:themeShade="BF"/>
      <w:spacing w:val="5"/>
    </w:rPr>
  </w:style>
  <w:style w:type="character" w:styleId="Hyperlink">
    <w:name w:val="Hyperlink"/>
    <w:basedOn w:val="DefaultParagraphFont"/>
    <w:uiPriority w:val="99"/>
    <w:unhideWhenUsed/>
    <w:rsid w:val="00D764C5"/>
    <w:rPr>
      <w:color w:val="0563C1" w:themeColor="hyperlink"/>
      <w:u w:val="single"/>
    </w:rPr>
  </w:style>
  <w:style w:type="character" w:styleId="UnresolvedMention">
    <w:name w:val="Unresolved Mention"/>
    <w:basedOn w:val="DefaultParagraphFont"/>
    <w:uiPriority w:val="99"/>
    <w:semiHidden/>
    <w:unhideWhenUsed/>
    <w:rsid w:val="00D764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bushor.2024.05.00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16/j.chbr.2024.100565" TargetMode="External"/><Relationship Id="rId12" Type="http://schemas.openxmlformats.org/officeDocument/2006/relationships/hyperlink" Target="https://arxiv.org/abs/2403.146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rp.org/reference/referencespapers?referenceid=4060853" TargetMode="External"/><Relationship Id="rId11" Type="http://schemas.openxmlformats.org/officeDocument/2006/relationships/hyperlink" Target="https://doi.org/10.3390/educsci15050637" TargetMode="External"/><Relationship Id="rId5" Type="http://schemas.openxmlformats.org/officeDocument/2006/relationships/hyperlink" Target="https://dx.doi.org/10.1142/S021964922550090X" TargetMode="External"/><Relationship Id="rId10" Type="http://schemas.openxmlformats.org/officeDocument/2006/relationships/hyperlink" Target="https://doi.org/10.5539/hes.v15n2p189" TargetMode="External"/><Relationship Id="rId4" Type="http://schemas.openxmlformats.org/officeDocument/2006/relationships/webSettings" Target="webSettings.xml"/><Relationship Id="rId9" Type="http://schemas.openxmlformats.org/officeDocument/2006/relationships/hyperlink" Target="https://www.bmj.com/content/372/bmj.n7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2</Pages>
  <Words>811</Words>
  <Characters>4627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9</cp:revision>
  <dcterms:created xsi:type="dcterms:W3CDTF">2026-03-17T20:19:00Z</dcterms:created>
  <dcterms:modified xsi:type="dcterms:W3CDTF">2026-03-17T23:42:00Z</dcterms:modified>
</cp:coreProperties>
</file>