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88C4" w14:textId="77777777" w:rsidR="0064489A" w:rsidRDefault="0064489A" w:rsidP="0064489A">
      <w:pPr>
        <w:rPr>
          <w:lang w:val="en-US"/>
        </w:rPr>
      </w:pPr>
      <w:r>
        <w:rPr>
          <w:lang w:val="en-US"/>
        </w:rPr>
        <w:t xml:space="preserve">APPENDIX A    MORPHOLOGICAL EQUILIBRIUM </w:t>
      </w:r>
    </w:p>
    <w:p w14:paraId="000782A0" w14:textId="77777777" w:rsidR="0064489A" w:rsidRPr="00917BA3" w:rsidRDefault="0064489A" w:rsidP="0064489A">
      <w:pPr>
        <w:rPr>
          <w:lang w:val="en-US"/>
        </w:rPr>
      </w:pPr>
      <w:r w:rsidRPr="00917BA3">
        <w:rPr>
          <w:lang w:val="en-US"/>
        </w:rPr>
        <w:t>If the morphology of a tidal inlet system is only defined by the volumes of three morphological elements</w:t>
      </w:r>
      <w:r>
        <w:rPr>
          <w:lang w:val="en-US"/>
        </w:rPr>
        <w:t xml:space="preserve"> (delta, channel, flat),</w:t>
      </w:r>
      <w:r w:rsidRPr="00917BA3">
        <w:rPr>
          <w:lang w:val="en-US"/>
        </w:rPr>
        <w:t xml:space="preserve"> only the tidal range in the back-barrier basin and the tidal prism are needed to define the morphological equilibrium state. Tidal basins in the Wadden Sea are relatively </w:t>
      </w:r>
      <w:proofErr w:type="gramStart"/>
      <w:r w:rsidRPr="00917BA3">
        <w:rPr>
          <w:lang w:val="en-US"/>
        </w:rPr>
        <w:t>small in size</w:t>
      </w:r>
      <w:proofErr w:type="gramEnd"/>
      <w:r w:rsidRPr="00917BA3">
        <w:rPr>
          <w:lang w:val="en-US"/>
        </w:rPr>
        <w:t xml:space="preserve"> with respect to the tidal wavelength. </w:t>
      </w:r>
      <w:bookmarkStart w:id="0" w:name="_Hlk127352229"/>
      <w:r>
        <w:rPr>
          <w:lang w:val="en-US"/>
        </w:rPr>
        <w:t>I</w:t>
      </w:r>
      <w:r w:rsidRPr="00917BA3">
        <w:rPr>
          <w:lang w:val="en-US"/>
        </w:rPr>
        <w:t xml:space="preserve">t is </w:t>
      </w:r>
      <w:r>
        <w:rPr>
          <w:lang w:val="en-US"/>
        </w:rPr>
        <w:t xml:space="preserve">then </w:t>
      </w:r>
      <w:r w:rsidRPr="00917BA3">
        <w:rPr>
          <w:lang w:val="en-US"/>
        </w:rPr>
        <w:t xml:space="preserve">acceptable to use the water volume between </w:t>
      </w:r>
      <w:r>
        <w:rPr>
          <w:lang w:val="en-US"/>
        </w:rPr>
        <w:t>HW</w:t>
      </w:r>
      <w:r w:rsidRPr="00917BA3">
        <w:rPr>
          <w:lang w:val="en-US"/>
        </w:rPr>
        <w:t xml:space="preserve"> and </w:t>
      </w:r>
      <w:r>
        <w:rPr>
          <w:lang w:val="en-US"/>
        </w:rPr>
        <w:t xml:space="preserve">LW </w:t>
      </w:r>
      <w:r w:rsidRPr="00917BA3">
        <w:rPr>
          <w:lang w:val="en-US"/>
        </w:rPr>
        <w:t>for the tidal prism:</w:t>
      </w:r>
    </w:p>
    <w:p w14:paraId="3B2AE92D" w14:textId="31D2EE56" w:rsidR="0064489A" w:rsidRPr="00917BA3" w:rsidRDefault="00277259" w:rsidP="0064489A">
      <w:pPr>
        <w:jc w:val="right"/>
        <w:rPr>
          <w:lang w:val="en-US"/>
        </w:rPr>
      </w:pPr>
      <w:r w:rsidRPr="00F3792E">
        <w:rPr>
          <w:noProof/>
          <w:position w:val="-14"/>
        </w:rPr>
        <w:object w:dxaOrig="1359" w:dyaOrig="380" w14:anchorId="417D3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85pt;height:18.1pt" o:ole="">
            <v:imagedata r:id="rId7" o:title=""/>
          </v:shape>
          <o:OLEObject Type="Embed" ProgID="Equation.DSMT4" ShapeID="_x0000_i1025" DrawAspect="Content" ObjectID="_1768632111" r:id="rId8"/>
        </w:object>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t>(</w:t>
      </w:r>
      <w:r w:rsidR="0064489A">
        <w:rPr>
          <w:lang w:val="en-US"/>
        </w:rPr>
        <w:t>A-1</w:t>
      </w:r>
      <w:r w:rsidR="0064489A" w:rsidRPr="00917BA3">
        <w:rPr>
          <w:lang w:val="en-US"/>
        </w:rPr>
        <w:t>)</w:t>
      </w:r>
    </w:p>
    <w:p w14:paraId="78402DE6" w14:textId="2B890F51" w:rsidR="0064489A" w:rsidRPr="00917BA3" w:rsidRDefault="0064489A" w:rsidP="0064489A">
      <w:pPr>
        <w:rPr>
          <w:lang w:val="en-US"/>
        </w:rPr>
      </w:pPr>
      <w:r w:rsidRPr="00917BA3">
        <w:rPr>
          <w:lang w:val="en-US"/>
        </w:rPr>
        <w:t xml:space="preserve">Herein </w:t>
      </w:r>
      <w:r w:rsidR="00277259">
        <w:rPr>
          <w:rFonts w:ascii="Times New Roman" w:hAnsi="Times New Roman" w:cs="Times New Roman"/>
          <w:i/>
          <w:lang w:val="en-US"/>
        </w:rPr>
        <w:t>S</w:t>
      </w:r>
      <w:r w:rsidRPr="00917BA3">
        <w:rPr>
          <w:rFonts w:ascii="Times New Roman" w:hAnsi="Times New Roman" w:cs="Times New Roman"/>
          <w:i/>
          <w:vertAlign w:val="subscript"/>
          <w:lang w:val="en-US"/>
        </w:rPr>
        <w:t>b</w:t>
      </w:r>
      <w:r w:rsidRPr="00917BA3">
        <w:rPr>
          <w:lang w:val="en-US"/>
        </w:rPr>
        <w:t xml:space="preserve"> is the horizontal area of the basin at MHW.</w:t>
      </w:r>
      <w:bookmarkEnd w:id="0"/>
      <w:r w:rsidRPr="00917BA3">
        <w:rPr>
          <w:lang w:val="en-US"/>
        </w:rPr>
        <w:t xml:space="preserve"> </w:t>
      </w:r>
      <w:r>
        <w:rPr>
          <w:lang w:val="en-US"/>
        </w:rPr>
        <w:t>T</w:t>
      </w:r>
      <w:r w:rsidRPr="00917BA3">
        <w:rPr>
          <w:lang w:val="en-US"/>
        </w:rPr>
        <w:t xml:space="preserve">he tidal amplitude in the basin </w:t>
      </w:r>
      <w:r w:rsidRPr="00917BA3">
        <w:rPr>
          <w:i/>
          <w:lang w:val="en-US"/>
        </w:rPr>
        <w:t>a</w:t>
      </w:r>
      <w:r w:rsidRPr="00917BA3">
        <w:rPr>
          <w:lang w:val="en-US"/>
        </w:rPr>
        <w:t xml:space="preserve"> is prescribed </w:t>
      </w:r>
      <w:r>
        <w:rPr>
          <w:lang w:val="en-US"/>
        </w:rPr>
        <w:t xml:space="preserve">and </w:t>
      </w:r>
      <w:r w:rsidRPr="00917BA3">
        <w:rPr>
          <w:lang w:val="en-US"/>
        </w:rPr>
        <w:t xml:space="preserve">it is still possible to have </w:t>
      </w:r>
      <w:r>
        <w:rPr>
          <w:i/>
          <w:lang w:val="en-US"/>
        </w:rPr>
        <w:t>a</w:t>
      </w:r>
      <w:r w:rsidRPr="00917BA3">
        <w:rPr>
          <w:lang w:val="en-US"/>
        </w:rPr>
        <w:t xml:space="preserve"> varying in time, to take account of any trend or a cyclic change e.g.</w:t>
      </w:r>
      <w:r>
        <w:rPr>
          <w:lang w:val="en-US"/>
        </w:rPr>
        <w:t>,</w:t>
      </w:r>
      <w:r w:rsidRPr="00917BA3">
        <w:rPr>
          <w:lang w:val="en-US"/>
        </w:rPr>
        <w:t xml:space="preserve"> the nodal tide variation (Jeuken et al., 2003; Wang and Townend, 2012). It is also noted that the model </w:t>
      </w:r>
      <w:r>
        <w:rPr>
          <w:lang w:val="en-US"/>
        </w:rPr>
        <w:t xml:space="preserve">considers </w:t>
      </w:r>
      <w:r w:rsidRPr="00917BA3">
        <w:rPr>
          <w:lang w:val="en-US"/>
        </w:rPr>
        <w:t>the feedback from the morphological development to the hydrodynamics, via Eq. (</w:t>
      </w:r>
      <w:r>
        <w:rPr>
          <w:lang w:val="en-US"/>
        </w:rPr>
        <w:t>A-1</w:t>
      </w:r>
      <w:r w:rsidRPr="00917BA3">
        <w:rPr>
          <w:lang w:val="en-US"/>
        </w:rPr>
        <w:t xml:space="preserve">), because </w:t>
      </w:r>
      <w:proofErr w:type="spellStart"/>
      <w:r w:rsidRPr="00917BA3">
        <w:rPr>
          <w:rFonts w:ascii="Times New Roman" w:hAnsi="Times New Roman" w:cs="Times New Roman"/>
          <w:i/>
          <w:lang w:val="en-US"/>
        </w:rPr>
        <w:t>V</w:t>
      </w:r>
      <w:r w:rsidRPr="00917BA3">
        <w:rPr>
          <w:rFonts w:ascii="Times New Roman" w:hAnsi="Times New Roman" w:cs="Times New Roman"/>
          <w:i/>
          <w:vertAlign w:val="subscript"/>
          <w:lang w:val="en-US"/>
        </w:rPr>
        <w:t>f</w:t>
      </w:r>
      <w:proofErr w:type="spellEnd"/>
      <w:r w:rsidRPr="00917BA3">
        <w:rPr>
          <w:rFonts w:ascii="Times New Roman" w:hAnsi="Times New Roman" w:cs="Times New Roman"/>
          <w:lang w:val="en-US"/>
        </w:rPr>
        <w:t xml:space="preserve"> </w:t>
      </w:r>
      <w:r w:rsidRPr="00917BA3">
        <w:rPr>
          <w:lang w:val="en-US"/>
        </w:rPr>
        <w:t>is a morphological state variable.</w:t>
      </w:r>
    </w:p>
    <w:p w14:paraId="512DD421" w14:textId="77777777" w:rsidR="0064489A" w:rsidRPr="00917BA3" w:rsidRDefault="0064489A" w:rsidP="0064489A">
      <w:pPr>
        <w:rPr>
          <w:lang w:val="en-US"/>
        </w:rPr>
      </w:pPr>
      <w:r w:rsidRPr="00917BA3">
        <w:rPr>
          <w:lang w:val="en-US"/>
        </w:rPr>
        <w:t xml:space="preserve">For all three elements, empirical relationships are required to define their morphological equilibrium dimensions. For the intertidal flat there are two empirical relationships used, one for its area and one for its height (Renger and </w:t>
      </w:r>
      <w:proofErr w:type="spellStart"/>
      <w:r w:rsidRPr="00917BA3">
        <w:rPr>
          <w:lang w:val="en-US"/>
        </w:rPr>
        <w:t>Partenscky</w:t>
      </w:r>
      <w:proofErr w:type="spellEnd"/>
      <w:r w:rsidRPr="00917BA3">
        <w:rPr>
          <w:lang w:val="en-US"/>
        </w:rPr>
        <w:t xml:space="preserve">, 1974, Eysink and Biegel, 1992). </w:t>
      </w:r>
    </w:p>
    <w:p w14:paraId="662FCE54" w14:textId="1273BEE8" w:rsidR="0064489A" w:rsidRPr="00917BA3" w:rsidRDefault="00623BC4" w:rsidP="0064489A">
      <w:pPr>
        <w:jc w:val="right"/>
        <w:rPr>
          <w:lang w:val="en-US"/>
        </w:rPr>
      </w:pPr>
      <w:r w:rsidRPr="00F3792E">
        <w:rPr>
          <w:noProof/>
          <w:position w:val="-30"/>
        </w:rPr>
        <w:object w:dxaOrig="2140" w:dyaOrig="720" w14:anchorId="7C85B8A8">
          <v:shape id="_x0000_i1026" type="#_x0000_t75" style="width:106.45pt;height:36.85pt" o:ole="">
            <v:imagedata r:id="rId9" o:title=""/>
          </v:shape>
          <o:OLEObject Type="Embed" ProgID="Equation.DSMT4" ShapeID="_x0000_i1026" DrawAspect="Content" ObjectID="_1768632112" r:id="rId10"/>
        </w:object>
      </w:r>
      <w:r w:rsidR="0064489A" w:rsidRPr="00917BA3">
        <w:rPr>
          <w:lang w:val="en-US"/>
        </w:rPr>
        <w:t xml:space="preserve"> </w:t>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t>(</w:t>
      </w:r>
      <w:r w:rsidR="0064489A">
        <w:rPr>
          <w:lang w:val="en-US"/>
        </w:rPr>
        <w:t>A</w:t>
      </w:r>
      <w:r w:rsidR="0064489A" w:rsidRPr="00917BA3">
        <w:rPr>
          <w:lang w:val="en-US"/>
        </w:rPr>
        <w:t>-</w:t>
      </w:r>
      <w:r w:rsidR="0064489A">
        <w:rPr>
          <w:lang w:val="en-US"/>
        </w:rPr>
        <w:t>2</w:t>
      </w:r>
      <w:r w:rsidR="0064489A" w:rsidRPr="00917BA3">
        <w:rPr>
          <w:lang w:val="en-US"/>
        </w:rPr>
        <w:t>)</w:t>
      </w:r>
    </w:p>
    <w:p w14:paraId="530B4C46" w14:textId="77777777" w:rsidR="0064489A" w:rsidRPr="00917BA3" w:rsidRDefault="0064489A" w:rsidP="0064489A">
      <w:pPr>
        <w:jc w:val="right"/>
        <w:rPr>
          <w:lang w:val="en-US"/>
        </w:rPr>
      </w:pPr>
      <w:r w:rsidRPr="00F3792E">
        <w:rPr>
          <w:noProof/>
          <w:position w:val="-14"/>
        </w:rPr>
        <w:object w:dxaOrig="1120" w:dyaOrig="380" w14:anchorId="310A08E8">
          <v:shape id="_x0000_i1027" type="#_x0000_t75" style="width:58pt;height:18.1pt" o:ole="">
            <v:imagedata r:id="rId11" o:title=""/>
          </v:shape>
          <o:OLEObject Type="Embed" ProgID="Equation.DSMT4" ShapeID="_x0000_i1027" DrawAspect="Content" ObjectID="_1768632113" r:id="rId12"/>
        </w:object>
      </w:r>
      <w:r w:rsidRPr="00917BA3">
        <w:rPr>
          <w:lang w:val="en-US"/>
        </w:rPr>
        <w:t xml:space="preserve"> </w:t>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t>(</w:t>
      </w:r>
      <w:r>
        <w:rPr>
          <w:lang w:val="en-US"/>
        </w:rPr>
        <w:t>A</w:t>
      </w:r>
      <w:r w:rsidRPr="00917BA3">
        <w:rPr>
          <w:lang w:val="en-US"/>
        </w:rPr>
        <w:t>-</w:t>
      </w:r>
      <w:r>
        <w:rPr>
          <w:lang w:val="en-US"/>
        </w:rPr>
        <w:t>3</w:t>
      </w:r>
      <w:r w:rsidRPr="00917BA3">
        <w:rPr>
          <w:lang w:val="en-US"/>
        </w:rPr>
        <w:t>)</w:t>
      </w:r>
    </w:p>
    <w:p w14:paraId="7379F883" w14:textId="22F81F82" w:rsidR="0064489A" w:rsidRPr="00917BA3" w:rsidRDefault="0064489A" w:rsidP="0064489A">
      <w:pPr>
        <w:rPr>
          <w:lang w:val="en-US"/>
        </w:rPr>
      </w:pPr>
      <w:r w:rsidRPr="00917BA3">
        <w:rPr>
          <w:lang w:val="en-US"/>
        </w:rPr>
        <w:t xml:space="preserve">Herein </w:t>
      </w:r>
      <w:proofErr w:type="spellStart"/>
      <w:r w:rsidR="00623BC4">
        <w:rPr>
          <w:rFonts w:ascii="Times New Roman" w:hAnsi="Times New Roman" w:cs="Times New Roman"/>
          <w:i/>
          <w:lang w:val="en-US"/>
        </w:rPr>
        <w:t>S</w:t>
      </w:r>
      <w:r w:rsidRPr="00917BA3">
        <w:rPr>
          <w:rFonts w:ascii="Times New Roman" w:hAnsi="Times New Roman" w:cs="Times New Roman"/>
          <w:i/>
          <w:vertAlign w:val="subscript"/>
          <w:lang w:val="en-US"/>
        </w:rPr>
        <w:t>fe</w:t>
      </w:r>
      <w:proofErr w:type="spellEnd"/>
      <w:r w:rsidRPr="00917BA3">
        <w:rPr>
          <w:lang w:val="en-US"/>
        </w:rPr>
        <w:t xml:space="preserve"> [m</w:t>
      </w:r>
      <w:r w:rsidRPr="00917BA3">
        <w:rPr>
          <w:vertAlign w:val="superscript"/>
          <w:lang w:val="en-US"/>
        </w:rPr>
        <w:t>2</w:t>
      </w:r>
      <w:r w:rsidRPr="00917BA3">
        <w:rPr>
          <w:lang w:val="en-US"/>
        </w:rPr>
        <w:t xml:space="preserve">] is the equilibrium tidal flat surface area; </w:t>
      </w:r>
      <w:r w:rsidR="00623BC4">
        <w:rPr>
          <w:rFonts w:ascii="Times New Roman" w:hAnsi="Times New Roman" w:cs="Times New Roman"/>
          <w:i/>
          <w:lang w:val="en-US"/>
        </w:rPr>
        <w:t>S</w:t>
      </w:r>
      <w:r w:rsidRPr="00917BA3">
        <w:rPr>
          <w:rFonts w:ascii="Times New Roman" w:hAnsi="Times New Roman" w:cs="Times New Roman"/>
          <w:i/>
          <w:vertAlign w:val="subscript"/>
          <w:lang w:val="en-US"/>
        </w:rPr>
        <w:t>b</w:t>
      </w:r>
      <w:r w:rsidRPr="00917BA3">
        <w:rPr>
          <w:lang w:val="en-US"/>
        </w:rPr>
        <w:t xml:space="preserve"> [m</w:t>
      </w:r>
      <w:r w:rsidRPr="00917BA3">
        <w:rPr>
          <w:vertAlign w:val="superscript"/>
          <w:lang w:val="en-US"/>
        </w:rPr>
        <w:t>2</w:t>
      </w:r>
      <w:r w:rsidRPr="00917BA3">
        <w:rPr>
          <w:lang w:val="en-US"/>
        </w:rPr>
        <w:t xml:space="preserve">] is basin surface area; </w:t>
      </w:r>
      <w:r w:rsidRPr="00917BA3">
        <w:rPr>
          <w:rFonts w:ascii="Times New Roman" w:hAnsi="Times New Roman" w:cs="Times New Roman"/>
          <w:i/>
          <w:lang w:val="en-US"/>
        </w:rPr>
        <w:t>a</w:t>
      </w:r>
      <w:r w:rsidRPr="00917BA3">
        <w:rPr>
          <w:lang w:val="en-US"/>
        </w:rPr>
        <w:t xml:space="preserve"> is tidal amplitude and according to Eysink (1990) </w:t>
      </w:r>
    </w:p>
    <w:p w14:paraId="293FA6B0" w14:textId="306AA5D2" w:rsidR="0064489A" w:rsidRPr="00917BA3" w:rsidRDefault="001E1ACF" w:rsidP="0064489A">
      <w:pPr>
        <w:jc w:val="right"/>
        <w:rPr>
          <w:lang w:val="en-US"/>
        </w:rPr>
      </w:pPr>
      <w:r w:rsidRPr="00F3792E">
        <w:rPr>
          <w:noProof/>
          <w:position w:val="-14"/>
        </w:rPr>
        <w:object w:dxaOrig="2240" w:dyaOrig="400" w14:anchorId="69047A21">
          <v:shape id="_x0000_i1028" type="#_x0000_t75" style="width:112.95pt;height:19.45pt" o:ole="">
            <v:imagedata r:id="rId13" o:title=""/>
          </v:shape>
          <o:OLEObject Type="Embed" ProgID="Equation.DSMT4" ShapeID="_x0000_i1028" DrawAspect="Content" ObjectID="_1768632114" r:id="rId14"/>
        </w:object>
      </w:r>
      <w:r w:rsidR="0064489A" w:rsidRPr="00917BA3">
        <w:rPr>
          <w:lang w:val="en-US"/>
        </w:rPr>
        <w:t xml:space="preserve"> </w:t>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t>(</w:t>
      </w:r>
      <w:r w:rsidR="0064489A">
        <w:rPr>
          <w:lang w:val="en-US"/>
        </w:rPr>
        <w:t>A-4</w:t>
      </w:r>
      <w:r w:rsidR="0064489A" w:rsidRPr="00917BA3">
        <w:rPr>
          <w:lang w:val="en-US"/>
        </w:rPr>
        <w:t>)</w:t>
      </w:r>
    </w:p>
    <w:p w14:paraId="09EA7366" w14:textId="77777777" w:rsidR="0064489A" w:rsidRPr="00917BA3" w:rsidRDefault="0064489A" w:rsidP="0064489A">
      <w:pPr>
        <w:rPr>
          <w:lang w:val="en-US"/>
        </w:rPr>
      </w:pPr>
      <w:r w:rsidRPr="00917BA3">
        <w:rPr>
          <w:lang w:val="en-US"/>
        </w:rPr>
        <w:t xml:space="preserve">with </w:t>
      </w:r>
      <w:r w:rsidRPr="005C553D">
        <w:rPr>
          <w:rFonts w:cstheme="minorHAnsi"/>
          <w:i/>
        </w:rPr>
        <w:sym w:font="Euclid Symbol" w:char="F061"/>
      </w:r>
      <w:r w:rsidRPr="00917BA3">
        <w:rPr>
          <w:rFonts w:ascii="Times New Roman" w:hAnsi="Times New Roman" w:cs="Times New Roman"/>
          <w:i/>
          <w:vertAlign w:val="subscript"/>
          <w:lang w:val="en-US"/>
        </w:rPr>
        <w:t>f</w:t>
      </w:r>
      <w:r w:rsidRPr="00917BA3">
        <w:rPr>
          <w:lang w:val="en-US"/>
        </w:rPr>
        <w:t xml:space="preserve"> = 0.41. The equilibrium volume of the intertidal flat, i.e.</w:t>
      </w:r>
      <w:r>
        <w:rPr>
          <w:lang w:val="en-US"/>
        </w:rPr>
        <w:t>,</w:t>
      </w:r>
      <w:r w:rsidRPr="00917BA3">
        <w:rPr>
          <w:lang w:val="en-US"/>
        </w:rPr>
        <w:t xml:space="preserve"> the sediment volume between low water (MLW) and high water (MHW), is thus by definition:</w:t>
      </w:r>
    </w:p>
    <w:p w14:paraId="0259D225" w14:textId="619245FD" w:rsidR="0064489A" w:rsidRPr="00917BA3" w:rsidRDefault="001E1ACF" w:rsidP="0064489A">
      <w:pPr>
        <w:jc w:val="right"/>
        <w:rPr>
          <w:lang w:val="en-US"/>
        </w:rPr>
      </w:pPr>
      <w:r w:rsidRPr="00F3792E">
        <w:rPr>
          <w:noProof/>
          <w:position w:val="-14"/>
        </w:rPr>
        <w:object w:dxaOrig="1100" w:dyaOrig="380" w14:anchorId="6BCE39A0">
          <v:shape id="_x0000_i1029" type="#_x0000_t75" style="width:52.55pt;height:18.1pt" o:ole="">
            <v:imagedata r:id="rId15" o:title=""/>
          </v:shape>
          <o:OLEObject Type="Embed" ProgID="Equation.DSMT4" ShapeID="_x0000_i1029" DrawAspect="Content" ObjectID="_1768632115" r:id="rId16"/>
        </w:object>
      </w:r>
      <w:r w:rsidR="0064489A" w:rsidRPr="00917BA3">
        <w:rPr>
          <w:lang w:val="en-US"/>
        </w:rPr>
        <w:t xml:space="preserve"> </w:t>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r>
      <w:r w:rsidR="0064489A" w:rsidRPr="00917BA3">
        <w:rPr>
          <w:lang w:val="en-US"/>
        </w:rPr>
        <w:tab/>
        <w:t>(</w:t>
      </w:r>
      <w:r w:rsidR="0064489A">
        <w:rPr>
          <w:lang w:val="en-US"/>
        </w:rPr>
        <w:t>A-5</w:t>
      </w:r>
      <w:r w:rsidR="0064489A" w:rsidRPr="00917BA3">
        <w:rPr>
          <w:lang w:val="en-US"/>
        </w:rPr>
        <w:t>)</w:t>
      </w:r>
    </w:p>
    <w:p w14:paraId="4ADF90DC" w14:textId="77777777" w:rsidR="0064489A" w:rsidRPr="00917BA3" w:rsidRDefault="0064489A" w:rsidP="0064489A">
      <w:pPr>
        <w:rPr>
          <w:lang w:val="en-US"/>
        </w:rPr>
      </w:pPr>
      <w:r w:rsidRPr="00917BA3">
        <w:rPr>
          <w:lang w:val="en-US"/>
        </w:rPr>
        <w:t xml:space="preserve">The channel volume </w:t>
      </w:r>
      <w:proofErr w:type="spellStart"/>
      <w:r w:rsidRPr="00917BA3">
        <w:rPr>
          <w:rFonts w:ascii="Times New Roman" w:hAnsi="Times New Roman" w:cs="Times New Roman"/>
          <w:i/>
          <w:lang w:val="en-US"/>
        </w:rPr>
        <w:t>V</w:t>
      </w:r>
      <w:r w:rsidRPr="00917BA3">
        <w:rPr>
          <w:rFonts w:ascii="Times New Roman" w:hAnsi="Times New Roman" w:cs="Times New Roman"/>
          <w:i/>
          <w:vertAlign w:val="subscript"/>
          <w:lang w:val="en-US"/>
        </w:rPr>
        <w:t>c</w:t>
      </w:r>
      <w:proofErr w:type="spellEnd"/>
      <w:r w:rsidRPr="00917BA3">
        <w:rPr>
          <w:lang w:val="en-US"/>
        </w:rPr>
        <w:t xml:space="preserve"> is defined as the water volume under MLW in the basin. Its equilibrium value is related to the tidal prism as follows:</w:t>
      </w:r>
    </w:p>
    <w:p w14:paraId="7DC52355" w14:textId="77777777" w:rsidR="0064489A" w:rsidRPr="00917BA3" w:rsidRDefault="0064489A" w:rsidP="0064489A">
      <w:pPr>
        <w:jc w:val="right"/>
        <w:rPr>
          <w:lang w:val="en-US"/>
        </w:rPr>
      </w:pPr>
      <w:r w:rsidRPr="00F3792E">
        <w:rPr>
          <w:noProof/>
          <w:position w:val="-12"/>
        </w:rPr>
        <w:object w:dxaOrig="1200" w:dyaOrig="380" w14:anchorId="61858FB5">
          <v:shape id="_x0000_i1030" type="#_x0000_t75" style="width:60.05pt;height:18.1pt" o:ole="">
            <v:imagedata r:id="rId17" o:title=""/>
          </v:shape>
          <o:OLEObject Type="Embed" ProgID="Equation.DSMT4" ShapeID="_x0000_i1030" DrawAspect="Content" ObjectID="_1768632116" r:id="rId18"/>
        </w:object>
      </w:r>
      <w:r w:rsidRPr="00917BA3">
        <w:rPr>
          <w:lang w:val="en-US"/>
        </w:rPr>
        <w:t xml:space="preserve"> </w:t>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t>(</w:t>
      </w:r>
      <w:r>
        <w:rPr>
          <w:lang w:val="en-US"/>
        </w:rPr>
        <w:t>A-6</w:t>
      </w:r>
      <w:r w:rsidRPr="00917BA3">
        <w:rPr>
          <w:lang w:val="en-US"/>
        </w:rPr>
        <w:t>)</w:t>
      </w:r>
    </w:p>
    <w:p w14:paraId="0EE97BCD" w14:textId="77777777" w:rsidR="0064489A" w:rsidRPr="00917BA3" w:rsidRDefault="0064489A" w:rsidP="0064489A">
      <w:pPr>
        <w:rPr>
          <w:lang w:val="en-US"/>
        </w:rPr>
      </w:pPr>
      <w:r w:rsidRPr="00917BA3">
        <w:rPr>
          <w:lang w:val="en-US"/>
        </w:rPr>
        <w:t>The equilibrium volume of the ebb tidal delta is also related to the tidal prism (Walton and Adams, 1976)</w:t>
      </w:r>
    </w:p>
    <w:p w14:paraId="2E3F2E22" w14:textId="77777777" w:rsidR="0064489A" w:rsidRPr="00917BA3" w:rsidRDefault="0064489A" w:rsidP="0064489A">
      <w:pPr>
        <w:jc w:val="right"/>
        <w:rPr>
          <w:lang w:val="en-US"/>
        </w:rPr>
      </w:pPr>
      <w:r w:rsidRPr="00EC0337">
        <w:rPr>
          <w:noProof/>
          <w:position w:val="-12"/>
        </w:rPr>
        <w:object w:dxaOrig="1320" w:dyaOrig="380" w14:anchorId="5BE6F1D6">
          <v:shape id="_x0000_i1031" type="#_x0000_t75" style="width:65.2pt;height:18.1pt" o:ole="">
            <v:imagedata r:id="rId19" o:title=""/>
          </v:shape>
          <o:OLEObject Type="Embed" ProgID="Equation.DSMT4" ShapeID="_x0000_i1031" DrawAspect="Content" ObjectID="_1768632117" r:id="rId20"/>
        </w:object>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r>
      <w:r w:rsidRPr="00917BA3">
        <w:rPr>
          <w:lang w:val="en-US"/>
        </w:rPr>
        <w:tab/>
        <w:t>(</w:t>
      </w:r>
      <w:r>
        <w:rPr>
          <w:lang w:val="en-US"/>
        </w:rPr>
        <w:t>A-7</w:t>
      </w:r>
      <w:r w:rsidRPr="00917BA3">
        <w:rPr>
          <w:lang w:val="en-US"/>
        </w:rPr>
        <w:t>)</w:t>
      </w:r>
    </w:p>
    <w:p w14:paraId="48D98CD7" w14:textId="19BA36E6" w:rsidR="0064489A" w:rsidRPr="00917BA3" w:rsidRDefault="0064489A" w:rsidP="0064489A">
      <w:pPr>
        <w:rPr>
          <w:lang w:val="en-US"/>
        </w:rPr>
      </w:pPr>
      <w:r w:rsidRPr="00917BA3">
        <w:rPr>
          <w:lang w:val="en-US"/>
        </w:rPr>
        <w:t xml:space="preserve">Using these equations with various empirical coefficients (the </w:t>
      </w:r>
      <w:r w:rsidRPr="00897F52">
        <w:rPr>
          <w:i/>
        </w:rPr>
        <w:t>α</w:t>
      </w:r>
      <w:r w:rsidRPr="00917BA3">
        <w:rPr>
          <w:lang w:val="en-US"/>
        </w:rPr>
        <w:t xml:space="preserve">’s) the morphological equilibrium of a tidal basin can be determined from two parameters, the total basin area </w:t>
      </w:r>
      <w:r w:rsidR="001E1ACF">
        <w:rPr>
          <w:rFonts w:ascii="Times New Roman" w:hAnsi="Times New Roman" w:cs="Times New Roman"/>
          <w:i/>
          <w:lang w:val="en-US"/>
        </w:rPr>
        <w:t>S</w:t>
      </w:r>
      <w:r w:rsidRPr="00917BA3">
        <w:rPr>
          <w:rFonts w:ascii="Times New Roman" w:hAnsi="Times New Roman" w:cs="Times New Roman"/>
          <w:i/>
          <w:vertAlign w:val="subscript"/>
          <w:lang w:val="en-US"/>
        </w:rPr>
        <w:t>b</w:t>
      </w:r>
      <w:r w:rsidRPr="00917BA3">
        <w:rPr>
          <w:lang w:val="en-US"/>
        </w:rPr>
        <w:t xml:space="preserve"> and the tidal amplitude </w:t>
      </w:r>
      <w:r w:rsidRPr="00917BA3">
        <w:rPr>
          <w:rFonts w:ascii="Times New Roman" w:hAnsi="Times New Roman" w:cs="Times New Roman"/>
          <w:i/>
          <w:lang w:val="en-US"/>
        </w:rPr>
        <w:t>a</w:t>
      </w:r>
      <w:r w:rsidRPr="00917BA3">
        <w:rPr>
          <w:lang w:val="en-US"/>
        </w:rPr>
        <w:t xml:space="preserve">. For a single element model for the back-barrier basin the total water volume of the basin below MHW, which is the sum of the channel volume (below LW) </w:t>
      </w:r>
      <w:proofErr w:type="spellStart"/>
      <w:r w:rsidRPr="00917BA3">
        <w:rPr>
          <w:rFonts w:ascii="Times New Roman" w:hAnsi="Times New Roman" w:cs="Times New Roman"/>
          <w:i/>
          <w:lang w:val="en-US"/>
        </w:rPr>
        <w:t>V</w:t>
      </w:r>
      <w:r w:rsidRPr="00917BA3">
        <w:rPr>
          <w:rFonts w:ascii="Times New Roman" w:hAnsi="Times New Roman" w:cs="Times New Roman"/>
          <w:i/>
          <w:vertAlign w:val="subscript"/>
          <w:lang w:val="en-US"/>
        </w:rPr>
        <w:t>c</w:t>
      </w:r>
      <w:proofErr w:type="spellEnd"/>
      <w:r w:rsidRPr="00917BA3">
        <w:rPr>
          <w:lang w:val="en-US"/>
        </w:rPr>
        <w:t xml:space="preserve"> and the tidal prism, can be used:</w:t>
      </w:r>
    </w:p>
    <w:p w14:paraId="5CFD00AD" w14:textId="03B179B9" w:rsidR="0064489A" w:rsidRDefault="0012428B" w:rsidP="0064489A">
      <w:pPr>
        <w:jc w:val="right"/>
        <w:rPr>
          <w:lang w:val="en-US"/>
        </w:rPr>
      </w:pPr>
      <w:r w:rsidRPr="00E46F41">
        <w:rPr>
          <w:noProof/>
          <w:position w:val="-28"/>
        </w:rPr>
        <w:object w:dxaOrig="7220" w:dyaOrig="680" w14:anchorId="45D88BD6">
          <v:shape id="_x0000_i1032" type="#_x0000_t75" style="width:361.35pt;height:34.1pt" o:ole="">
            <v:imagedata r:id="rId21" o:title=""/>
          </v:shape>
          <o:OLEObject Type="Embed" ProgID="Equation.DSMT4" ShapeID="_x0000_i1032" DrawAspect="Content" ObjectID="_1768632118" r:id="rId22"/>
        </w:object>
      </w:r>
      <w:bookmarkStart w:id="1" w:name="_Hlk153203725"/>
      <w:r w:rsidR="0064489A" w:rsidRPr="00ED638F">
        <w:rPr>
          <w:lang w:val="en-US"/>
        </w:rPr>
        <w:tab/>
        <w:t>(A-8)</w:t>
      </w:r>
      <w:bookmarkEnd w:id="1"/>
    </w:p>
    <w:p w14:paraId="710FCE40" w14:textId="77777777" w:rsidR="0064489A" w:rsidRDefault="0064489A" w:rsidP="0064489A">
      <w:pPr>
        <w:rPr>
          <w:lang w:val="en-US"/>
        </w:rPr>
      </w:pPr>
      <w:r>
        <w:rPr>
          <w:lang w:val="en-US"/>
        </w:rPr>
        <w:t xml:space="preserve">If, however, Eq. A-6 is replaced by the linear version such that </w:t>
      </w:r>
      <w:r w:rsidRPr="00F3792E">
        <w:rPr>
          <w:noProof/>
          <w:position w:val="-12"/>
        </w:rPr>
        <w:object w:dxaOrig="960" w:dyaOrig="360" w14:anchorId="1F797C91">
          <v:shape id="_x0000_i1033" type="#_x0000_t75" style="width:48.1pt;height:16.4pt" o:ole="">
            <v:imagedata r:id="rId23" o:title=""/>
          </v:shape>
          <o:OLEObject Type="Embed" ProgID="Equation.DSMT4" ShapeID="_x0000_i1033" DrawAspect="Content" ObjectID="_1768632119" r:id="rId24"/>
        </w:object>
      </w:r>
      <w:r>
        <w:rPr>
          <w:lang w:val="en-US"/>
        </w:rPr>
        <w:t>, the Eq. A-8 becomes:</w:t>
      </w:r>
    </w:p>
    <w:bookmarkStart w:id="2" w:name="_Hlk153203764"/>
    <w:p w14:paraId="0668728D" w14:textId="1106849B" w:rsidR="0064489A" w:rsidRPr="00ED638F" w:rsidRDefault="00936992" w:rsidP="0064489A">
      <w:pPr>
        <w:jc w:val="right"/>
        <w:rPr>
          <w:lang w:val="en-US"/>
        </w:rPr>
      </w:pP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e</m:t>
            </m:r>
          </m:sub>
        </m:sSub>
        <m:r>
          <w:rPr>
            <w:rFonts w:ascii="Cambria Math" w:hAnsi="Cambria Math"/>
            <w:lang w:val="en-US"/>
          </w:rPr>
          <m:t>=2a</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b</m:t>
            </m:r>
          </m:sub>
        </m:sSub>
        <m:d>
          <m:dPr>
            <m:ctrlPr>
              <w:rPr>
                <w:rFonts w:ascii="Cambria Math" w:hAnsi="Cambria Math"/>
                <w:i/>
                <w:lang w:val="en-US"/>
              </w:rPr>
            </m:ctrlPr>
          </m:dPr>
          <m:e>
            <m:r>
              <w:rPr>
                <w:rFonts w:ascii="Cambria Math" w:hAnsi="Cambria Math"/>
                <w:lang w:val="en-US"/>
              </w:rPr>
              <m:t>1+</m:t>
            </m:r>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c</m:t>
                </m:r>
              </m:sub>
            </m:sSub>
          </m:e>
        </m:d>
        <m:d>
          <m:dPr>
            <m:ctrlPr>
              <w:rPr>
                <w:rFonts w:ascii="Cambria Math" w:hAnsi="Cambria Math"/>
                <w:i/>
                <w:lang w:val="en-US"/>
              </w:rPr>
            </m:ctrlPr>
          </m:dPr>
          <m:e>
            <m:r>
              <w:rPr>
                <w:rFonts w:ascii="Cambria Math" w:hAnsi="Cambria Math"/>
                <w:lang w:val="en-US"/>
              </w:rPr>
              <m:t>1-</m:t>
            </m:r>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f</m:t>
                </m:r>
              </m:sub>
            </m:sSub>
            <m:d>
              <m:dPr>
                <m:ctrlPr>
                  <w:rPr>
                    <w:rFonts w:ascii="Cambria Math" w:hAnsi="Cambria Math"/>
                    <w:i/>
                    <w:lang w:val="en-US"/>
                  </w:rPr>
                </m:ctrlPr>
              </m:dPr>
              <m:e>
                <m:r>
                  <w:rPr>
                    <w:rFonts w:ascii="Cambria Math" w:hAnsi="Cambria Math"/>
                    <w:lang w:val="en-US"/>
                  </w:rPr>
                  <m:t>1-2.5∙</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-5</m:t>
                    </m:r>
                  </m:sup>
                </m:sSup>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b</m:t>
                        </m:r>
                      </m:sub>
                    </m:sSub>
                  </m:e>
                </m:rad>
              </m:e>
            </m:d>
          </m:e>
        </m:d>
      </m:oMath>
      <w:bookmarkEnd w:id="2"/>
      <w:r w:rsidR="0064489A">
        <w:rPr>
          <w:lang w:val="en-US"/>
        </w:rPr>
        <w:tab/>
      </w:r>
      <w:r w:rsidR="0064489A">
        <w:rPr>
          <w:lang w:val="en-US"/>
        </w:rPr>
        <w:tab/>
      </w:r>
      <w:r w:rsidR="0064489A" w:rsidRPr="00ED638F">
        <w:rPr>
          <w:lang w:val="en-US"/>
        </w:rPr>
        <w:tab/>
        <w:t>(A-</w:t>
      </w:r>
      <w:r w:rsidR="0064489A">
        <w:rPr>
          <w:lang w:val="en-US"/>
        </w:rPr>
        <w:t>9</w:t>
      </w:r>
      <w:r w:rsidR="0064489A" w:rsidRPr="00ED638F">
        <w:rPr>
          <w:lang w:val="en-US"/>
        </w:rPr>
        <w:t>)</w:t>
      </w:r>
    </w:p>
    <w:p w14:paraId="6FFF4417" w14:textId="77777777" w:rsidR="0064489A" w:rsidRPr="00B161F7" w:rsidRDefault="0064489A" w:rsidP="0064489A">
      <w:pPr>
        <w:rPr>
          <w:lang w:val="en-US"/>
        </w:rPr>
      </w:pPr>
    </w:p>
    <w:p w14:paraId="2EE42164" w14:textId="77777777" w:rsidR="0064489A" w:rsidRDefault="0064489A" w:rsidP="0064489A">
      <w:pPr>
        <w:rPr>
          <w:i/>
          <w:iCs/>
          <w:lang w:val="en-US"/>
        </w:rPr>
      </w:pPr>
      <w:r>
        <w:rPr>
          <w:i/>
          <w:iCs/>
          <w:lang w:val="en-US"/>
        </w:rPr>
        <w:br w:type="page"/>
      </w:r>
    </w:p>
    <w:p w14:paraId="00E1B6B3" w14:textId="77777777" w:rsidR="0064489A" w:rsidRDefault="0064489A" w:rsidP="0064489A">
      <w:pPr>
        <w:rPr>
          <w:i/>
          <w:iCs/>
          <w:lang w:val="en-US"/>
        </w:rPr>
      </w:pPr>
      <w:r>
        <w:rPr>
          <w:lang w:val="en-US"/>
        </w:rPr>
        <w:lastRenderedPageBreak/>
        <w:t xml:space="preserve">APPENDIX B </w:t>
      </w:r>
      <w:r w:rsidRPr="00F254D4">
        <w:rPr>
          <w:iCs/>
          <w:caps/>
          <w:lang w:val="en-US"/>
        </w:rPr>
        <w:t>Historical development of tidal range</w:t>
      </w:r>
      <w:r>
        <w:rPr>
          <w:i/>
          <w:iCs/>
          <w:lang w:val="en-US"/>
        </w:rPr>
        <w:t xml:space="preserve"> </w:t>
      </w:r>
    </w:p>
    <w:p w14:paraId="6E2A9B6F" w14:textId="77777777" w:rsidR="0064489A" w:rsidRDefault="0064489A" w:rsidP="0064489A">
      <w:pPr>
        <w:rPr>
          <w:lang w:val="en-US"/>
        </w:rPr>
      </w:pPr>
      <w:r>
        <w:rPr>
          <w:lang w:val="en-US"/>
        </w:rPr>
        <w:t>The historical development of HW and LW and tidal range at the three main stations in the Dutch Wadden Sea area has been derived from the water level observations in the system report (</w:t>
      </w:r>
      <w:hyperlink r:id="rId25" w:history="1">
        <w:r w:rsidRPr="000F2C8E">
          <w:rPr>
            <w:rStyle w:val="Hyperlink"/>
            <w:lang w:val="en-US"/>
          </w:rPr>
          <w:t>https://systeemrapportage.nl/wadden/hydro.html</w:t>
        </w:r>
      </w:hyperlink>
      <w:r>
        <w:rPr>
          <w:lang w:val="en-US"/>
        </w:rPr>
        <w:t xml:space="preserve">). </w:t>
      </w:r>
    </w:p>
    <w:p w14:paraId="7399EA2F" w14:textId="77777777" w:rsidR="0064489A" w:rsidRDefault="0064489A" w:rsidP="0064489A">
      <w:pPr>
        <w:rPr>
          <w:lang w:val="en-US"/>
        </w:rPr>
      </w:pPr>
      <w:r>
        <w:rPr>
          <w:noProof/>
          <w:lang w:val="en-US"/>
        </w:rPr>
        <w:drawing>
          <wp:inline distT="0" distB="0" distL="0" distR="0" wp14:anchorId="0300B9B6" wp14:editId="4DE13B55">
            <wp:extent cx="5400000" cy="2619627"/>
            <wp:effectExtent l="0" t="0" r="0" b="0"/>
            <wp:docPr id="1061893062" name="Picture 2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93062" name="Picture 25" descr="A screenshot of a graph&#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2619627"/>
                    </a:xfrm>
                    <a:prstGeom prst="rect">
                      <a:avLst/>
                    </a:prstGeom>
                    <a:noFill/>
                  </pic:spPr>
                </pic:pic>
              </a:graphicData>
            </a:graphic>
          </wp:inline>
        </w:drawing>
      </w:r>
    </w:p>
    <w:p w14:paraId="72B9F200" w14:textId="77777777" w:rsidR="0064489A" w:rsidRDefault="0064489A" w:rsidP="0064489A">
      <w:pPr>
        <w:rPr>
          <w:lang w:val="en-US"/>
        </w:rPr>
      </w:pPr>
      <w:r>
        <w:rPr>
          <w:lang w:val="en-US"/>
        </w:rPr>
        <w:t xml:space="preserve">Figure S1 historical record of yearly averaged HW and LW at the three main stations in the Dutch Wadden Sea area, adapted from </w:t>
      </w:r>
      <w:hyperlink r:id="rId27" w:history="1">
        <w:r w:rsidRPr="000F2C8E">
          <w:rPr>
            <w:rStyle w:val="Hyperlink"/>
            <w:lang w:val="en-US"/>
          </w:rPr>
          <w:t>https://systeemrapportage.nl/wadden/hydro.html</w:t>
        </w:r>
      </w:hyperlink>
      <w:r>
        <w:rPr>
          <w:lang w:val="en-US"/>
        </w:rPr>
        <w:t xml:space="preserve"> </w:t>
      </w:r>
    </w:p>
    <w:p w14:paraId="6285DD9D" w14:textId="77777777" w:rsidR="0064489A" w:rsidRDefault="0064489A" w:rsidP="0064489A">
      <w:pPr>
        <w:spacing w:after="0"/>
        <w:rPr>
          <w:lang w:val="en-US"/>
        </w:rPr>
      </w:pPr>
      <w:r>
        <w:rPr>
          <w:noProof/>
          <w:lang w:eastAsia="nl-NL"/>
        </w:rPr>
        <w:drawing>
          <wp:inline distT="0" distB="0" distL="0" distR="0" wp14:anchorId="54ADF8E8" wp14:editId="59112E79">
            <wp:extent cx="2844000" cy="1985424"/>
            <wp:effectExtent l="0" t="0" r="0" b="0"/>
            <wp:docPr id="24" name="Picture 24"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aph of a number of different colored line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4000" cy="1985424"/>
                    </a:xfrm>
                    <a:prstGeom prst="rect">
                      <a:avLst/>
                    </a:prstGeom>
                    <a:noFill/>
                  </pic:spPr>
                </pic:pic>
              </a:graphicData>
            </a:graphic>
          </wp:inline>
        </w:drawing>
      </w:r>
      <w:r>
        <w:rPr>
          <w:noProof/>
          <w:lang w:eastAsia="nl-NL"/>
        </w:rPr>
        <w:drawing>
          <wp:inline distT="0" distB="0" distL="0" distR="0" wp14:anchorId="03619F57" wp14:editId="532A81F4">
            <wp:extent cx="2844000" cy="1985424"/>
            <wp:effectExtent l="0" t="0" r="0" b="0"/>
            <wp:docPr id="23" name="Picture 23" descr="A grap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aph of a number of individuals&#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4000" cy="1985424"/>
                    </a:xfrm>
                    <a:prstGeom prst="rect">
                      <a:avLst/>
                    </a:prstGeom>
                    <a:noFill/>
                  </pic:spPr>
                </pic:pic>
              </a:graphicData>
            </a:graphic>
          </wp:inline>
        </w:drawing>
      </w:r>
    </w:p>
    <w:p w14:paraId="4493B45D" w14:textId="77777777" w:rsidR="0064489A" w:rsidRDefault="0064489A" w:rsidP="0064489A">
      <w:pPr>
        <w:rPr>
          <w:lang w:val="en-US"/>
        </w:rPr>
      </w:pPr>
      <w:r>
        <w:rPr>
          <w:noProof/>
          <w:lang w:eastAsia="nl-NL"/>
        </w:rPr>
        <w:drawing>
          <wp:inline distT="0" distB="0" distL="0" distR="0" wp14:anchorId="20C85412" wp14:editId="404DF5A1">
            <wp:extent cx="2844000" cy="1985424"/>
            <wp:effectExtent l="0" t="0" r="0" b="0"/>
            <wp:docPr id="25" name="Picture 2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aph of different colored line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000" cy="1985424"/>
                    </a:xfrm>
                    <a:prstGeom prst="rect">
                      <a:avLst/>
                    </a:prstGeom>
                    <a:noFill/>
                  </pic:spPr>
                </pic:pic>
              </a:graphicData>
            </a:graphic>
          </wp:inline>
        </w:drawing>
      </w:r>
      <w:r>
        <w:rPr>
          <w:noProof/>
          <w:lang w:eastAsia="nl-NL"/>
        </w:rPr>
        <w:drawing>
          <wp:inline distT="0" distB="0" distL="0" distR="0" wp14:anchorId="09D4F915" wp14:editId="4A645B11">
            <wp:extent cx="2844000" cy="1982761"/>
            <wp:effectExtent l="0" t="0" r="0" b="0"/>
            <wp:docPr id="26" name="Picture 26"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aph of a number of people&#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000" cy="1982761"/>
                    </a:xfrm>
                    <a:prstGeom prst="rect">
                      <a:avLst/>
                    </a:prstGeom>
                    <a:noFill/>
                  </pic:spPr>
                </pic:pic>
              </a:graphicData>
            </a:graphic>
          </wp:inline>
        </w:drawing>
      </w:r>
    </w:p>
    <w:p w14:paraId="717B35F0" w14:textId="77777777" w:rsidR="0064489A" w:rsidRDefault="0064489A" w:rsidP="0064489A">
      <w:pPr>
        <w:rPr>
          <w:lang w:val="en-US"/>
        </w:rPr>
      </w:pPr>
      <w:r>
        <w:rPr>
          <w:lang w:val="en-US"/>
        </w:rPr>
        <w:t xml:space="preserve">Figure S2 Tidal range development since 1984. </w:t>
      </w:r>
    </w:p>
    <w:p w14:paraId="1ED13672" w14:textId="024D9839" w:rsidR="0064489A" w:rsidRDefault="0064489A" w:rsidP="0064489A">
      <w:pPr>
        <w:rPr>
          <w:lang w:val="en-US"/>
        </w:rPr>
      </w:pPr>
      <w:r>
        <w:rPr>
          <w:lang w:val="en-US"/>
        </w:rPr>
        <w:lastRenderedPageBreak/>
        <w:t xml:space="preserve">All longer records at the main stations (Den Helder, Harlingen, </w:t>
      </w:r>
      <w:proofErr w:type="spellStart"/>
      <w:r>
        <w:rPr>
          <w:lang w:val="en-US"/>
        </w:rPr>
        <w:t>Delfzijl</w:t>
      </w:r>
      <w:proofErr w:type="spellEnd"/>
      <w:r>
        <w:rPr>
          <w:lang w:val="en-US"/>
        </w:rPr>
        <w:t xml:space="preserve">) suggest that tidal range has increased over the long term (as HW rises faster than LW) (Fig. S1). However, the development in the recent period (after 1970) does not show consistent trends for all stations. Figure S2 shows the development of the tidal range at various stations since </w:t>
      </w:r>
      <w:r w:rsidRPr="00FD3C97">
        <w:rPr>
          <w:lang w:val="en-US"/>
        </w:rPr>
        <w:t xml:space="preserve">1984 </w:t>
      </w:r>
      <w:r>
        <w:rPr>
          <w:lang w:val="en-US"/>
        </w:rPr>
        <w:t xml:space="preserve">(since then water level measurements are carried out with </w:t>
      </w:r>
      <w:r w:rsidRPr="00FD3C97">
        <w:rPr>
          <w:lang w:val="en-US"/>
        </w:rPr>
        <w:t>time interval is 10 min. at all stations</w:t>
      </w:r>
      <w:r>
        <w:rPr>
          <w:lang w:val="en-US"/>
        </w:rPr>
        <w:t>)</w:t>
      </w:r>
      <w:r w:rsidRPr="00FD3C97">
        <w:rPr>
          <w:lang w:val="en-US"/>
        </w:rPr>
        <w:t xml:space="preserve">. </w:t>
      </w:r>
      <w:r>
        <w:rPr>
          <w:lang w:val="en-US"/>
        </w:rPr>
        <w:t xml:space="preserve">This period has a length of 37 years, thus nearly two times the </w:t>
      </w:r>
      <w:proofErr w:type="gramStart"/>
      <w:r>
        <w:rPr>
          <w:lang w:val="en-US"/>
        </w:rPr>
        <w:t>18.6 year</w:t>
      </w:r>
      <w:proofErr w:type="gramEnd"/>
      <w:r>
        <w:rPr>
          <w:lang w:val="en-US"/>
        </w:rPr>
        <w:t xml:space="preserve"> cycle, in which no major interference in the system took place. From this analysis the following trends can be identified:</w:t>
      </w:r>
    </w:p>
    <w:p w14:paraId="5B226970" w14:textId="77777777" w:rsidR="0064489A" w:rsidRDefault="0064489A" w:rsidP="0064489A">
      <w:pPr>
        <w:pStyle w:val="ListParagraph"/>
        <w:numPr>
          <w:ilvl w:val="0"/>
          <w:numId w:val="1"/>
        </w:numPr>
        <w:rPr>
          <w:lang w:val="en-US"/>
        </w:rPr>
      </w:pPr>
      <w:r w:rsidRPr="005217C0">
        <w:rPr>
          <w:lang w:val="en-US"/>
        </w:rPr>
        <w:t>The stations along the North Sea coast, outside the Wadden Sea, do not show an increasing or decreasing trend</w:t>
      </w:r>
      <w:r>
        <w:rPr>
          <w:lang w:val="en-US"/>
        </w:rPr>
        <w:t xml:space="preserve"> of the tidal range. Note that the two stations with shorter measurements show a slight decreasing trend, but this could be influenced by the nodal tide variation. </w:t>
      </w:r>
      <w:r w:rsidRPr="005217C0">
        <w:rPr>
          <w:lang w:val="en-US"/>
        </w:rPr>
        <w:t xml:space="preserve"> </w:t>
      </w:r>
    </w:p>
    <w:p w14:paraId="5233C61A" w14:textId="77777777" w:rsidR="0064489A" w:rsidRDefault="0064489A" w:rsidP="0064489A">
      <w:pPr>
        <w:pStyle w:val="ListParagraph"/>
        <w:numPr>
          <w:ilvl w:val="0"/>
          <w:numId w:val="1"/>
        </w:numPr>
        <w:rPr>
          <w:lang w:val="en-US"/>
        </w:rPr>
      </w:pPr>
      <w:r>
        <w:rPr>
          <w:lang w:val="en-US"/>
        </w:rPr>
        <w:t xml:space="preserve">The stations in the Ems estuary show clear increasing trend of the tidal range. </w:t>
      </w:r>
    </w:p>
    <w:p w14:paraId="2743BA2D" w14:textId="77777777" w:rsidR="0064489A" w:rsidRDefault="0064489A" w:rsidP="0064489A">
      <w:pPr>
        <w:pStyle w:val="ListParagraph"/>
        <w:numPr>
          <w:ilvl w:val="0"/>
          <w:numId w:val="1"/>
        </w:numPr>
        <w:rPr>
          <w:lang w:val="en-US"/>
        </w:rPr>
      </w:pPr>
      <w:r>
        <w:rPr>
          <w:lang w:val="en-US"/>
        </w:rPr>
        <w:t xml:space="preserve">The stations in the Eastern part of the Dutch Wadden Sea (Frisian Inlet and Ameland Inlet) show decreasing trends of the tidal range. However, this could also be caused by a sudden decrease around 2000, as suggested by Wang and Krol (2022). </w:t>
      </w:r>
    </w:p>
    <w:p w14:paraId="6C4A04F2" w14:textId="77777777" w:rsidR="0064489A" w:rsidRDefault="0064489A" w:rsidP="0064489A">
      <w:pPr>
        <w:pStyle w:val="ListParagraph"/>
        <w:numPr>
          <w:ilvl w:val="0"/>
          <w:numId w:val="1"/>
        </w:numPr>
        <w:rPr>
          <w:lang w:val="en-US"/>
        </w:rPr>
      </w:pPr>
      <w:r>
        <w:rPr>
          <w:lang w:val="en-US"/>
        </w:rPr>
        <w:t>The stations in the Western part of the Dutch Wadden Sea (</w:t>
      </w:r>
      <w:proofErr w:type="spellStart"/>
      <w:r>
        <w:rPr>
          <w:lang w:val="en-US"/>
        </w:rPr>
        <w:t>Vlie</w:t>
      </w:r>
      <w:proofErr w:type="spellEnd"/>
      <w:r>
        <w:rPr>
          <w:lang w:val="en-US"/>
        </w:rPr>
        <w:t xml:space="preserve"> and Texel Inlet) do not show consistent trends of the tidal range. At Harlingen the tidal range increases in time and it decreases at the other two stations (Den Helder and West </w:t>
      </w:r>
      <w:proofErr w:type="spellStart"/>
      <w:r>
        <w:rPr>
          <w:lang w:val="en-US"/>
        </w:rPr>
        <w:t>Terschelling</w:t>
      </w:r>
      <w:proofErr w:type="spellEnd"/>
      <w:r>
        <w:rPr>
          <w:lang w:val="en-US"/>
        </w:rPr>
        <w:t xml:space="preserve">). </w:t>
      </w:r>
    </w:p>
    <w:p w14:paraId="6EACA562" w14:textId="77777777" w:rsidR="0064489A" w:rsidRDefault="0064489A" w:rsidP="0064489A">
      <w:pPr>
        <w:rPr>
          <w:lang w:val="en-US"/>
        </w:rPr>
      </w:pPr>
      <w:r>
        <w:rPr>
          <w:lang w:val="en-US"/>
        </w:rPr>
        <w:t xml:space="preserve">Conclusion: for predictions in the coming decades, it is not a bad assumption that the tidal range remains constant, but for the longer term the development is uncertain. </w:t>
      </w:r>
    </w:p>
    <w:p w14:paraId="705188F9" w14:textId="77777777" w:rsidR="0064489A" w:rsidRDefault="0064489A" w:rsidP="0064489A">
      <w:pPr>
        <w:rPr>
          <w:lang w:val="en-US"/>
        </w:rPr>
      </w:pPr>
      <w:r>
        <w:rPr>
          <w:lang w:val="en-US"/>
        </w:rPr>
        <w:fldChar w:fldCharType="begin"/>
      </w:r>
      <w:r>
        <w:rPr>
          <w:lang w:val="en-US"/>
        </w:rPr>
        <w:instrText xml:space="preserve"> ADDIN EN.REFLIST </w:instrText>
      </w:r>
      <w:r>
        <w:rPr>
          <w:lang w:val="en-US"/>
        </w:rPr>
        <w:fldChar w:fldCharType="end"/>
      </w:r>
    </w:p>
    <w:p w14:paraId="3ACFDA07" w14:textId="77777777" w:rsidR="00652153" w:rsidRPr="0064489A" w:rsidRDefault="00652153">
      <w:pPr>
        <w:rPr>
          <w:lang w:val="en-US"/>
        </w:rPr>
      </w:pPr>
    </w:p>
    <w:sectPr w:rsidR="00652153" w:rsidRPr="0064489A">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61C24" w14:textId="77777777" w:rsidR="005A1631" w:rsidRDefault="005A1631">
      <w:pPr>
        <w:spacing w:after="0" w:line="240" w:lineRule="auto"/>
      </w:pPr>
      <w:r>
        <w:separator/>
      </w:r>
    </w:p>
  </w:endnote>
  <w:endnote w:type="continuationSeparator" w:id="0">
    <w:p w14:paraId="35071BDA" w14:textId="77777777" w:rsidR="005A1631" w:rsidRDefault="005A1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Euclid Symbol">
    <w:altName w:val="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065094"/>
      <w:docPartObj>
        <w:docPartGallery w:val="Page Numbers (Bottom of Page)"/>
        <w:docPartUnique/>
      </w:docPartObj>
    </w:sdtPr>
    <w:sdtEndPr>
      <w:rPr>
        <w:noProof/>
      </w:rPr>
    </w:sdtEndPr>
    <w:sdtContent>
      <w:p w14:paraId="07067D1C" w14:textId="77777777" w:rsidR="005A1631" w:rsidRDefault="005A163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FA5E29" w14:textId="77777777" w:rsidR="005A1631" w:rsidRDefault="005A1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A6D9E" w14:textId="77777777" w:rsidR="005A1631" w:rsidRDefault="005A1631">
      <w:pPr>
        <w:spacing w:after="0" w:line="240" w:lineRule="auto"/>
      </w:pPr>
      <w:r>
        <w:separator/>
      </w:r>
    </w:p>
  </w:footnote>
  <w:footnote w:type="continuationSeparator" w:id="0">
    <w:p w14:paraId="39CE433A" w14:textId="77777777" w:rsidR="005A1631" w:rsidRDefault="005A16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202"/>
    <w:multiLevelType w:val="hybridMultilevel"/>
    <w:tmpl w:val="FB963A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9A"/>
    <w:rsid w:val="00120297"/>
    <w:rsid w:val="0012428B"/>
    <w:rsid w:val="001E1ACF"/>
    <w:rsid w:val="00277259"/>
    <w:rsid w:val="005A1631"/>
    <w:rsid w:val="00606AA4"/>
    <w:rsid w:val="00623BC4"/>
    <w:rsid w:val="0064489A"/>
    <w:rsid w:val="00652153"/>
    <w:rsid w:val="00936992"/>
    <w:rsid w:val="00C914E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46EFCBDC"/>
  <w15:chartTrackingRefBased/>
  <w15:docId w15:val="{EB21DCEA-760A-4FB0-BCF0-FF38DB58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89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89A"/>
    <w:pPr>
      <w:ind w:left="720"/>
      <w:contextualSpacing/>
    </w:pPr>
  </w:style>
  <w:style w:type="paragraph" w:styleId="Footer">
    <w:name w:val="footer"/>
    <w:basedOn w:val="Normal"/>
    <w:link w:val="FooterChar"/>
    <w:uiPriority w:val="99"/>
    <w:unhideWhenUsed/>
    <w:rsid w:val="00644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89A"/>
    <w:rPr>
      <w:kern w:val="0"/>
      <w14:ligatures w14:val="none"/>
    </w:rPr>
  </w:style>
  <w:style w:type="character" w:styleId="Hyperlink">
    <w:name w:val="Hyperlink"/>
    <w:basedOn w:val="DefaultParagraphFont"/>
    <w:uiPriority w:val="99"/>
    <w:unhideWhenUsed/>
    <w:rsid w:val="006448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yperlink" Target="https://systeemrapportage.nl/wadden/hydro.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pn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yperlink" Target="https://systeemrapportage.nl/wadden/hydro.html" TargetMode="External"/><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772</Words>
  <Characters>4250</Characters>
  <Application>Microsoft Office Word</Application>
  <DocSecurity>4</DocSecurity>
  <Lines>35</Lines>
  <Paragraphs>10</Paragraphs>
  <ScaleCrop>false</ScaleCrop>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Wang</dc:creator>
  <cp:keywords/>
  <dc:description/>
  <cp:lastModifiedBy>Zheng Wang</cp:lastModifiedBy>
  <cp:revision>2</cp:revision>
  <cp:lastPrinted>2024-02-02T15:42:00Z</cp:lastPrinted>
  <dcterms:created xsi:type="dcterms:W3CDTF">2024-02-05T08:55:00Z</dcterms:created>
  <dcterms:modified xsi:type="dcterms:W3CDTF">2024-02-05T08:55:00Z</dcterms:modified>
</cp:coreProperties>
</file>