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316B" w14:textId="77777777" w:rsidR="0013314A" w:rsidRPr="00AF67ED" w:rsidRDefault="0013314A" w:rsidP="0013314A">
      <w:pPr>
        <w:spacing w:line="480" w:lineRule="auto"/>
        <w:jc w:val="center"/>
        <w:rPr>
          <w:rFonts w:ascii="Arial" w:hAnsi="Arial" w:cs="Arial"/>
          <w:b/>
          <w:sz w:val="44"/>
          <w:szCs w:val="44"/>
        </w:rPr>
      </w:pPr>
      <w:r w:rsidRPr="00AF67ED">
        <w:rPr>
          <w:rFonts w:ascii="Arial" w:hAnsi="Arial" w:cs="Arial"/>
          <w:b/>
          <w:sz w:val="44"/>
          <w:szCs w:val="44"/>
        </w:rPr>
        <w:t>Supplemental Information</w:t>
      </w:r>
    </w:p>
    <w:p w14:paraId="53DF66D6" w14:textId="77777777" w:rsidR="00675AC2" w:rsidRPr="004856E9" w:rsidRDefault="00675AC2" w:rsidP="00675AC2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 w:hint="eastAsia"/>
          <w:b/>
          <w:bCs/>
          <w:sz w:val="36"/>
          <w:szCs w:val="36"/>
        </w:rPr>
        <w:t>F</w:t>
      </w:r>
      <w:r w:rsidRPr="00502378">
        <w:rPr>
          <w:rFonts w:ascii="Arial" w:hAnsi="Arial" w:cs="Arial"/>
          <w:b/>
          <w:bCs/>
          <w:sz w:val="36"/>
          <w:szCs w:val="36"/>
        </w:rPr>
        <w:t>acile sulfonation of lignite for Cadmium removal: performance, mechanism, and recovery</w:t>
      </w:r>
      <w:r>
        <w:rPr>
          <w:rFonts w:ascii="Arial" w:hAnsi="Arial" w:cs="Arial" w:hint="eastAsia"/>
          <w:b/>
          <w:bCs/>
          <w:sz w:val="36"/>
          <w:szCs w:val="36"/>
        </w:rPr>
        <w:t xml:space="preserve"> as photocatalysts</w:t>
      </w:r>
    </w:p>
    <w:p w14:paraId="4E39F846" w14:textId="77777777" w:rsidR="00EE0F2A" w:rsidRPr="002220BF" w:rsidRDefault="00EE0F2A" w:rsidP="00EE0F2A">
      <w:pPr>
        <w:spacing w:line="480" w:lineRule="auto"/>
        <w:jc w:val="center"/>
        <w:rPr>
          <w:rFonts w:ascii="Arial" w:hAnsi="Arial" w:cs="Arial"/>
        </w:rPr>
      </w:pPr>
      <w:r w:rsidRPr="002220BF">
        <w:rPr>
          <w:rFonts w:ascii="Arial" w:hAnsi="Arial" w:cs="Arial"/>
        </w:rPr>
        <w:t xml:space="preserve">Jing Hu </w:t>
      </w:r>
      <w:r w:rsidRPr="002220BF">
        <w:rPr>
          <w:rFonts w:ascii="Arial" w:hAnsi="Arial" w:cs="Arial"/>
          <w:vertAlign w:val="superscript"/>
        </w:rPr>
        <w:t>a</w:t>
      </w:r>
      <w:r w:rsidRPr="002220BF">
        <w:rPr>
          <w:rFonts w:ascii="Arial" w:hAnsi="Arial" w:cs="Arial"/>
        </w:rPr>
        <w:t xml:space="preserve">, Bing Han </w:t>
      </w:r>
      <w:r w:rsidRPr="002220BF">
        <w:rPr>
          <w:rFonts w:ascii="Arial" w:hAnsi="Arial" w:cs="Arial"/>
          <w:vertAlign w:val="superscript"/>
        </w:rPr>
        <w:t>a</w:t>
      </w:r>
      <w:r>
        <w:rPr>
          <w:rFonts w:ascii="Arial" w:hAnsi="Arial" w:cs="Arial" w:hint="eastAsia"/>
          <w:vertAlign w:val="superscript"/>
        </w:rPr>
        <w:t>, b</w:t>
      </w:r>
      <w:r w:rsidRPr="002220BF">
        <w:rPr>
          <w:rFonts w:ascii="Arial" w:hAnsi="Arial" w:cs="Arial"/>
        </w:rPr>
        <w:t xml:space="preserve">, Clayton Butterly </w:t>
      </w:r>
      <w:r w:rsidRPr="002220BF">
        <w:rPr>
          <w:rFonts w:ascii="Arial" w:hAnsi="Arial" w:cs="Arial"/>
          <w:vertAlign w:val="superscript"/>
        </w:rPr>
        <w:t>a</w:t>
      </w:r>
      <w:r w:rsidRPr="002220BF">
        <w:rPr>
          <w:rFonts w:ascii="Arial" w:hAnsi="Arial" w:cs="Arial"/>
        </w:rPr>
        <w:t xml:space="preserve">, Wei Zhang </w:t>
      </w:r>
      <w:r w:rsidRPr="002220BF">
        <w:rPr>
          <w:rFonts w:ascii="Arial" w:hAnsi="Arial" w:cs="Arial"/>
          <w:vertAlign w:val="superscript"/>
        </w:rPr>
        <w:t xml:space="preserve">a, </w:t>
      </w:r>
      <w:r>
        <w:rPr>
          <w:rFonts w:ascii="Arial" w:hAnsi="Arial" w:cs="Arial" w:hint="eastAsia"/>
          <w:vertAlign w:val="superscript"/>
        </w:rPr>
        <w:t>c, d</w:t>
      </w:r>
      <w:r w:rsidRPr="002220BF">
        <w:rPr>
          <w:rFonts w:ascii="Arial" w:hAnsi="Arial" w:cs="Arial"/>
        </w:rPr>
        <w:t xml:space="preserve">, Ji-Zheng He </w:t>
      </w:r>
      <w:r w:rsidRPr="002220BF">
        <w:rPr>
          <w:rFonts w:ascii="Arial" w:hAnsi="Arial" w:cs="Arial"/>
          <w:vertAlign w:val="superscript"/>
        </w:rPr>
        <w:t>a</w:t>
      </w:r>
      <w:r w:rsidRPr="002220BF">
        <w:rPr>
          <w:rFonts w:ascii="Arial" w:hAnsi="Arial" w:cs="Arial"/>
        </w:rPr>
        <w:t xml:space="preserve">, Deli Chen </w:t>
      </w:r>
      <w:r w:rsidRPr="002220BF">
        <w:rPr>
          <w:rFonts w:ascii="Arial" w:hAnsi="Arial" w:cs="Arial"/>
          <w:vertAlign w:val="superscript"/>
        </w:rPr>
        <w:t xml:space="preserve">a, </w:t>
      </w:r>
      <w:r w:rsidRPr="002220BF">
        <w:rPr>
          <w:rFonts w:ascii="Arial" w:hAnsi="Arial" w:cs="Arial"/>
        </w:rPr>
        <w:t>*</w:t>
      </w:r>
    </w:p>
    <w:p w14:paraId="20F670FF" w14:textId="77777777" w:rsidR="00EE0F2A" w:rsidRDefault="00EE0F2A" w:rsidP="00EE0F2A">
      <w:pPr>
        <w:rPr>
          <w:rFonts w:ascii="Arial" w:hAnsi="Arial" w:cs="Arial"/>
          <w:i/>
          <w:iCs/>
          <w:sz w:val="18"/>
          <w:szCs w:val="18"/>
        </w:rPr>
      </w:pPr>
      <w:r w:rsidRPr="002220BF">
        <w:rPr>
          <w:rFonts w:ascii="Arial" w:hAnsi="Arial" w:cs="Arial"/>
          <w:i/>
          <w:iCs/>
          <w:sz w:val="18"/>
          <w:szCs w:val="18"/>
          <w:vertAlign w:val="superscript"/>
        </w:rPr>
        <w:t>a</w:t>
      </w:r>
      <w:r w:rsidRPr="002220BF">
        <w:rPr>
          <w:rFonts w:ascii="Arial" w:hAnsi="Arial" w:cs="Arial"/>
          <w:i/>
          <w:iCs/>
          <w:sz w:val="18"/>
          <w:szCs w:val="18"/>
        </w:rPr>
        <w:t xml:space="preserve"> School of Agriculture, Food and Ecosystem Sciences, Faculty of Science, The University of Melbourne, Parkville, VIC 3010, Australia</w:t>
      </w:r>
    </w:p>
    <w:p w14:paraId="295998C4" w14:textId="77777777" w:rsidR="00EE0F2A" w:rsidRPr="002220BF" w:rsidRDefault="00EE0F2A" w:rsidP="00EE0F2A">
      <w:pPr>
        <w:rPr>
          <w:rFonts w:ascii="Arial" w:hAnsi="Arial" w:cs="Arial"/>
          <w:i/>
          <w:iCs/>
          <w:sz w:val="18"/>
          <w:szCs w:val="18"/>
        </w:rPr>
      </w:pPr>
      <w:r w:rsidRPr="007A4E83">
        <w:rPr>
          <w:rFonts w:ascii="Arial" w:hAnsi="Arial" w:cs="Arial" w:hint="eastAsia"/>
          <w:i/>
          <w:iCs/>
          <w:sz w:val="18"/>
          <w:szCs w:val="18"/>
          <w:vertAlign w:val="superscript"/>
        </w:rPr>
        <w:t>b</w:t>
      </w:r>
      <w:r>
        <w:rPr>
          <w:rFonts w:ascii="Arial" w:hAnsi="Arial" w:cs="Arial" w:hint="eastAsia"/>
          <w:i/>
          <w:iCs/>
          <w:sz w:val="18"/>
          <w:szCs w:val="18"/>
        </w:rPr>
        <w:t xml:space="preserve"> </w:t>
      </w:r>
      <w:r w:rsidRPr="007A4E83">
        <w:rPr>
          <w:rFonts w:ascii="Arial" w:hAnsi="Arial" w:cs="Arial"/>
          <w:i/>
          <w:iCs/>
          <w:sz w:val="18"/>
          <w:szCs w:val="18"/>
        </w:rPr>
        <w:t>School of Engineering, Deakin University, Geelong, Victoria, Australia</w:t>
      </w:r>
    </w:p>
    <w:p w14:paraId="6D465E88" w14:textId="77777777" w:rsidR="00EE0F2A" w:rsidRPr="002220BF" w:rsidRDefault="00EE0F2A" w:rsidP="00EE0F2A">
      <w:p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 w:hint="eastAsia"/>
          <w:i/>
          <w:iCs/>
          <w:sz w:val="18"/>
          <w:szCs w:val="18"/>
          <w:vertAlign w:val="superscript"/>
        </w:rPr>
        <w:t>c</w:t>
      </w:r>
      <w:r w:rsidRPr="002220BF">
        <w:rPr>
          <w:rFonts w:ascii="Arial" w:hAnsi="Arial" w:cs="Arial"/>
          <w:i/>
          <w:iCs/>
          <w:sz w:val="18"/>
          <w:szCs w:val="18"/>
        </w:rPr>
        <w:t xml:space="preserve"> School of Environmental Science and Engineering, Yancheng Institute of Technology, Yancheng 224051, China</w:t>
      </w:r>
    </w:p>
    <w:p w14:paraId="3FA5849D" w14:textId="77777777" w:rsidR="00EE0F2A" w:rsidRPr="002220BF" w:rsidRDefault="00EE0F2A" w:rsidP="00EE0F2A">
      <w:p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 w:hint="eastAsia"/>
          <w:i/>
          <w:iCs/>
          <w:sz w:val="18"/>
          <w:szCs w:val="18"/>
          <w:vertAlign w:val="superscript"/>
        </w:rPr>
        <w:t>d</w:t>
      </w:r>
      <w:r w:rsidRPr="002220BF">
        <w:rPr>
          <w:rFonts w:ascii="Arial" w:hAnsi="Arial" w:cs="Arial"/>
          <w:i/>
          <w:iCs/>
          <w:sz w:val="18"/>
          <w:szCs w:val="18"/>
          <w:vertAlign w:val="superscript"/>
        </w:rPr>
        <w:t xml:space="preserve"> </w:t>
      </w:r>
      <w:r w:rsidRPr="002220BF">
        <w:rPr>
          <w:rFonts w:ascii="Arial" w:hAnsi="Arial" w:cs="Arial"/>
          <w:i/>
          <w:iCs/>
          <w:sz w:val="18"/>
          <w:szCs w:val="18"/>
        </w:rPr>
        <w:t>Jiangsu Engineering Research Center of Biomass Waste Pyrolytic Carbonization &amp; Application, Yancheng 224051, China</w:t>
      </w:r>
    </w:p>
    <w:p w14:paraId="4C91B7C2" w14:textId="77777777" w:rsidR="0013314A" w:rsidRPr="00EE0F2A" w:rsidRDefault="0013314A" w:rsidP="0013314A">
      <w:pPr>
        <w:rPr>
          <w:rFonts w:ascii="Arial" w:hAnsi="Arial" w:cs="Arial"/>
        </w:rPr>
      </w:pPr>
    </w:p>
    <w:p w14:paraId="0D436752" w14:textId="7967F2AC" w:rsidR="0013314A" w:rsidRPr="006A41FB" w:rsidRDefault="0013314A" w:rsidP="0013314A">
      <w:pPr>
        <w:rPr>
          <w:rFonts w:ascii="Arial" w:hAnsi="Arial" w:cs="Arial"/>
        </w:rPr>
      </w:pPr>
      <w:r w:rsidRPr="006A41FB">
        <w:rPr>
          <w:rFonts w:ascii="Arial" w:hAnsi="Arial" w:cs="Arial"/>
        </w:rPr>
        <w:t xml:space="preserve">Number of pages (including the cover page): </w:t>
      </w:r>
      <w:r w:rsidR="006A41FB" w:rsidRPr="006A41FB">
        <w:rPr>
          <w:rFonts w:ascii="Arial" w:hAnsi="Arial" w:cs="Arial" w:hint="eastAsia"/>
        </w:rPr>
        <w:t>5</w:t>
      </w:r>
    </w:p>
    <w:p w14:paraId="6DDF6018" w14:textId="59804F52" w:rsidR="0013314A" w:rsidRPr="006A41FB" w:rsidRDefault="0013314A" w:rsidP="0013314A">
      <w:pPr>
        <w:rPr>
          <w:rFonts w:ascii="Arial" w:hAnsi="Arial" w:cs="Arial"/>
        </w:rPr>
      </w:pPr>
      <w:r w:rsidRPr="006A41FB">
        <w:rPr>
          <w:rFonts w:ascii="Arial" w:hAnsi="Arial" w:cs="Arial"/>
        </w:rPr>
        <w:t xml:space="preserve">Number of figures: </w:t>
      </w:r>
      <w:r w:rsidR="006A41FB" w:rsidRPr="006A41FB">
        <w:rPr>
          <w:rFonts w:ascii="Arial" w:hAnsi="Arial" w:cs="Arial" w:hint="eastAsia"/>
        </w:rPr>
        <w:t>3</w:t>
      </w:r>
    </w:p>
    <w:p w14:paraId="2D767879" w14:textId="1F0E15B9" w:rsidR="0013314A" w:rsidRPr="006A41FB" w:rsidRDefault="0013314A" w:rsidP="0013314A">
      <w:pPr>
        <w:rPr>
          <w:rFonts w:ascii="Arial" w:hAnsi="Arial" w:cs="Arial"/>
        </w:rPr>
      </w:pPr>
      <w:r w:rsidRPr="006A41FB">
        <w:rPr>
          <w:rFonts w:ascii="Arial" w:hAnsi="Arial" w:cs="Arial"/>
        </w:rPr>
        <w:t xml:space="preserve">Number of tables: </w:t>
      </w:r>
      <w:r w:rsidR="006A41FB" w:rsidRPr="006A41FB">
        <w:rPr>
          <w:rFonts w:ascii="Arial" w:hAnsi="Arial" w:cs="Arial" w:hint="eastAsia"/>
        </w:rPr>
        <w:t>1</w:t>
      </w:r>
    </w:p>
    <w:p w14:paraId="34F88842" w14:textId="77777777" w:rsidR="0013314A" w:rsidRPr="006A41FB" w:rsidRDefault="0013314A" w:rsidP="0013314A">
      <w:pPr>
        <w:rPr>
          <w:rFonts w:ascii="Arial" w:hAnsi="Arial" w:cs="Arial"/>
        </w:rPr>
      </w:pPr>
    </w:p>
    <w:p w14:paraId="3D901EB3" w14:textId="77777777" w:rsidR="0013314A" w:rsidRPr="006A41FB" w:rsidRDefault="0013314A" w:rsidP="0013314A">
      <w:pPr>
        <w:rPr>
          <w:rFonts w:ascii="Arial" w:hAnsi="Arial" w:cs="Arial"/>
        </w:rPr>
      </w:pPr>
      <w:r w:rsidRPr="006A41FB">
        <w:rPr>
          <w:rFonts w:ascii="Arial" w:hAnsi="Arial" w:cs="Arial"/>
        </w:rPr>
        <w:t>* Corresponding author: Deli Chen. E-mail address: delichen@unimelb.edu.au</w:t>
      </w:r>
    </w:p>
    <w:p w14:paraId="6217CAFD" w14:textId="1AF8A7E8" w:rsidR="00202601" w:rsidRDefault="00202601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04E3C9B" w14:textId="4D66B02B" w:rsidR="009250F5" w:rsidRDefault="002770CA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6A3087B" wp14:editId="2CB8F012">
            <wp:extent cx="5718810" cy="2560320"/>
            <wp:effectExtent l="0" t="0" r="0" b="0"/>
            <wp:docPr id="4932402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91E5B" w14:textId="46846DCA" w:rsidR="0044652C" w:rsidRPr="008F74A8" w:rsidRDefault="0044652C" w:rsidP="0044652C">
      <w:pPr>
        <w:spacing w:line="480" w:lineRule="auto"/>
        <w:rPr>
          <w:rFonts w:ascii="Arial" w:hAnsi="Arial" w:cs="Arial"/>
        </w:rPr>
      </w:pPr>
      <w:r w:rsidRPr="001D01B1">
        <w:rPr>
          <w:rFonts w:ascii="Arial" w:hAnsi="Arial" w:cs="Arial"/>
          <w:b/>
          <w:bCs/>
        </w:rPr>
        <w:t>Fig</w:t>
      </w:r>
      <w:r w:rsidR="00D61BB4">
        <w:rPr>
          <w:rFonts w:ascii="Arial" w:hAnsi="Arial" w:cs="Arial" w:hint="eastAsia"/>
          <w:b/>
          <w:bCs/>
        </w:rPr>
        <w:t>.</w:t>
      </w:r>
      <w:r w:rsidRPr="001D01B1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 w:hint="eastAsia"/>
          <w:b/>
          <w:bCs/>
        </w:rPr>
        <w:t>1</w:t>
      </w:r>
      <w:r w:rsidRPr="008F74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8142BC">
        <w:rPr>
          <w:rFonts w:ascii="Arial" w:hAnsi="Arial" w:cs="Arial" w:hint="eastAsia"/>
        </w:rPr>
        <w:t>SEM-</w:t>
      </w:r>
      <w:r>
        <w:rPr>
          <w:rFonts w:ascii="Arial" w:hAnsi="Arial" w:cs="Arial"/>
        </w:rPr>
        <w:t xml:space="preserve">EDS mapping for </w:t>
      </w:r>
      <w:r>
        <w:rPr>
          <w:rFonts w:ascii="Arial" w:hAnsi="Arial" w:cs="Arial" w:hint="eastAsia"/>
        </w:rPr>
        <w:t>S</w:t>
      </w:r>
      <w:r>
        <w:rPr>
          <w:rFonts w:ascii="Arial" w:hAnsi="Arial" w:cs="Arial"/>
        </w:rPr>
        <w:t xml:space="preserve">L after Cd adsorption showing </w:t>
      </w:r>
      <w:r>
        <w:rPr>
          <w:rFonts w:ascii="Arial" w:hAnsi="Arial" w:cs="Arial" w:hint="eastAsia"/>
        </w:rPr>
        <w:t>t</w:t>
      </w:r>
      <w:r>
        <w:rPr>
          <w:rFonts w:ascii="Arial" w:hAnsi="Arial" w:cs="Arial"/>
        </w:rPr>
        <w:t xml:space="preserve">he successful adsorption of Cd on its surface. (a) EDS element distributions for </w:t>
      </w:r>
      <w:r>
        <w:rPr>
          <w:rFonts w:ascii="Arial" w:hAnsi="Arial" w:cs="Arial" w:hint="eastAsia"/>
        </w:rPr>
        <w:t>S</w:t>
      </w:r>
      <w:r>
        <w:rPr>
          <w:rFonts w:ascii="Arial" w:hAnsi="Arial" w:cs="Arial"/>
        </w:rPr>
        <w:t xml:space="preserve">L after Cd adsorption and (b) Cd mapping for </w:t>
      </w:r>
      <w:r>
        <w:rPr>
          <w:rFonts w:ascii="Arial" w:hAnsi="Arial" w:cs="Arial" w:hint="eastAsia"/>
        </w:rPr>
        <w:t>S</w:t>
      </w:r>
      <w:r>
        <w:rPr>
          <w:rFonts w:ascii="Arial" w:hAnsi="Arial" w:cs="Arial"/>
        </w:rPr>
        <w:t>L after Cd adsorption.</w:t>
      </w:r>
    </w:p>
    <w:p w14:paraId="3306D8B9" w14:textId="4BED6BAA" w:rsidR="004B6EAB" w:rsidRDefault="004B6EAB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044F3BE" w14:textId="1AEF123C" w:rsidR="00F22D3C" w:rsidRDefault="001939DE" w:rsidP="0044652C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F475775" wp14:editId="3377EDEB">
            <wp:extent cx="5721350" cy="1803400"/>
            <wp:effectExtent l="0" t="0" r="0" b="6350"/>
            <wp:docPr id="1488171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35F7E" w14:textId="7FF34F2A" w:rsidR="00974AFC" w:rsidRDefault="00D61BB4" w:rsidP="00355AF0">
      <w:pPr>
        <w:spacing w:line="480" w:lineRule="auto"/>
        <w:rPr>
          <w:rFonts w:ascii="Arial" w:hAnsi="Arial" w:cs="Arial"/>
        </w:rPr>
      </w:pPr>
      <w:r w:rsidRPr="001D01B1">
        <w:rPr>
          <w:rFonts w:ascii="Arial" w:hAnsi="Arial" w:cs="Arial"/>
          <w:b/>
          <w:bCs/>
        </w:rPr>
        <w:t>Fig</w:t>
      </w:r>
      <w:r>
        <w:rPr>
          <w:rFonts w:ascii="Arial" w:hAnsi="Arial" w:cs="Arial" w:hint="eastAsia"/>
          <w:b/>
          <w:bCs/>
        </w:rPr>
        <w:t>.</w:t>
      </w:r>
      <w:r w:rsidRPr="001D01B1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 w:hint="eastAsia"/>
          <w:b/>
          <w:bCs/>
        </w:rPr>
        <w:t>2</w:t>
      </w:r>
      <w:r w:rsidR="008142BC">
        <w:rPr>
          <w:rFonts w:ascii="Arial" w:hAnsi="Arial" w:cs="Arial" w:hint="eastAsia"/>
        </w:rPr>
        <w:t xml:space="preserve"> TEM-EDS mapping for </w:t>
      </w:r>
      <w:r w:rsidR="0052045D">
        <w:rPr>
          <w:rFonts w:ascii="Arial" w:hAnsi="Arial" w:cs="Arial" w:hint="eastAsia"/>
        </w:rPr>
        <w:t xml:space="preserve">SL </w:t>
      </w:r>
      <w:r w:rsidR="00C50477">
        <w:rPr>
          <w:rFonts w:ascii="Arial" w:hAnsi="Arial" w:cs="Arial" w:hint="eastAsia"/>
        </w:rPr>
        <w:t xml:space="preserve">(a) </w:t>
      </w:r>
      <w:r w:rsidR="00355AF0">
        <w:rPr>
          <w:rFonts w:ascii="Arial" w:hAnsi="Arial" w:cs="Arial"/>
        </w:rPr>
        <w:t>shows</w:t>
      </w:r>
      <w:r w:rsidR="00AB6F4D">
        <w:rPr>
          <w:rFonts w:ascii="Arial" w:hAnsi="Arial" w:cs="Arial" w:hint="eastAsia"/>
        </w:rPr>
        <w:t xml:space="preserve"> the distri</w:t>
      </w:r>
      <w:r w:rsidR="00C50477">
        <w:rPr>
          <w:rFonts w:ascii="Arial" w:hAnsi="Arial" w:cs="Arial" w:hint="eastAsia"/>
        </w:rPr>
        <w:t xml:space="preserve">bution of </w:t>
      </w:r>
      <w:r w:rsidR="00355AF0">
        <w:rPr>
          <w:rFonts w:ascii="Arial" w:hAnsi="Arial" w:cs="Arial" w:hint="eastAsia"/>
        </w:rPr>
        <w:t>C (b), S (c), and Cd (d</w:t>
      </w:r>
      <w:r w:rsidR="00355AF0">
        <w:rPr>
          <w:rFonts w:ascii="Arial" w:hAnsi="Arial" w:cs="Arial"/>
        </w:rPr>
        <w:t>) elements</w:t>
      </w:r>
      <w:r w:rsidR="00355AF0">
        <w:rPr>
          <w:rFonts w:ascii="Arial" w:hAnsi="Arial" w:cs="Arial" w:hint="eastAsia"/>
        </w:rPr>
        <w:t>.</w:t>
      </w:r>
    </w:p>
    <w:p w14:paraId="34CCD1A2" w14:textId="3092FB1C" w:rsidR="00F22D3C" w:rsidRDefault="00F22D3C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A14044A" w14:textId="1C99959E" w:rsidR="004A16E0" w:rsidRDefault="004A16E0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BC7C064" wp14:editId="12A344F8">
            <wp:extent cx="5727700" cy="4381500"/>
            <wp:effectExtent l="0" t="0" r="6350" b="0"/>
            <wp:docPr id="1911179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D0E1D" w14:textId="6E342B76" w:rsidR="004A16E0" w:rsidRDefault="00D61BB4" w:rsidP="004A16E0">
      <w:pPr>
        <w:spacing w:line="480" w:lineRule="auto"/>
        <w:rPr>
          <w:rFonts w:ascii="Arial" w:hAnsi="Arial" w:cs="Arial"/>
        </w:rPr>
      </w:pPr>
      <w:r w:rsidRPr="001D01B1">
        <w:rPr>
          <w:rFonts w:ascii="Arial" w:hAnsi="Arial" w:cs="Arial"/>
          <w:b/>
          <w:bCs/>
        </w:rPr>
        <w:t>Fig</w:t>
      </w:r>
      <w:r>
        <w:rPr>
          <w:rFonts w:ascii="Arial" w:hAnsi="Arial" w:cs="Arial" w:hint="eastAsia"/>
          <w:b/>
          <w:bCs/>
        </w:rPr>
        <w:t>.</w:t>
      </w:r>
      <w:r w:rsidRPr="001D01B1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 w:hint="eastAsia"/>
          <w:b/>
          <w:bCs/>
        </w:rPr>
        <w:t>3</w:t>
      </w:r>
      <w:r w:rsidR="004A16E0">
        <w:rPr>
          <w:rFonts w:ascii="Arial" w:hAnsi="Arial" w:cs="Arial" w:hint="eastAsia"/>
        </w:rPr>
        <w:t xml:space="preserve"> MB degradation under light exposure without </w:t>
      </w:r>
      <w:r w:rsidR="00B93297">
        <w:rPr>
          <w:rFonts w:ascii="Arial" w:hAnsi="Arial" w:cs="Arial" w:hint="eastAsia"/>
        </w:rPr>
        <w:t>photocatalysts.</w:t>
      </w:r>
    </w:p>
    <w:p w14:paraId="33EC7101" w14:textId="7B26946E" w:rsidR="004A16E0" w:rsidRPr="00B93297" w:rsidRDefault="00B93297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24FCF46" w14:textId="793A358D" w:rsidR="00805CC8" w:rsidRPr="008F74A8" w:rsidRDefault="00805CC8" w:rsidP="00805CC8">
      <w:pPr>
        <w:spacing w:line="480" w:lineRule="auto"/>
        <w:rPr>
          <w:rFonts w:ascii="Arial" w:hAnsi="Arial" w:cs="Arial"/>
        </w:rPr>
      </w:pPr>
      <w:r w:rsidRPr="001D01B1">
        <w:rPr>
          <w:rFonts w:ascii="Arial" w:hAnsi="Arial" w:cs="Arial"/>
          <w:b/>
          <w:bCs/>
        </w:rPr>
        <w:lastRenderedPageBreak/>
        <w:t>Table S</w:t>
      </w:r>
      <w:r w:rsidR="002137C6">
        <w:rPr>
          <w:rFonts w:ascii="Arial" w:hAnsi="Arial" w:cs="Arial" w:hint="eastAsia"/>
          <w:b/>
          <w:bCs/>
        </w:rPr>
        <w:t>1</w:t>
      </w:r>
      <w:r w:rsidRPr="008F74A8">
        <w:rPr>
          <w:rFonts w:ascii="Arial" w:hAnsi="Arial" w:cs="Arial"/>
        </w:rPr>
        <w:t xml:space="preserve"> Exchange ion concentration in </w:t>
      </w:r>
      <w:r>
        <w:rPr>
          <w:rFonts w:ascii="Arial" w:hAnsi="Arial" w:cs="Arial"/>
        </w:rPr>
        <w:t xml:space="preserve">blank solution and </w:t>
      </w:r>
      <w:r w:rsidRPr="008F74A8">
        <w:rPr>
          <w:rFonts w:ascii="Arial" w:hAnsi="Arial" w:cs="Arial"/>
        </w:rPr>
        <w:t>the supernatant after Cd adsorption</w:t>
      </w:r>
      <w:r>
        <w:rPr>
          <w:rFonts w:ascii="Arial" w:hAnsi="Arial" w:cs="Arial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05CC8" w:rsidRPr="004B412B" w14:paraId="3977A25C" w14:textId="77777777" w:rsidTr="00A413F8">
        <w:tc>
          <w:tcPr>
            <w:tcW w:w="2765" w:type="dxa"/>
            <w:tcBorders>
              <w:bottom w:val="single" w:sz="4" w:space="0" w:color="auto"/>
            </w:tcBorders>
          </w:tcPr>
          <w:p w14:paraId="5ACFA039" w14:textId="77777777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/>
              </w:rPr>
              <w:t>Solution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6A4284D8" w14:textId="564A248A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 w:hint="eastAsia"/>
              </w:rPr>
              <w:t>Al</w:t>
            </w:r>
            <w:r w:rsidRPr="004B412B">
              <w:rPr>
                <w:rFonts w:ascii="Arial" w:hAnsi="Arial" w:cs="Arial"/>
              </w:rPr>
              <w:t xml:space="preserve"> (mg/L)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14EF4004" w14:textId="7568996C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/>
              </w:rPr>
              <w:t>Ca (mg/L)</w:t>
            </w:r>
          </w:p>
        </w:tc>
      </w:tr>
      <w:tr w:rsidR="00805CC8" w:rsidRPr="004B412B" w14:paraId="7112BA88" w14:textId="77777777" w:rsidTr="00A413F8">
        <w:tc>
          <w:tcPr>
            <w:tcW w:w="2765" w:type="dxa"/>
            <w:tcBorders>
              <w:bottom w:val="nil"/>
            </w:tcBorders>
          </w:tcPr>
          <w:p w14:paraId="3D9C7325" w14:textId="77777777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/>
              </w:rPr>
              <w:t>Blank solution</w:t>
            </w:r>
          </w:p>
        </w:tc>
        <w:tc>
          <w:tcPr>
            <w:tcW w:w="2765" w:type="dxa"/>
            <w:tcBorders>
              <w:bottom w:val="nil"/>
            </w:tcBorders>
          </w:tcPr>
          <w:p w14:paraId="35FA3679" w14:textId="2CA97D49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/>
              </w:rPr>
              <w:t>0.</w:t>
            </w:r>
            <w:r w:rsidR="00C00068" w:rsidRPr="004B412B">
              <w:rPr>
                <w:rFonts w:ascii="Arial" w:hAnsi="Arial" w:cs="Arial" w:hint="eastAsia"/>
              </w:rPr>
              <w:t>62</w:t>
            </w:r>
          </w:p>
        </w:tc>
        <w:tc>
          <w:tcPr>
            <w:tcW w:w="2766" w:type="dxa"/>
            <w:tcBorders>
              <w:bottom w:val="nil"/>
            </w:tcBorders>
          </w:tcPr>
          <w:p w14:paraId="5B08863D" w14:textId="6B6E37C3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/>
              </w:rPr>
              <w:t>0.0</w:t>
            </w:r>
            <w:r w:rsidR="00C00068" w:rsidRPr="004B412B">
              <w:rPr>
                <w:rFonts w:ascii="Arial" w:hAnsi="Arial" w:cs="Arial" w:hint="eastAsia"/>
              </w:rPr>
              <w:t>4</w:t>
            </w:r>
          </w:p>
        </w:tc>
      </w:tr>
      <w:tr w:rsidR="00805CC8" w:rsidRPr="004B412B" w14:paraId="79ACD027" w14:textId="77777777" w:rsidTr="00A413F8">
        <w:tc>
          <w:tcPr>
            <w:tcW w:w="2765" w:type="dxa"/>
            <w:tcBorders>
              <w:top w:val="nil"/>
            </w:tcBorders>
          </w:tcPr>
          <w:p w14:paraId="768AF494" w14:textId="77777777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/>
              </w:rPr>
              <w:t>Cd solution</w:t>
            </w:r>
          </w:p>
        </w:tc>
        <w:tc>
          <w:tcPr>
            <w:tcW w:w="2765" w:type="dxa"/>
            <w:tcBorders>
              <w:top w:val="nil"/>
            </w:tcBorders>
          </w:tcPr>
          <w:p w14:paraId="4BD5D7A9" w14:textId="4E38AEFC" w:rsidR="00805CC8" w:rsidRPr="004B412B" w:rsidRDefault="00C0006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 w:hint="eastAsia"/>
              </w:rPr>
              <w:t>3.</w:t>
            </w:r>
            <w:r w:rsidR="004B412B" w:rsidRPr="004B412B">
              <w:rPr>
                <w:rFonts w:ascii="Arial" w:hAnsi="Arial" w:cs="Arial" w:hint="eastAsia"/>
              </w:rPr>
              <w:t>12</w:t>
            </w:r>
          </w:p>
        </w:tc>
        <w:tc>
          <w:tcPr>
            <w:tcW w:w="2766" w:type="dxa"/>
            <w:tcBorders>
              <w:top w:val="nil"/>
            </w:tcBorders>
          </w:tcPr>
          <w:p w14:paraId="65BF5F03" w14:textId="7396493B" w:rsidR="00805CC8" w:rsidRPr="004B412B" w:rsidRDefault="00805CC8" w:rsidP="0063596E">
            <w:pPr>
              <w:spacing w:line="480" w:lineRule="auto"/>
              <w:rPr>
                <w:rFonts w:ascii="Arial" w:hAnsi="Arial" w:cs="Arial"/>
              </w:rPr>
            </w:pPr>
            <w:r w:rsidRPr="004B412B">
              <w:rPr>
                <w:rFonts w:ascii="Arial" w:hAnsi="Arial" w:cs="Arial"/>
              </w:rPr>
              <w:t>0.</w:t>
            </w:r>
            <w:r w:rsidR="00C00068" w:rsidRPr="004B412B">
              <w:rPr>
                <w:rFonts w:ascii="Arial" w:hAnsi="Arial" w:cs="Arial" w:hint="eastAsia"/>
              </w:rPr>
              <w:t>83</w:t>
            </w:r>
          </w:p>
        </w:tc>
      </w:tr>
    </w:tbl>
    <w:p w14:paraId="11B8310C" w14:textId="77777777" w:rsidR="00F22D3C" w:rsidRPr="005A27DB" w:rsidRDefault="00F22D3C" w:rsidP="0044652C">
      <w:pPr>
        <w:rPr>
          <w:rFonts w:ascii="Arial" w:hAnsi="Arial" w:cs="Arial"/>
        </w:rPr>
      </w:pPr>
    </w:p>
    <w:sectPr w:rsidR="00F22D3C" w:rsidRPr="005A2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35"/>
    <w:rsid w:val="00034EEC"/>
    <w:rsid w:val="0013314A"/>
    <w:rsid w:val="0016711E"/>
    <w:rsid w:val="001939DE"/>
    <w:rsid w:val="00202601"/>
    <w:rsid w:val="002137C6"/>
    <w:rsid w:val="00251EF0"/>
    <w:rsid w:val="002770CA"/>
    <w:rsid w:val="00287596"/>
    <w:rsid w:val="00355AF0"/>
    <w:rsid w:val="0044652C"/>
    <w:rsid w:val="004A16E0"/>
    <w:rsid w:val="004B412B"/>
    <w:rsid w:val="004B6EAB"/>
    <w:rsid w:val="004E663A"/>
    <w:rsid w:val="0052045D"/>
    <w:rsid w:val="005A27DB"/>
    <w:rsid w:val="00675AC2"/>
    <w:rsid w:val="006A41FB"/>
    <w:rsid w:val="007B124F"/>
    <w:rsid w:val="007F4C9B"/>
    <w:rsid w:val="00805CC8"/>
    <w:rsid w:val="008142BC"/>
    <w:rsid w:val="00821D59"/>
    <w:rsid w:val="009250F5"/>
    <w:rsid w:val="009537A6"/>
    <w:rsid w:val="00974AFC"/>
    <w:rsid w:val="00A413F8"/>
    <w:rsid w:val="00AB6F4D"/>
    <w:rsid w:val="00B7655C"/>
    <w:rsid w:val="00B93297"/>
    <w:rsid w:val="00BC55C3"/>
    <w:rsid w:val="00C00068"/>
    <w:rsid w:val="00C50477"/>
    <w:rsid w:val="00CC33B7"/>
    <w:rsid w:val="00CD4C1E"/>
    <w:rsid w:val="00D25435"/>
    <w:rsid w:val="00D61BB4"/>
    <w:rsid w:val="00D84CB2"/>
    <w:rsid w:val="00E67495"/>
    <w:rsid w:val="00EE0F2A"/>
    <w:rsid w:val="00F03FB5"/>
    <w:rsid w:val="00F22D3C"/>
    <w:rsid w:val="00F6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6878BC"/>
  <w14:defaultImageDpi w14:val="330"/>
  <w15:chartTrackingRefBased/>
  <w15:docId w15:val="{58DA9319-656C-4587-AB9D-3ED2ED47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14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4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4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4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4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4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43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43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43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43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4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4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4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4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4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4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5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43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5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43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54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43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54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4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4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5CC8"/>
    <w:pPr>
      <w:widowControl w:val="0"/>
      <w:spacing w:after="0" w:line="240" w:lineRule="auto"/>
      <w:jc w:val="both"/>
    </w:pPr>
    <w:rPr>
      <w:rFonts w:ascii="Calibri" w:hAnsi="Calibri" w:cs="Calibri"/>
      <w:color w:val="211D1E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209</Words>
  <Characters>1178</Characters>
  <Application>Microsoft Office Word</Application>
  <DocSecurity>0</DocSecurity>
  <Lines>42</Lines>
  <Paragraphs>28</Paragraphs>
  <ScaleCrop>false</ScaleCrop>
  <Company>The University of Melbourne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Hu</dc:creator>
  <cp:keywords/>
  <dc:description/>
  <cp:lastModifiedBy>Jing Hu</cp:lastModifiedBy>
  <cp:revision>29</cp:revision>
  <dcterms:created xsi:type="dcterms:W3CDTF">2024-05-08T12:37:00Z</dcterms:created>
  <dcterms:modified xsi:type="dcterms:W3CDTF">2025-02-16T06:03:00Z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dccd82d82dfe8197c00b075c314c8c9258378b9b7f53c08b729e39e38dc3e761</vt:lpwstr>
  </property>
</Properties>
</file>