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E62F" w14:textId="77777777" w:rsidR="00F31369" w:rsidRPr="00D62039" w:rsidRDefault="00F31369" w:rsidP="00B30D8F">
      <w:pPr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00303086"/>
      <w:bookmarkStart w:id="1" w:name="_Hlk83902060"/>
      <w:bookmarkEnd w:id="0"/>
      <w:r w:rsidRPr="00D62039"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 w14:paraId="7A8B93F0" w14:textId="77777777" w:rsidR="00145AF8" w:rsidRPr="00D62039" w:rsidRDefault="00145AF8" w:rsidP="00B30D8F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65624" w14:textId="0A2772B0" w:rsidR="007B67E7" w:rsidRPr="00D62039" w:rsidRDefault="00191446" w:rsidP="00FF2C8E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</w:pPr>
      <w:bookmarkStart w:id="2" w:name="_Hlk95641384"/>
      <w:r w:rsidRPr="00D62039">
        <w:rPr>
          <w:rFonts w:ascii="Times New Roman" w:eastAsia="等线" w:hAnsi="Times New Roman" w:cs="Times New Roman" w:hint="eastAsia"/>
          <w:b/>
          <w:bCs/>
          <w:color w:val="000000"/>
          <w:kern w:val="0"/>
          <w:position w:val="2"/>
          <w:sz w:val="32"/>
          <w:szCs w:val="32"/>
        </w:rPr>
        <w:t>Towards High-Voltage Supercapacitors with Suppressed</w:t>
      </w:r>
      <w:r w:rsidR="00145AF8" w:rsidRPr="00D62039">
        <w:rPr>
          <w:rFonts w:ascii="Times New Roman" w:eastAsia="等线" w:hAnsi="Times New Roman" w:cs="Times New Roman" w:hint="eastAsia"/>
          <w:b/>
          <w:bCs/>
          <w:color w:val="000000"/>
          <w:kern w:val="0"/>
          <w:position w:val="2"/>
          <w:sz w:val="32"/>
          <w:szCs w:val="32"/>
        </w:rPr>
        <w:t xml:space="preserve"> </w:t>
      </w:r>
      <w:r w:rsidRPr="00D62039">
        <w:rPr>
          <w:rFonts w:ascii="Times New Roman" w:eastAsia="等线" w:hAnsi="Times New Roman" w:cs="Times New Roman" w:hint="eastAsia"/>
          <w:b/>
          <w:bCs/>
          <w:color w:val="000000"/>
          <w:kern w:val="0"/>
          <w:position w:val="2"/>
          <w:sz w:val="32"/>
          <w:szCs w:val="32"/>
        </w:rPr>
        <w:t>Self-Discharge via a Weakly Solvating Electrolyte</w:t>
      </w:r>
      <w:bookmarkEnd w:id="1"/>
      <w:bookmarkEnd w:id="2"/>
    </w:p>
    <w:p w14:paraId="251BA7A9" w14:textId="4D339C2B" w:rsidR="00523213" w:rsidRPr="00D62039" w:rsidRDefault="00523213" w:rsidP="00523213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</w:pP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Shichao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Zhang,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†a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Shenglin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Liu,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†</w:t>
      </w:r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b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Suyang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Si,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a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Keqi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Zeng,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a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Chenxin</w:t>
      </w:r>
      <w:proofErr w:type="spellEnd"/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proofErr w:type="spellStart"/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Cai,</w:t>
      </w:r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a</w:t>
      </w:r>
      <w:proofErr w:type="spellEnd"/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Yawen </w:t>
      </w:r>
      <w:proofErr w:type="spellStart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>Tang,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a</w:t>
      </w:r>
      <w:proofErr w:type="spellEnd"/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Feng Gong,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*</w:t>
      </w:r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b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</w:rPr>
        <w:t xml:space="preserve"> Hualin Ye</w:t>
      </w: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*</w:t>
      </w:r>
      <w:r w:rsidR="00DA4D96"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a</w:t>
      </w:r>
    </w:p>
    <w:p w14:paraId="0A3A6D00" w14:textId="59481D72" w:rsidR="00DA4D96" w:rsidRPr="00D62039" w:rsidRDefault="00DA4D96" w:rsidP="00DA4D96">
      <w:pPr>
        <w:widowControl/>
        <w:spacing w:line="480" w:lineRule="auto"/>
        <w:contextualSpacing/>
        <w:rPr>
          <w:rFonts w:ascii="Times New Roman" w:eastAsia="MS Mincho" w:hAnsi="Times New Roman" w:cs="Times New Roman"/>
          <w:i/>
          <w:iCs/>
          <w:kern w:val="0"/>
          <w:sz w:val="24"/>
          <w:szCs w:val="24"/>
          <w:lang w:eastAsia="ja-JP"/>
        </w:rPr>
      </w:pPr>
      <w:r w:rsidRPr="00D62039">
        <w:rPr>
          <w:rFonts w:ascii="Times New Roman" w:hAnsi="Times New Roman" w:cs="Times New Roman" w:hint="eastAsia"/>
          <w:i/>
          <w:iCs/>
          <w:kern w:val="22"/>
          <w:sz w:val="24"/>
          <w:szCs w:val="24"/>
          <w:vertAlign w:val="superscript"/>
        </w:rPr>
        <w:t xml:space="preserve">a </w:t>
      </w:r>
      <w:r w:rsidRPr="00D62039">
        <w:rPr>
          <w:rFonts w:ascii="Times New Roman" w:eastAsia="MS Mincho" w:hAnsi="Times New Roman" w:cs="Times New Roman"/>
          <w:i/>
          <w:iCs/>
          <w:kern w:val="0"/>
          <w:sz w:val="24"/>
          <w:szCs w:val="24"/>
          <w:lang w:eastAsia="ja-JP"/>
        </w:rPr>
        <w:t>Jiangsu Key Laboratory of New Power Batteries,</w:t>
      </w:r>
      <w:r w:rsidRPr="00D6203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</w:t>
      </w:r>
      <w:r w:rsidRPr="00D62039">
        <w:rPr>
          <w:rFonts w:ascii="Times New Roman" w:eastAsia="MS Mincho" w:hAnsi="Times New Roman" w:cs="Times New Roman"/>
          <w:i/>
          <w:iCs/>
          <w:kern w:val="0"/>
          <w:sz w:val="24"/>
          <w:szCs w:val="24"/>
          <w:lang w:eastAsia="ja-JP"/>
        </w:rPr>
        <w:t>Jiangsu Collaborative Innovation Center of Biomedical Functional Materials, School of Chemistry and Materials Science, Nanjing Normal University, Nanjing 210023, China</w:t>
      </w:r>
      <w:r w:rsidRPr="00D6203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.</w:t>
      </w:r>
    </w:p>
    <w:p w14:paraId="77BE6AFF" w14:textId="5F1BA1E9" w:rsidR="00DA4D96" w:rsidRPr="00D62039" w:rsidRDefault="00DA4D96" w:rsidP="00DA4D96">
      <w:pPr>
        <w:widowControl/>
        <w:spacing w:line="480" w:lineRule="auto"/>
        <w:contextualSpacing/>
        <w:rPr>
          <w:rFonts w:ascii="Times New Roman" w:hAnsi="Times New Roman" w:cs="Times New Roman"/>
          <w:i/>
          <w:iCs/>
          <w:kern w:val="22"/>
          <w:sz w:val="24"/>
          <w:szCs w:val="24"/>
        </w:rPr>
      </w:pPr>
      <w:r w:rsidRPr="00D62039">
        <w:rPr>
          <w:rFonts w:ascii="Times New Roman" w:eastAsia="宋体" w:hAnsi="Times New Roman" w:cs="Times New Roman" w:hint="eastAsia"/>
          <w:i/>
          <w:iCs/>
          <w:kern w:val="22"/>
          <w:sz w:val="24"/>
          <w:szCs w:val="24"/>
          <w:vertAlign w:val="superscript"/>
        </w:rPr>
        <w:t xml:space="preserve">b </w:t>
      </w:r>
      <w:r w:rsidRPr="00D62039">
        <w:rPr>
          <w:rFonts w:ascii="Times New Roman" w:eastAsia="宋体" w:hAnsi="Times New Roman" w:cs="Times New Roman"/>
          <w:i/>
          <w:iCs/>
          <w:kern w:val="22"/>
          <w:sz w:val="24"/>
          <w:szCs w:val="24"/>
        </w:rPr>
        <w:t>Key Laboratory of Energy Thermal Conversion and Control of Ministry of Education, School of Energy and Environment, Southeast University, Nanjing, 211189, Jiangsu, China</w:t>
      </w:r>
      <w:r w:rsidRPr="00D62039">
        <w:rPr>
          <w:rFonts w:ascii="Times New Roman" w:hAnsi="Times New Roman" w:cs="Times New Roman" w:hint="eastAsia"/>
          <w:i/>
          <w:iCs/>
          <w:kern w:val="22"/>
          <w:sz w:val="24"/>
          <w:szCs w:val="24"/>
        </w:rPr>
        <w:t>.</w:t>
      </w:r>
    </w:p>
    <w:p w14:paraId="6E377A5A" w14:textId="61F5C032" w:rsidR="00705F72" w:rsidRPr="00D62039" w:rsidRDefault="00DA4D96" w:rsidP="00DA4D96">
      <w:pPr>
        <w:widowControl/>
        <w:spacing w:line="480" w:lineRule="auto"/>
        <w:rPr>
          <w:rFonts w:ascii="Times New Roman" w:eastAsia="MS Mincho" w:hAnsi="Times New Roman" w:cs="Times New Roman"/>
          <w:i/>
          <w:iCs/>
          <w:kern w:val="0"/>
          <w:sz w:val="24"/>
          <w:szCs w:val="24"/>
        </w:rPr>
      </w:pPr>
      <w:r w:rsidRPr="00D62039">
        <w:rPr>
          <w:rFonts w:ascii="Times New Roman" w:eastAsia="等线" w:hAnsi="Times New Roman" w:cs="Times New Roman"/>
          <w:i/>
          <w:iCs/>
          <w:color w:val="000000"/>
          <w:kern w:val="0"/>
          <w:position w:val="-5"/>
          <w:sz w:val="24"/>
          <w:szCs w:val="24"/>
          <w:vertAlign w:val="superscript"/>
        </w:rPr>
        <w:t>†</w:t>
      </w:r>
      <w:r w:rsidRPr="00D6203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</w:t>
      </w:r>
      <w:r w:rsidRPr="00D62039">
        <w:rPr>
          <w:rFonts w:ascii="Times New Roman" w:eastAsia="MS Mincho" w:hAnsi="Times New Roman" w:cs="Times New Roman"/>
          <w:i/>
          <w:iCs/>
          <w:kern w:val="0"/>
          <w:sz w:val="24"/>
          <w:szCs w:val="24"/>
        </w:rPr>
        <w:t>These authors contributed equally</w:t>
      </w:r>
      <w:r w:rsidRPr="00D6203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to this work</w:t>
      </w:r>
      <w:r w:rsidRPr="00D62039">
        <w:rPr>
          <w:rFonts w:ascii="Times New Roman" w:eastAsia="MS Mincho" w:hAnsi="Times New Roman" w:cs="Times New Roman"/>
          <w:i/>
          <w:iCs/>
          <w:kern w:val="0"/>
          <w:sz w:val="24"/>
          <w:szCs w:val="24"/>
        </w:rPr>
        <w:t xml:space="preserve">. </w:t>
      </w:r>
    </w:p>
    <w:p w14:paraId="56A1780C" w14:textId="1181F587" w:rsidR="00DA4D96" w:rsidRPr="00D62039" w:rsidRDefault="00705F72" w:rsidP="00705F72">
      <w:pPr>
        <w:widowControl/>
        <w:jc w:val="left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D62039">
        <w:rPr>
          <w:rFonts w:ascii="Times New Roman" w:eastAsia="MS Mincho" w:hAnsi="Times New Roman" w:cs="Times New Roman"/>
          <w:i/>
          <w:iCs/>
          <w:kern w:val="0"/>
          <w:sz w:val="24"/>
          <w:szCs w:val="24"/>
        </w:rPr>
        <w:br w:type="page"/>
      </w:r>
    </w:p>
    <w:p w14:paraId="678EB036" w14:textId="23F2EF72" w:rsidR="00FF2C8E" w:rsidRPr="00D62039" w:rsidRDefault="00FF2C8E" w:rsidP="00705F72">
      <w:pPr>
        <w:pStyle w:val="af1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bookmarkStart w:id="3" w:name="_Hlk207375399"/>
      <w:r w:rsidRPr="00D6203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Experimental Section</w:t>
      </w:r>
      <w:bookmarkEnd w:id="3"/>
    </w:p>
    <w:p w14:paraId="1DA775D7" w14:textId="39D89E70" w:rsidR="00FF2C8E" w:rsidRPr="00D62039" w:rsidRDefault="00FF2C8E" w:rsidP="00FF2C8E">
      <w:pPr>
        <w:pStyle w:val="2"/>
        <w:numPr>
          <w:ilvl w:val="1"/>
          <w:numId w:val="5"/>
        </w:numPr>
        <w:ind w:left="357" w:hanging="357"/>
      </w:pPr>
      <w:r w:rsidRPr="00D62039">
        <w:t>Material characterizations</w:t>
      </w:r>
    </w:p>
    <w:p w14:paraId="62411B86" w14:textId="2E641983" w:rsidR="007B67E7" w:rsidRPr="00D62039" w:rsidRDefault="00DA147E" w:rsidP="00FF2C8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62039">
        <w:rPr>
          <w:rFonts w:ascii="Times New Roman" w:eastAsia="宋体" w:hAnsi="Times New Roman" w:cs="Times New Roman" w:hint="eastAsia"/>
          <w:sz w:val="24"/>
          <w:szCs w:val="24"/>
        </w:rPr>
        <w:t>The surface morphology of the carbon materials was examined using a scanning electron microscope (SEM, ZEISS Gemini 300). The porous structure and specific surface area were analyzed by nitrogen adsorption-desorption isotherms at 77 K using a surface area and porosimetry analyzer (Micromeritics, ASAP2460). The specific surface area was calculated using the Brunauer-Emmett-Teller (BET) method, and the pore size distribution was determined using the non-local density functional theory (NLDFT) model. The crystallographic structure was characterized by X-ray diffraction (XRD, Rigaku D/max 2500/PC) with Cu K</w:t>
      </w:r>
      <w:r w:rsidRPr="00D62039">
        <w:rPr>
          <w:rFonts w:ascii="Times New Roman" w:eastAsia="宋体" w:hAnsi="Times New Roman" w:cs="Times New Roman"/>
          <w:sz w:val="24"/>
          <w:szCs w:val="24"/>
        </w:rPr>
        <w:t>α</w:t>
      </w:r>
      <w:r w:rsidRPr="00D62039">
        <w:rPr>
          <w:rFonts w:ascii="Times New Roman" w:eastAsia="宋体" w:hAnsi="Times New Roman" w:cs="Times New Roman" w:hint="eastAsia"/>
          <w:sz w:val="24"/>
          <w:szCs w:val="24"/>
        </w:rPr>
        <w:t xml:space="preserve"> radiation. The degree of disorder and graphitization was assessed using a Raman spectrometer </w:t>
      </w:r>
      <w:r w:rsidRPr="00D62039">
        <w:rPr>
          <w:rFonts w:ascii="Times New Roman" w:eastAsia="宋体" w:hAnsi="Times New Roman" w:hint="eastAsia"/>
          <w:sz w:val="24"/>
          <w:szCs w:val="24"/>
        </w:rPr>
        <w:t>(</w:t>
      </w:r>
      <w:r w:rsidRPr="00D62039">
        <w:rPr>
          <w:rFonts w:ascii="Times New Roman" w:eastAsia="宋体" w:hAnsi="Times New Roman" w:cs="Times New Roman"/>
          <w:sz w:val="24"/>
          <w:szCs w:val="24"/>
        </w:rPr>
        <w:t>XploRA PLUS</w:t>
      </w:r>
      <w:r w:rsidRPr="00D62039">
        <w:rPr>
          <w:rFonts w:ascii="Times New Roman" w:eastAsia="宋体" w:hAnsi="Times New Roman" w:cs="Times New Roman" w:hint="eastAsia"/>
          <w:sz w:val="24"/>
          <w:szCs w:val="24"/>
        </w:rPr>
        <w:t>) with a 532 nm laser source. The surface elemental composition and chemical states were analyzed by X-ray photoelectron spectroscopy (XPS, Thermo Scientific K-Alpha). The wettability of the electrode materials was evaluated by measuring the contact angle of an electrolyte droplet on a pressed pellet of the carbon powder</w:t>
      </w:r>
      <w:r w:rsidR="00D1715A" w:rsidRPr="00D6203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20C7A" w:rsidRPr="00D62039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022D8D" w:rsidRPr="00D62039">
        <w:rPr>
          <w:rFonts w:ascii="Times New Roman" w:eastAsia="宋体" w:hAnsi="Times New Roman" w:cs="Times New Roman" w:hint="eastAsia"/>
          <w:sz w:val="24"/>
          <w:szCs w:val="24"/>
        </w:rPr>
        <w:t>D</w:t>
      </w:r>
      <w:r w:rsidR="00022D8D" w:rsidRPr="00D62039">
        <w:rPr>
          <w:rFonts w:ascii="Times New Roman" w:eastAsia="宋体" w:hAnsi="Times New Roman" w:cs="Times New Roman"/>
          <w:sz w:val="24"/>
          <w:szCs w:val="24"/>
        </w:rPr>
        <w:t>ataphysics</w:t>
      </w:r>
      <w:r w:rsidR="00022D8D" w:rsidRPr="00D62039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20C7A" w:rsidRPr="00D62039">
        <w:rPr>
          <w:rFonts w:ascii="Times New Roman" w:eastAsia="宋体" w:hAnsi="Times New Roman" w:cs="Times New Roman"/>
          <w:sz w:val="24"/>
          <w:szCs w:val="24"/>
        </w:rPr>
        <w:t>OCA 20</w:t>
      </w:r>
      <w:r w:rsidR="00020C7A" w:rsidRPr="00D62039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7B67E7" w:rsidRPr="00D62039">
        <w:rPr>
          <w:rFonts w:ascii="Times New Roman" w:eastAsia="宋体" w:hAnsi="Times New Roman" w:cs="Times New Roman"/>
          <w:sz w:val="24"/>
          <w:szCs w:val="24"/>
        </w:rPr>
        <w:t>.</w:t>
      </w:r>
    </w:p>
    <w:p w14:paraId="7420169E" w14:textId="384F7269" w:rsidR="00FF2C8E" w:rsidRPr="00D62039" w:rsidRDefault="00FF2C8E" w:rsidP="00FF2C8E">
      <w:pPr>
        <w:pStyle w:val="2"/>
        <w:numPr>
          <w:ilvl w:val="1"/>
          <w:numId w:val="5"/>
        </w:numPr>
        <w:ind w:left="357" w:hanging="357"/>
      </w:pPr>
      <w:r w:rsidRPr="00D62039">
        <w:rPr>
          <w:rFonts w:hint="eastAsia"/>
        </w:rPr>
        <w:t xml:space="preserve"> Kinetic Analysis of Self-Discharge Behavior</w:t>
      </w:r>
    </w:p>
    <w:p w14:paraId="32958558" w14:textId="05734B2B" w:rsidR="00FD520F" w:rsidRPr="00D62039" w:rsidRDefault="00FD520F" w:rsidP="00FD520F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 w:firstLineChars="200" w:firstLine="480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t xml:space="preserve">To quantitatively </w:t>
      </w:r>
      <w:r w:rsidR="002168AE" w:rsidRPr="00D62039">
        <w:rPr>
          <w:rFonts w:ascii="Times New Roman" w:hAnsi="Times New Roman" w:cs="Times New Roman"/>
          <w:sz w:val="24"/>
          <w:szCs w:val="24"/>
        </w:rPr>
        <w:t xml:space="preserve">investigate </w:t>
      </w:r>
      <w:r w:rsidR="00693333" w:rsidRPr="00D62039">
        <w:rPr>
          <w:rFonts w:ascii="Times New Roman" w:hAnsi="Times New Roman" w:cs="Times New Roman"/>
          <w:sz w:val="24"/>
          <w:szCs w:val="24"/>
        </w:rPr>
        <w:t xml:space="preserve">the self-discharge </w:t>
      </w:r>
      <w:r w:rsidRPr="00D62039">
        <w:rPr>
          <w:rFonts w:ascii="Times New Roman" w:hAnsi="Times New Roman" w:cs="Times New Roman"/>
          <w:sz w:val="24"/>
          <w:szCs w:val="24"/>
        </w:rPr>
        <w:t xml:space="preserve">mechanism of supercapacitor, open-circuit voltage (OCV) decay </w:t>
      </w:r>
      <w:r w:rsidR="002168AE" w:rsidRPr="00D62039">
        <w:rPr>
          <w:rFonts w:ascii="Times New Roman" w:hAnsi="Times New Roman" w:cs="Times New Roman"/>
          <w:sz w:val="24"/>
          <w:szCs w:val="24"/>
        </w:rPr>
        <w:t>curves</w:t>
      </w:r>
      <w:r w:rsidRPr="00D62039">
        <w:rPr>
          <w:rFonts w:ascii="Times New Roman" w:hAnsi="Times New Roman" w:cs="Times New Roman"/>
          <w:sz w:val="24"/>
          <w:szCs w:val="24"/>
        </w:rPr>
        <w:t xml:space="preserve"> were analyzed </w:t>
      </w:r>
      <w:r w:rsidR="002168AE" w:rsidRPr="00D62039">
        <w:rPr>
          <w:rFonts w:ascii="Times New Roman" w:hAnsi="Times New Roman" w:cs="Times New Roman"/>
          <w:sz w:val="24"/>
          <w:szCs w:val="24"/>
        </w:rPr>
        <w:t>by</w:t>
      </w:r>
      <w:r w:rsidRPr="00D62039">
        <w:rPr>
          <w:rFonts w:ascii="Times New Roman" w:hAnsi="Times New Roman" w:cs="Times New Roman"/>
          <w:sz w:val="24"/>
          <w:szCs w:val="24"/>
        </w:rPr>
        <w:t xml:space="preserve"> kinetic fitting. Based on the classical </w:t>
      </w:r>
      <w:r w:rsidR="002168AE" w:rsidRPr="00D62039">
        <w:rPr>
          <w:rFonts w:ascii="Times New Roman" w:hAnsi="Times New Roman" w:cs="Times New Roman"/>
          <w:sz w:val="24"/>
          <w:szCs w:val="24"/>
        </w:rPr>
        <w:t>model</w:t>
      </w:r>
      <w:r w:rsidRPr="00D62039">
        <w:rPr>
          <w:rFonts w:ascii="Times New Roman" w:hAnsi="Times New Roman" w:cs="Times New Roman"/>
          <w:sz w:val="24"/>
          <w:szCs w:val="24"/>
        </w:rPr>
        <w:t xml:space="preserve"> developed by B.E. Conway et al.,</w:t>
      </w:r>
      <w:r w:rsidR="002168AE" w:rsidRPr="00D62039">
        <w:rPr>
          <w:rFonts w:ascii="Times New Roman" w:hAnsi="Times New Roman" w:cs="Times New Roman"/>
          <w:sz w:val="24"/>
          <w:szCs w:val="24"/>
        </w:rPr>
        <w:t xml:space="preserve"> Faradaic-driven self-discharge can be divided into two representative processes: Activation-Controlled Faradaic Reaction (ACFR) and Diffusion-Controlled Faradaic Reaction (DCFR).</w:t>
      </w:r>
    </w:p>
    <w:p w14:paraId="7D7A9E75" w14:textId="39F512A8" w:rsidR="00FD520F" w:rsidRPr="00D62039" w:rsidRDefault="00FD520F" w:rsidP="00FD520F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 w:firstLineChars="200" w:firstLine="480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t xml:space="preserve">Activation-Controlled Faradaic Reaction (ACFR): </w:t>
      </w:r>
      <w:r w:rsidR="002168AE" w:rsidRPr="00D62039">
        <w:rPr>
          <w:rFonts w:ascii="Times New Roman" w:hAnsi="Times New Roman" w:cs="Times New Roman"/>
          <w:sz w:val="24"/>
          <w:szCs w:val="24"/>
        </w:rPr>
        <w:t>Arises from slow, continuous parasitic reactions at the electrode–electrolyte interface (</w:t>
      </w:r>
      <w:r w:rsidR="002168AE" w:rsidRPr="00D62039">
        <w:rPr>
          <w:rFonts w:ascii="Times New Roman" w:hAnsi="Times New Roman" w:cs="Times New Roman"/>
          <w:i/>
          <w:iCs/>
          <w:sz w:val="24"/>
          <w:szCs w:val="24"/>
        </w:rPr>
        <w:t>e.g.</w:t>
      </w:r>
      <w:r w:rsidR="002168AE" w:rsidRPr="00D62039">
        <w:rPr>
          <w:rFonts w:ascii="Times New Roman" w:hAnsi="Times New Roman" w:cs="Times New Roman"/>
          <w:sz w:val="24"/>
          <w:szCs w:val="24"/>
        </w:rPr>
        <w:t xml:space="preserve">, solvent oxidation). The reaction rate is determined by an activation energy barrier, and the corresponding OCV decay exhibits a linear dependence on the logarithm of time,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ln</w:t>
      </w:r>
      <w:r w:rsidRPr="00D62039">
        <w:rPr>
          <w:rFonts w:ascii="Times New Roman" w:hAnsi="Times New Roman" w:cs="Times New Roman"/>
          <w:sz w:val="24"/>
          <w:szCs w:val="24"/>
        </w:rPr>
        <w:t>(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D62039">
        <w:rPr>
          <w:rFonts w:ascii="Times New Roman" w:hAnsi="Times New Roman" w:cs="Times New Roman"/>
          <w:sz w:val="24"/>
          <w:szCs w:val="24"/>
        </w:rPr>
        <w:t>).</w:t>
      </w:r>
    </w:p>
    <w:p w14:paraId="4591C444" w14:textId="2D3FDEB9" w:rsidR="00177D58" w:rsidRPr="00D62039" w:rsidRDefault="00FD520F" w:rsidP="00177D58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 w:firstLineChars="200" w:firstLine="480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lastRenderedPageBreak/>
        <w:t xml:space="preserve">Diffusion-Controlled Faradaic Reaction (DCFR): </w:t>
      </w:r>
      <w:r w:rsidR="002168AE" w:rsidRPr="00D62039">
        <w:rPr>
          <w:rFonts w:ascii="Times New Roman" w:hAnsi="Times New Roman" w:cs="Times New Roman"/>
          <w:sz w:val="24"/>
          <w:szCs w:val="24"/>
        </w:rPr>
        <w:t xml:space="preserve">Governed by the diffusion of mobile redox-active species (e.g., dissolved shuttle molecules) from the bulk electrolyte to the electrode surface. In this case, the OCV decay is linearly proportional to the square root of time,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rad>
      </m:oMath>
      <w:r w:rsidRPr="00D62039">
        <w:rPr>
          <w:rFonts w:ascii="Times New Roman" w:hAnsi="Times New Roman" w:cs="Times New Roman"/>
          <w:sz w:val="24"/>
          <w:szCs w:val="24"/>
        </w:rPr>
        <w:t>.</w:t>
      </w:r>
    </w:p>
    <w:p w14:paraId="6D6E88B9" w14:textId="36D98B0B" w:rsidR="00FD520F" w:rsidRPr="00D62039" w:rsidRDefault="00FD520F" w:rsidP="00177D58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 w:firstLineChars="200" w:firstLine="480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t xml:space="preserve">By considering </w:t>
      </w:r>
      <w:r w:rsidR="002168AE" w:rsidRPr="00D62039">
        <w:rPr>
          <w:rFonts w:ascii="Times New Roman" w:hAnsi="Times New Roman" w:cs="Times New Roman"/>
          <w:sz w:val="24"/>
          <w:szCs w:val="24"/>
        </w:rPr>
        <w:t>ACFR and DCFR</w:t>
      </w:r>
      <w:r w:rsidRPr="00D62039">
        <w:rPr>
          <w:rFonts w:ascii="Times New Roman" w:hAnsi="Times New Roman" w:cs="Times New Roman"/>
          <w:sz w:val="24"/>
          <w:szCs w:val="24"/>
        </w:rPr>
        <w:t xml:space="preserve"> along with Ohmic leakage through internal resistance, the overall OCV decay over time (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Pr="00D62039">
        <w:rPr>
          <w:rFonts w:ascii="Times New Roman" w:hAnsi="Times New Roman" w:cs="Times New Roman"/>
          <w:sz w:val="24"/>
          <w:szCs w:val="24"/>
        </w:rPr>
        <w:t>) can be fitted using the following comprehensive equation:</w:t>
      </w:r>
    </w:p>
    <w:p w14:paraId="15748D87" w14:textId="57B4D654" w:rsidR="00FD520F" w:rsidRPr="00D62039" w:rsidRDefault="00FD520F" w:rsidP="00FD520F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jc w:val="center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Pr="00D62039">
        <w:rPr>
          <w:rFonts w:ascii="Times New Roman" w:hAnsi="Times New Roman" w:cs="Times New Roman"/>
          <w:sz w:val="24"/>
          <w:szCs w:val="24"/>
        </w:rPr>
        <w:t xml:space="preserve"> =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 xml:space="preserve">0 </w:t>
      </w:r>
      <w:r w:rsidRPr="00D62039">
        <w:rPr>
          <w:rFonts w:ascii="Times New Roman" w:hAnsi="Times New Roman" w:cs="Times New Roman"/>
          <w:sz w:val="24"/>
          <w:szCs w:val="24"/>
        </w:rPr>
        <w:t>exp(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-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RC</m:t>
            </m:r>
          </m:den>
        </m:f>
      </m:oMath>
      <w:r w:rsidRPr="00D62039">
        <w:rPr>
          <w:rFonts w:ascii="Times New Roman" w:hAnsi="Times New Roman" w:cs="Times New Roman"/>
          <w:sz w:val="24"/>
          <w:szCs w:val="24"/>
        </w:rPr>
        <w:t xml:space="preserve">) -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m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rad>
      </m:oMath>
      <w:r w:rsidRPr="00D62039">
        <w:rPr>
          <w:rFonts w:ascii="Times New Roman" w:hAnsi="Times New Roman" w:cs="Times New Roman"/>
          <w:sz w:val="24"/>
          <w:szCs w:val="24"/>
        </w:rPr>
        <w:t xml:space="preserve"> -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62039">
        <w:rPr>
          <w:rFonts w:ascii="Times New Roman" w:hAnsi="Times New Roman" w:cs="Times New Roman"/>
          <w:sz w:val="24"/>
          <w:szCs w:val="24"/>
        </w:rPr>
        <w:t xml:space="preserve"> -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bln</w:t>
      </w:r>
      <w:r w:rsidRPr="00D62039">
        <w:rPr>
          <w:rFonts w:ascii="Times New Roman" w:hAnsi="Times New Roman" w:cs="Times New Roman"/>
          <w:sz w:val="24"/>
          <w:szCs w:val="24"/>
        </w:rPr>
        <w:t>(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t+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CK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</m:oMath>
      <w:r w:rsidRPr="00D62039">
        <w:rPr>
          <w:rFonts w:ascii="Times New Roman" w:hAnsi="Times New Roman" w:cs="Times New Roman"/>
          <w:sz w:val="24"/>
          <w:szCs w:val="24"/>
        </w:rPr>
        <w:t>)</w:t>
      </w:r>
    </w:p>
    <w:p w14:paraId="3504E749" w14:textId="0F9BA568" w:rsidR="00FD520F" w:rsidRPr="00D62039" w:rsidRDefault="00177D58" w:rsidP="00FD520F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t>w</w:t>
      </w:r>
      <w:r w:rsidR="00FD520F" w:rsidRPr="00D62039">
        <w:rPr>
          <w:rFonts w:ascii="Times New Roman" w:hAnsi="Times New Roman" w:cs="Times New Roman"/>
          <w:sz w:val="24"/>
          <w:szCs w:val="24"/>
        </w:rPr>
        <w:t>here the parameters are defined as follows:</w:t>
      </w:r>
      <w:r w:rsidRPr="00D62039">
        <w:rPr>
          <w:rFonts w:ascii="Times New Roman" w:hAnsi="Times New Roman" w:cs="Times New Roman"/>
          <w:sz w:val="24"/>
          <w:szCs w:val="24"/>
        </w:rPr>
        <w:t xml:space="preserve">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cell voltage during the self-discharge process.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0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initial voltage of the cell.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time.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equivalent internal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resistance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of the cell; the first term,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 xml:space="preserve">0 </w:t>
      </w:r>
      <w:r w:rsidR="00FD520F" w:rsidRPr="00D62039">
        <w:rPr>
          <w:rFonts w:ascii="Times New Roman" w:hAnsi="Times New Roman" w:cs="Times New Roman"/>
          <w:sz w:val="24"/>
          <w:szCs w:val="24"/>
        </w:rPr>
        <w:t>exp(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-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RC</m:t>
            </m:r>
          </m:den>
        </m:f>
      </m:oMath>
      <w:r w:rsidR="00FD520F" w:rsidRPr="00D62039">
        <w:rPr>
          <w:rFonts w:ascii="Times New Roman" w:hAnsi="Times New Roman" w:cs="Times New Roman"/>
          <w:sz w:val="24"/>
          <w:szCs w:val="24"/>
        </w:rPr>
        <w:t>), describes the voltage decay due to Ohmic leakage.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 xml:space="preserve"> C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capacitance of the cell. m is a coefficient related to ion diffusion; the second term,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- m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rad>
      </m:oMath>
      <w:r w:rsidR="00FD520F" w:rsidRPr="00D62039">
        <w:rPr>
          <w:rFonts w:ascii="Times New Roman" w:hAnsi="Times New Roman" w:cs="Times New Roman"/>
          <w:sz w:val="24"/>
          <w:szCs w:val="24"/>
        </w:rPr>
        <w:t xml:space="preserve"> , describes the voltage decay caused by the DCFR process.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a constant associated with the activation-controlled reaction; the third term,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- a - bln(t+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CK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</m:oMath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, describes the voltage decay caused by the ACFR process.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a constant associated with ACFR.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0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the exchange current. </w:t>
      </w:r>
      <w:r w:rsidR="00FD520F" w:rsidRPr="00D6203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FD520F" w:rsidRPr="00D62039">
        <w:rPr>
          <w:rFonts w:ascii="Times New Roman" w:hAnsi="Times New Roman" w:cs="Times New Roman"/>
          <w:sz w:val="24"/>
          <w:szCs w:val="24"/>
        </w:rPr>
        <w:t xml:space="preserve"> is an integration constant.</w:t>
      </w:r>
    </w:p>
    <w:p w14:paraId="10053AE3" w14:textId="22791415" w:rsidR="00705F72" w:rsidRPr="00D62039" w:rsidRDefault="00FD520F" w:rsidP="002168AE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 w:firstLineChars="200" w:firstLine="480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t>By applying a non-linear fit of this equation to the experimentally measured OCV decay curves, the contribution of each</w:t>
      </w:r>
      <w:r w:rsidR="002168AE" w:rsidRPr="00D62039">
        <w:rPr>
          <w:rFonts w:ascii="Times New Roman" w:hAnsi="Times New Roman" w:cs="Times New Roman"/>
          <w:sz w:val="24"/>
          <w:szCs w:val="24"/>
        </w:rPr>
        <w:t xml:space="preserve"> process</w:t>
      </w:r>
      <w:r w:rsidRPr="00D62039">
        <w:rPr>
          <w:rFonts w:ascii="Times New Roman" w:hAnsi="Times New Roman" w:cs="Times New Roman"/>
          <w:sz w:val="24"/>
          <w:szCs w:val="24"/>
        </w:rPr>
        <w:t xml:space="preserve"> to the total self-discharge can be deconvoluted. The magnitudes of the fitted coefficients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D62039">
        <w:rPr>
          <w:rFonts w:ascii="Times New Roman" w:hAnsi="Times New Roman" w:cs="Times New Roman"/>
          <w:sz w:val="24"/>
          <w:szCs w:val="24"/>
        </w:rPr>
        <w:t xml:space="preserve"> and </w:t>
      </w:r>
      <w:r w:rsidRPr="00D62039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62039">
        <w:rPr>
          <w:rFonts w:ascii="Times New Roman" w:hAnsi="Times New Roman" w:cs="Times New Roman"/>
          <w:sz w:val="24"/>
          <w:szCs w:val="24"/>
        </w:rPr>
        <w:t xml:space="preserve"> allow for a quantitative evaluation of the severity of the DCFR and ACFR processes, respectively, thereby providing deep insight into the dominant self-discharge factors within different electrolyte systems.</w:t>
      </w:r>
    </w:p>
    <w:p w14:paraId="593A0906" w14:textId="2C9252D3" w:rsidR="00A77821" w:rsidRPr="00D62039" w:rsidRDefault="00705F72" w:rsidP="00705F7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62039">
        <w:rPr>
          <w:rFonts w:ascii="Times New Roman" w:hAnsi="Times New Roman" w:cs="Times New Roman"/>
          <w:sz w:val="24"/>
          <w:szCs w:val="24"/>
        </w:rPr>
        <w:br w:type="page"/>
      </w:r>
    </w:p>
    <w:p w14:paraId="3B32228E" w14:textId="5F0C58AE" w:rsidR="009E59A7" w:rsidRPr="00D62039" w:rsidRDefault="00FF2C8E" w:rsidP="009E59A7">
      <w:pPr>
        <w:pStyle w:val="af1"/>
        <w:widowControl/>
        <w:numPr>
          <w:ilvl w:val="0"/>
          <w:numId w:val="3"/>
        </w:numPr>
        <w:snapToGrid w:val="0"/>
        <w:spacing w:after="100" w:afterAutospacing="1" w:line="480" w:lineRule="auto"/>
        <w:ind w:left="357" w:firstLineChars="0" w:hanging="357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4" w:name="_Hlk207375779"/>
      <w:r w:rsidRPr="00D62039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 xml:space="preserve">Supporting </w:t>
      </w:r>
      <w:bookmarkEnd w:id="4"/>
      <w:r w:rsidR="009E59A7" w:rsidRPr="00D6203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Table</w:t>
      </w:r>
      <w:r w:rsidR="008C6D91" w:rsidRPr="00D6203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s</w:t>
      </w:r>
    </w:p>
    <w:p w14:paraId="7845583B" w14:textId="51A828CD" w:rsidR="00705F72" w:rsidRPr="00D62039" w:rsidRDefault="00705F72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Table S1</w:t>
      </w:r>
      <w:r w:rsidRPr="00D62039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D62039">
        <w:rPr>
          <w:rFonts w:ascii="Times New Roman" w:eastAsia="宋体" w:hAnsi="Times New Roman" w:cs="Times New Roman"/>
          <w:sz w:val="24"/>
          <w:szCs w:val="24"/>
        </w:rPr>
        <w:t xml:space="preserve">Comparison of surface area and pore structure parameters between HPC and commercial </w:t>
      </w:r>
    </w:p>
    <w:p w14:paraId="1756CAB2" w14:textId="77777777" w:rsidR="00705F72" w:rsidRPr="00D62039" w:rsidRDefault="00705F72" w:rsidP="00705F72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62039">
        <w:rPr>
          <w:rFonts w:ascii="Times New Roman" w:eastAsia="宋体" w:hAnsi="Times New Roman" w:cs="Times New Roman"/>
          <w:sz w:val="24"/>
          <w:szCs w:val="24"/>
        </w:rPr>
        <w:t>YP-50</w:t>
      </w:r>
      <w:r w:rsidRPr="00D62039">
        <w:rPr>
          <w:rFonts w:ascii="Times New Roman" w:eastAsia="宋体" w:hAnsi="Times New Roman" w:cs="Times New Roman" w:hint="eastAsia"/>
          <w:sz w:val="24"/>
          <w:szCs w:val="24"/>
        </w:rPr>
        <w:t>F.</w:t>
      </w:r>
    </w:p>
    <w:tbl>
      <w:tblPr>
        <w:tblStyle w:val="af3"/>
        <w:tblW w:w="0" w:type="auto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1735"/>
        <w:gridCol w:w="1509"/>
        <w:gridCol w:w="1488"/>
        <w:gridCol w:w="102"/>
        <w:gridCol w:w="1478"/>
        <w:gridCol w:w="1318"/>
      </w:tblGrid>
      <w:tr w:rsidR="00D930CA" w:rsidRPr="00D62039" w14:paraId="34EEC966" w14:textId="77777777" w:rsidTr="008C6D91">
        <w:trPr>
          <w:jc w:val="center"/>
        </w:trPr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E47133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Material</w:t>
            </w:r>
          </w:p>
        </w:tc>
        <w:tc>
          <w:tcPr>
            <w:tcW w:w="17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77471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Specific Surface Area (S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 xml:space="preserve">BET, 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m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2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g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-1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9ACE65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Total Pore Volume (V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t,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cm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2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g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-1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9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ECCD22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Micropore Volume (V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micro,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cm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3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g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-1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868665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Mesopore Volume (V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micro,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cm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3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 xml:space="preserve"> g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-1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DE79AE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D62039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M</w:t>
            </w:r>
            <w:r w:rsidRPr="00D62039"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ain pore size (nm)</w:t>
            </w:r>
          </w:p>
        </w:tc>
      </w:tr>
      <w:tr w:rsidR="00D930CA" w:rsidRPr="00D62039" w14:paraId="10F78FB8" w14:textId="77777777" w:rsidTr="008C6D91">
        <w:trPr>
          <w:jc w:val="center"/>
        </w:trPr>
        <w:tc>
          <w:tcPr>
            <w:tcW w:w="733" w:type="dxa"/>
            <w:tcBorders>
              <w:top w:val="single" w:sz="12" w:space="0" w:color="auto"/>
            </w:tcBorders>
            <w:vAlign w:val="center"/>
          </w:tcPr>
          <w:p w14:paraId="47B128F1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YP-50F</w:t>
            </w:r>
          </w:p>
        </w:tc>
        <w:tc>
          <w:tcPr>
            <w:tcW w:w="1735" w:type="dxa"/>
            <w:tcBorders>
              <w:top w:val="single" w:sz="12" w:space="0" w:color="auto"/>
            </w:tcBorders>
            <w:vAlign w:val="center"/>
          </w:tcPr>
          <w:p w14:paraId="727C8C0D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1580</w:t>
            </w:r>
          </w:p>
        </w:tc>
        <w:tc>
          <w:tcPr>
            <w:tcW w:w="1509" w:type="dxa"/>
            <w:tcBorders>
              <w:top w:val="single" w:sz="12" w:space="0" w:color="auto"/>
            </w:tcBorders>
            <w:vAlign w:val="center"/>
          </w:tcPr>
          <w:p w14:paraId="2F15BB25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0.75</w:t>
            </w:r>
          </w:p>
        </w:tc>
        <w:tc>
          <w:tcPr>
            <w:tcW w:w="1488" w:type="dxa"/>
            <w:tcBorders>
              <w:top w:val="single" w:sz="12" w:space="0" w:color="auto"/>
            </w:tcBorders>
            <w:vAlign w:val="center"/>
          </w:tcPr>
          <w:p w14:paraId="6FB94DFC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0.61</w:t>
            </w:r>
          </w:p>
        </w:tc>
        <w:tc>
          <w:tcPr>
            <w:tcW w:w="1580" w:type="dxa"/>
            <w:gridSpan w:val="2"/>
            <w:tcBorders>
              <w:top w:val="single" w:sz="12" w:space="0" w:color="auto"/>
            </w:tcBorders>
            <w:vAlign w:val="center"/>
          </w:tcPr>
          <w:p w14:paraId="32F1AAB1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0.58</w:t>
            </w: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7C2E22BC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0.59</w:t>
            </w:r>
          </w:p>
        </w:tc>
      </w:tr>
      <w:tr w:rsidR="00D930CA" w:rsidRPr="00D62039" w14:paraId="67714BC1" w14:textId="77777777" w:rsidTr="008C6D91">
        <w:trPr>
          <w:jc w:val="center"/>
        </w:trPr>
        <w:tc>
          <w:tcPr>
            <w:tcW w:w="733" w:type="dxa"/>
            <w:vAlign w:val="center"/>
          </w:tcPr>
          <w:p w14:paraId="04513E6B" w14:textId="7B423FFA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bookmarkStart w:id="5" w:name="OLE_LINK1"/>
            <w:r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HPC</w:t>
            </w:r>
            <w:bookmarkEnd w:id="5"/>
            <w:r w:rsidR="0011254C"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  <w:vertAlign w:val="subscript"/>
              </w:rPr>
              <w:t>insu</w:t>
            </w:r>
          </w:p>
        </w:tc>
        <w:tc>
          <w:tcPr>
            <w:tcW w:w="1735" w:type="dxa"/>
            <w:vAlign w:val="center"/>
          </w:tcPr>
          <w:p w14:paraId="3BD447AB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1991</w:t>
            </w:r>
          </w:p>
        </w:tc>
        <w:tc>
          <w:tcPr>
            <w:tcW w:w="1509" w:type="dxa"/>
            <w:vAlign w:val="center"/>
          </w:tcPr>
          <w:p w14:paraId="59CE38D2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</w:t>
            </w:r>
          </w:p>
        </w:tc>
        <w:tc>
          <w:tcPr>
            <w:tcW w:w="1488" w:type="dxa"/>
            <w:vAlign w:val="center"/>
          </w:tcPr>
          <w:p w14:paraId="5766B7FD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1.79</w:t>
            </w:r>
          </w:p>
        </w:tc>
        <w:tc>
          <w:tcPr>
            <w:tcW w:w="1580" w:type="dxa"/>
            <w:gridSpan w:val="2"/>
            <w:vAlign w:val="center"/>
          </w:tcPr>
          <w:p w14:paraId="1AAD4DBD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0.68</w:t>
            </w:r>
          </w:p>
        </w:tc>
        <w:tc>
          <w:tcPr>
            <w:tcW w:w="1318" w:type="dxa"/>
            <w:vAlign w:val="center"/>
          </w:tcPr>
          <w:p w14:paraId="058C0390" w14:textId="01B885CB" w:rsidR="00D930CA" w:rsidRPr="00D62039" w:rsidRDefault="00A770A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</w:t>
            </w:r>
            <w:r w:rsidR="008C6D91"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D930CA" w:rsidRPr="00D62039" w14:paraId="4AE40725" w14:textId="77777777" w:rsidTr="008C6D91">
        <w:trPr>
          <w:jc w:val="center"/>
        </w:trPr>
        <w:tc>
          <w:tcPr>
            <w:tcW w:w="733" w:type="dxa"/>
            <w:vAlign w:val="center"/>
          </w:tcPr>
          <w:p w14:paraId="00741DE8" w14:textId="0FB6FD28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HPC</w:t>
            </w:r>
          </w:p>
        </w:tc>
        <w:tc>
          <w:tcPr>
            <w:tcW w:w="1735" w:type="dxa"/>
            <w:vAlign w:val="center"/>
          </w:tcPr>
          <w:p w14:paraId="01AC0B40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2844</w:t>
            </w:r>
          </w:p>
        </w:tc>
        <w:tc>
          <w:tcPr>
            <w:tcW w:w="1509" w:type="dxa"/>
            <w:vAlign w:val="center"/>
          </w:tcPr>
          <w:p w14:paraId="4038520B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1.32</w:t>
            </w:r>
          </w:p>
        </w:tc>
        <w:tc>
          <w:tcPr>
            <w:tcW w:w="1488" w:type="dxa"/>
            <w:vAlign w:val="center"/>
          </w:tcPr>
          <w:p w14:paraId="4BB05363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1.79</w:t>
            </w:r>
          </w:p>
        </w:tc>
        <w:tc>
          <w:tcPr>
            <w:tcW w:w="1580" w:type="dxa"/>
            <w:gridSpan w:val="2"/>
            <w:vAlign w:val="center"/>
          </w:tcPr>
          <w:p w14:paraId="467BD0F6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</w:t>
            </w:r>
          </w:p>
        </w:tc>
        <w:tc>
          <w:tcPr>
            <w:tcW w:w="1318" w:type="dxa"/>
            <w:vAlign w:val="center"/>
          </w:tcPr>
          <w:p w14:paraId="170C3899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</w:t>
            </w:r>
          </w:p>
        </w:tc>
      </w:tr>
      <w:tr w:rsidR="00D930CA" w:rsidRPr="00D62039" w14:paraId="6687F9EB" w14:textId="77777777" w:rsidTr="008C6D91">
        <w:trPr>
          <w:jc w:val="center"/>
        </w:trPr>
        <w:tc>
          <w:tcPr>
            <w:tcW w:w="733" w:type="dxa"/>
            <w:vAlign w:val="center"/>
          </w:tcPr>
          <w:p w14:paraId="28F2EDCF" w14:textId="54DCE738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HPC</w:t>
            </w:r>
            <w:r w:rsidR="0011254C" w:rsidRPr="00D620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  <w:vertAlign w:val="subscript"/>
              </w:rPr>
              <w:t>exce</w:t>
            </w:r>
          </w:p>
        </w:tc>
        <w:tc>
          <w:tcPr>
            <w:tcW w:w="1735" w:type="dxa"/>
            <w:vAlign w:val="center"/>
          </w:tcPr>
          <w:p w14:paraId="0A99F019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1784</w:t>
            </w:r>
          </w:p>
        </w:tc>
        <w:tc>
          <w:tcPr>
            <w:tcW w:w="1509" w:type="dxa"/>
            <w:vAlign w:val="center"/>
          </w:tcPr>
          <w:p w14:paraId="4E9CB703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1.75</w:t>
            </w:r>
          </w:p>
        </w:tc>
        <w:tc>
          <w:tcPr>
            <w:tcW w:w="1488" w:type="dxa"/>
            <w:vAlign w:val="center"/>
          </w:tcPr>
          <w:p w14:paraId="6D25D650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1.75</w:t>
            </w:r>
          </w:p>
        </w:tc>
        <w:tc>
          <w:tcPr>
            <w:tcW w:w="1580" w:type="dxa"/>
            <w:gridSpan w:val="2"/>
            <w:vAlign w:val="center"/>
          </w:tcPr>
          <w:p w14:paraId="5F9BAE4D" w14:textId="77777777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0.81</w:t>
            </w:r>
          </w:p>
        </w:tc>
        <w:tc>
          <w:tcPr>
            <w:tcW w:w="1318" w:type="dxa"/>
            <w:vAlign w:val="center"/>
          </w:tcPr>
          <w:p w14:paraId="727AA7E5" w14:textId="530A8D9B" w:rsidR="00D930CA" w:rsidRPr="00D62039" w:rsidRDefault="00D930C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 w:rsidR="008C6D91" w:rsidRPr="00D620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-8</w:t>
            </w:r>
          </w:p>
        </w:tc>
      </w:tr>
    </w:tbl>
    <w:p w14:paraId="42B0ED3B" w14:textId="42FCD257" w:rsidR="00705F72" w:rsidRPr="00D62039" w:rsidRDefault="00705F72" w:rsidP="00705F72">
      <w:pPr>
        <w:pStyle w:val="af1"/>
        <w:widowControl/>
        <w:snapToGrid w:val="0"/>
        <w:spacing w:line="480" w:lineRule="auto"/>
        <w:ind w:left="360" w:firstLineChars="0" w:firstLine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81E2559" w14:textId="77777777" w:rsidR="00705F72" w:rsidRPr="00D62039" w:rsidRDefault="00705F72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62039">
        <w:rPr>
          <w:rFonts w:ascii="Times New Roman" w:hAnsi="Times New Roman" w:cs="Times New Roman"/>
          <w:b/>
          <w:bCs/>
          <w:kern w:val="0"/>
          <w:sz w:val="24"/>
          <w:szCs w:val="24"/>
        </w:rPr>
        <w:br w:type="page"/>
      </w:r>
    </w:p>
    <w:p w14:paraId="6DD9436E" w14:textId="02F1C884" w:rsidR="00705F72" w:rsidRPr="00D62039" w:rsidRDefault="00705F72" w:rsidP="00705F72">
      <w:pPr>
        <w:pStyle w:val="af1"/>
        <w:widowControl/>
        <w:numPr>
          <w:ilvl w:val="0"/>
          <w:numId w:val="3"/>
        </w:numPr>
        <w:snapToGrid w:val="0"/>
        <w:spacing w:line="480" w:lineRule="auto"/>
        <w:ind w:firstLineChars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6203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lastRenderedPageBreak/>
        <w:t>Supporting Figure</w:t>
      </w:r>
      <w:r w:rsidR="009E59A7" w:rsidRPr="00D6203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s</w:t>
      </w:r>
    </w:p>
    <w:p w14:paraId="12EEE16D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62039">
        <w:rPr>
          <w:noProof/>
        </w:rPr>
        <w:drawing>
          <wp:inline distT="0" distB="0" distL="0" distR="0" wp14:anchorId="5D94CD73" wp14:editId="309AAB64">
            <wp:extent cx="6188710" cy="1737360"/>
            <wp:effectExtent l="0" t="0" r="2540" b="0"/>
            <wp:docPr id="521531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3178" name="图片 521531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ACC84" w14:textId="77777777" w:rsidR="009E59A7" w:rsidRPr="00D62039" w:rsidRDefault="009E59A7" w:rsidP="009E59A7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S</w:t>
      </w:r>
      <w:r w:rsidRPr="00D62039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1</w:t>
      </w:r>
      <w:r w:rsidRPr="00D62039">
        <w:rPr>
          <w:rFonts w:ascii="Times New Roman" w:eastAsia="宋体" w:hAnsi="Times New Roman" w:cs="Times New Roman"/>
          <w:b/>
          <w:kern w:val="0"/>
          <w:sz w:val="24"/>
          <w:szCs w:val="24"/>
        </w:rPr>
        <w:t>.</w:t>
      </w:r>
      <w:r w:rsidRPr="00D62039">
        <w:rPr>
          <w:rFonts w:ascii="Times New Roman" w:hAnsi="Times New Roman" w:cs="Times New Roman"/>
          <w:sz w:val="24"/>
          <w:szCs w:val="28"/>
        </w:rPr>
        <w:t xml:space="preserve"> </w:t>
      </w:r>
      <w:bookmarkStart w:id="6" w:name="_Hlk214585031"/>
      <w:r w:rsidRPr="00D62039">
        <w:rPr>
          <w:rFonts w:ascii="Times New Roman" w:hAnsi="Times New Roman" w:cs="Times New Roman"/>
          <w:sz w:val="24"/>
          <w:szCs w:val="28"/>
        </w:rPr>
        <w:t>Physicochemical characterization</w:t>
      </w:r>
      <w:r w:rsidRPr="00D62039">
        <w:rPr>
          <w:rFonts w:ascii="Times New Roman" w:hAnsi="Times New Roman" w:cs="Times New Roman" w:hint="eastAsia"/>
          <w:sz w:val="24"/>
          <w:szCs w:val="28"/>
        </w:rPr>
        <w:t>s</w:t>
      </w:r>
      <w:r w:rsidRPr="00D62039">
        <w:rPr>
          <w:rFonts w:ascii="Times New Roman" w:hAnsi="Times New Roman" w:cs="Times New Roman"/>
          <w:sz w:val="24"/>
          <w:szCs w:val="28"/>
        </w:rPr>
        <w:t xml:space="preserve"> of HPC prepared with different KOH</w:t>
      </w:r>
      <w:r w:rsidRPr="00D62039">
        <w:rPr>
          <w:rFonts w:ascii="Times New Roman" w:hAnsi="Times New Roman" w:cs="Times New Roman" w:hint="eastAsia"/>
          <w:sz w:val="24"/>
          <w:szCs w:val="28"/>
        </w:rPr>
        <w:t>-to-lignin</w:t>
      </w:r>
      <w:r w:rsidRPr="00D62039">
        <w:rPr>
          <w:rFonts w:ascii="Times New Roman" w:hAnsi="Times New Roman" w:cs="Times New Roman"/>
          <w:sz w:val="24"/>
          <w:szCs w:val="28"/>
        </w:rPr>
        <w:t xml:space="preserve"> 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mass </w:t>
      </w:r>
      <w:r w:rsidRPr="00D62039">
        <w:rPr>
          <w:rFonts w:ascii="Times New Roman" w:hAnsi="Times New Roman" w:cs="Times New Roman"/>
          <w:sz w:val="24"/>
          <w:szCs w:val="28"/>
        </w:rPr>
        <w:t>ratios.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D62039">
        <w:rPr>
          <w:rFonts w:ascii="Times New Roman" w:hAnsi="Times New Roman" w:cs="Times New Roman"/>
          <w:sz w:val="24"/>
          <w:szCs w:val="28"/>
        </w:rPr>
        <w:t>(a) X-ray diffraction patterns; (b) Nitrogen adsorption–desorption isotherms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, and </w:t>
      </w:r>
      <w:r w:rsidRPr="00D62039">
        <w:rPr>
          <w:rFonts w:ascii="Times New Roman" w:hAnsi="Times New Roman" w:cs="Times New Roman"/>
          <w:sz w:val="24"/>
          <w:szCs w:val="28"/>
        </w:rPr>
        <w:t xml:space="preserve">(c) </w:t>
      </w:r>
      <w:r w:rsidRPr="00D62039">
        <w:rPr>
          <w:rFonts w:ascii="Times New Roman" w:hAnsi="Times New Roman" w:cs="Times New Roman" w:hint="eastAsia"/>
          <w:sz w:val="24"/>
          <w:szCs w:val="28"/>
        </w:rPr>
        <w:t>c</w:t>
      </w:r>
      <w:r w:rsidRPr="00D62039">
        <w:rPr>
          <w:rFonts w:ascii="Times New Roman" w:hAnsi="Times New Roman" w:cs="Times New Roman"/>
          <w:sz w:val="24"/>
          <w:szCs w:val="28"/>
        </w:rPr>
        <w:t>orresponding pore size distributions</w:t>
      </w:r>
      <w:r w:rsidRPr="00D62039">
        <w:rPr>
          <w:rFonts w:ascii="Times New Roman" w:hAnsi="Times New Roman" w:cs="Times New Roman" w:hint="eastAsia"/>
          <w:sz w:val="24"/>
          <w:szCs w:val="28"/>
        </w:rPr>
        <w:t>.</w:t>
      </w:r>
    </w:p>
    <w:bookmarkEnd w:id="6"/>
    <w:p w14:paraId="51B278BD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094B0C4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1E27945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64FC491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05E7AB3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A657316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BBB8240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8F9F100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E9D0367" w14:textId="77777777" w:rsidR="009E59A7" w:rsidRPr="00D62039" w:rsidRDefault="009E59A7" w:rsidP="009E59A7">
      <w:pPr>
        <w:widowControl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70F1FEE" w14:textId="1B2C420E" w:rsidR="005E7036" w:rsidRPr="00D62039" w:rsidRDefault="004043C3" w:rsidP="005E7036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jc w:val="center"/>
      </w:pPr>
      <w:r w:rsidRPr="00D62039">
        <w:rPr>
          <w:rFonts w:hint="eastAsia"/>
          <w:noProof/>
        </w:rPr>
        <w:lastRenderedPageBreak/>
        <w:drawing>
          <wp:inline distT="0" distB="0" distL="0" distR="0" wp14:anchorId="5DFED280" wp14:editId="48A6601F">
            <wp:extent cx="6188400" cy="2234495"/>
            <wp:effectExtent l="0" t="0" r="0" b="0"/>
            <wp:docPr id="7979572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223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AF803" w14:textId="3413BAF5" w:rsidR="00036B52" w:rsidRPr="00D62039" w:rsidRDefault="005E7036" w:rsidP="00FF2C8E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hAnsi="Times New Roman" w:cs="Times New Roman"/>
          <w:sz w:val="24"/>
          <w:szCs w:val="28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="00705F72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2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Pr="00D62039">
        <w:rPr>
          <w:rFonts w:ascii="Times New Roman" w:hAnsi="Times New Roman" w:cs="Times New Roman"/>
          <w:sz w:val="24"/>
          <w:szCs w:val="28"/>
        </w:rPr>
        <w:t xml:space="preserve"> Contact angle measurements of an electrolyte droplet on the surface of pressed pellets of (a)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 YP-50F and</w:t>
      </w:r>
      <w:r w:rsidRPr="00D62039">
        <w:rPr>
          <w:rFonts w:ascii="Times New Roman" w:hAnsi="Times New Roman" w:cs="Times New Roman"/>
          <w:sz w:val="24"/>
          <w:szCs w:val="28"/>
        </w:rPr>
        <w:t xml:space="preserve"> (b) </w:t>
      </w:r>
      <w:r w:rsidRPr="00D62039">
        <w:rPr>
          <w:rFonts w:ascii="Times New Roman" w:hAnsi="Times New Roman" w:cs="Times New Roman" w:hint="eastAsia"/>
          <w:sz w:val="24"/>
          <w:szCs w:val="28"/>
        </w:rPr>
        <w:t>HPC electrodes</w:t>
      </w:r>
      <w:r w:rsidRPr="00D62039">
        <w:rPr>
          <w:rFonts w:ascii="Times New Roman" w:hAnsi="Times New Roman" w:cs="Times New Roman"/>
          <w:sz w:val="24"/>
          <w:szCs w:val="28"/>
        </w:rPr>
        <w:t xml:space="preserve">. The significantly smaller contact angle for 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HPC electrodes </w:t>
      </w:r>
      <w:r w:rsidR="00D1715A" w:rsidRPr="00D62039">
        <w:rPr>
          <w:rFonts w:ascii="Times New Roman" w:hAnsi="Times New Roman" w:cs="Times New Roman"/>
          <w:sz w:val="24"/>
          <w:szCs w:val="28"/>
        </w:rPr>
        <w:t>reflects</w:t>
      </w:r>
      <w:r w:rsidRPr="00D62039">
        <w:rPr>
          <w:rFonts w:ascii="Times New Roman" w:hAnsi="Times New Roman" w:cs="Times New Roman"/>
          <w:sz w:val="24"/>
          <w:szCs w:val="28"/>
        </w:rPr>
        <w:t xml:space="preserve"> its superior </w:t>
      </w:r>
      <w:r w:rsidRPr="00D62039">
        <w:rPr>
          <w:rFonts w:ascii="Times New Roman" w:hAnsi="Times New Roman" w:cs="Times New Roman" w:hint="eastAsia"/>
          <w:sz w:val="24"/>
          <w:szCs w:val="28"/>
        </w:rPr>
        <w:t>electrolyte</w:t>
      </w:r>
      <w:r w:rsidRPr="00D62039">
        <w:rPr>
          <w:rFonts w:ascii="Times New Roman" w:hAnsi="Times New Roman" w:cs="Times New Roman"/>
          <w:sz w:val="24"/>
          <w:szCs w:val="28"/>
        </w:rPr>
        <w:t xml:space="preserve"> wettability, </w:t>
      </w:r>
      <w:r w:rsidRPr="00D62039">
        <w:rPr>
          <w:rFonts w:ascii="Times New Roman" w:hAnsi="Times New Roman" w:cs="Times New Roman" w:hint="eastAsia"/>
          <w:sz w:val="24"/>
          <w:szCs w:val="28"/>
        </w:rPr>
        <w:t>con</w:t>
      </w:r>
      <w:r w:rsidRPr="00D62039">
        <w:rPr>
          <w:rFonts w:ascii="Times New Roman" w:hAnsi="Times New Roman" w:cs="Times New Roman"/>
          <w:sz w:val="24"/>
          <w:szCs w:val="28"/>
        </w:rPr>
        <w:t>tribut</w:t>
      </w:r>
      <w:r w:rsidRPr="00D62039">
        <w:rPr>
          <w:rFonts w:ascii="Times New Roman" w:hAnsi="Times New Roman" w:cs="Times New Roman" w:hint="eastAsia"/>
          <w:sz w:val="24"/>
          <w:szCs w:val="28"/>
        </w:rPr>
        <w:t>ing from</w:t>
      </w:r>
      <w:r w:rsidRPr="00D62039">
        <w:rPr>
          <w:rFonts w:ascii="Times New Roman" w:hAnsi="Times New Roman" w:cs="Times New Roman"/>
          <w:sz w:val="24"/>
          <w:szCs w:val="28"/>
        </w:rPr>
        <w:t xml:space="preserve"> the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 abundant</w:t>
      </w:r>
      <w:r w:rsidRPr="00D62039">
        <w:rPr>
          <w:rFonts w:ascii="Times New Roman" w:hAnsi="Times New Roman" w:cs="Times New Roman"/>
          <w:sz w:val="24"/>
          <w:szCs w:val="28"/>
        </w:rPr>
        <w:t xml:space="preserve"> surface oxygen functional groups.</w:t>
      </w:r>
    </w:p>
    <w:p w14:paraId="292BE613" w14:textId="77777777" w:rsidR="00705F72" w:rsidRPr="00D62039" w:rsidRDefault="00705F7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br w:type="page"/>
      </w:r>
    </w:p>
    <w:p w14:paraId="628708EB" w14:textId="4101B7CB" w:rsidR="00036B52" w:rsidRPr="00D62039" w:rsidRDefault="004043C3" w:rsidP="00705F72">
      <w:pPr>
        <w:widowControl/>
        <w:spacing w:line="480" w:lineRule="auto"/>
        <w:jc w:val="left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 w:rsidRPr="00D62039">
        <w:rPr>
          <w:noProof/>
        </w:rPr>
        <w:lastRenderedPageBreak/>
        <w:drawing>
          <wp:inline distT="0" distB="0" distL="0" distR="0" wp14:anchorId="0DC9BA5E" wp14:editId="39770EE7">
            <wp:extent cx="6188710" cy="2231390"/>
            <wp:effectExtent l="0" t="0" r="2540" b="0"/>
            <wp:docPr id="10922757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7036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="00705F72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="005E7036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3</w:t>
      </w:r>
      <w:r w:rsidR="005E7036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5E7036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SEM images of commercial YP-50F at </w:t>
      </w:r>
      <w:r w:rsidR="005E7036" w:rsidRPr="00D62039">
        <w:rPr>
          <w:rFonts w:ascii="Times New Roman" w:eastAsia="宋体" w:hAnsi="Times New Roman" w:cs="Times New Roman"/>
          <w:bCs/>
          <w:kern w:val="0"/>
          <w:sz w:val="24"/>
          <w:szCs w:val="24"/>
        </w:rPr>
        <w:t>different</w:t>
      </w:r>
      <w:r w:rsidR="005E7036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5E7036" w:rsidRPr="00D62039">
        <w:rPr>
          <w:rFonts w:ascii="Times New Roman" w:eastAsia="宋体" w:hAnsi="Times New Roman" w:cs="Times New Roman"/>
          <w:bCs/>
          <w:kern w:val="0"/>
          <w:sz w:val="24"/>
          <w:szCs w:val="24"/>
        </w:rPr>
        <w:t>magnifications</w:t>
      </w:r>
      <w:r w:rsidR="005E7036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.</w:t>
      </w:r>
    </w:p>
    <w:p w14:paraId="4F04FAC9" w14:textId="77777777" w:rsidR="00036B52" w:rsidRPr="00D62039" w:rsidRDefault="00036B52">
      <w:pPr>
        <w:widowControl/>
        <w:jc w:val="left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kern w:val="0"/>
          <w:sz w:val="24"/>
          <w:szCs w:val="24"/>
        </w:rPr>
        <w:br w:type="page"/>
      </w:r>
    </w:p>
    <w:p w14:paraId="54A6E598" w14:textId="77777777" w:rsidR="00D930CA" w:rsidRPr="00D62039" w:rsidRDefault="00D930CA">
      <w:pPr>
        <w:widowControl/>
        <w:jc w:val="left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14:paraId="207AF2DE" w14:textId="1249E957" w:rsidR="00074449" w:rsidRPr="00D62039" w:rsidRDefault="004157B5" w:rsidP="004A1B19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jc w:val="center"/>
      </w:pPr>
      <w:r w:rsidRPr="00D62039">
        <w:rPr>
          <w:rFonts w:hint="eastAsia"/>
          <w:noProof/>
        </w:rPr>
        <w:drawing>
          <wp:inline distT="0" distB="0" distL="0" distR="0" wp14:anchorId="38897B2F" wp14:editId="23CC8D77">
            <wp:extent cx="6188710" cy="1766570"/>
            <wp:effectExtent l="0" t="0" r="2540" b="5080"/>
            <wp:docPr id="20692684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8444" name="图片 20692684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F71B" w14:textId="4F71EB12" w:rsidR="00074449" w:rsidRPr="00D62039" w:rsidRDefault="00074449" w:rsidP="004A1B19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hAnsi="Times New Roman" w:cs="Times New Roman"/>
          <w:sz w:val="24"/>
          <w:szCs w:val="28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="00705F72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4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Pr="00D62039">
        <w:rPr>
          <w:rFonts w:ascii="Times New Roman" w:hAnsi="Times New Roman" w:cs="Times New Roman"/>
          <w:sz w:val="24"/>
          <w:szCs w:val="28"/>
        </w:rPr>
        <w:t xml:space="preserve"> GCD curves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 of </w:t>
      </w:r>
      <w:r w:rsidR="005872A0" w:rsidRPr="00D62039">
        <w:rPr>
          <w:rFonts w:ascii="Times New Roman" w:hAnsi="Times New Roman" w:cs="Times New Roman"/>
          <w:bCs/>
          <w:sz w:val="24"/>
          <w:szCs w:val="28"/>
        </w:rPr>
        <w:t>HPC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 electrodes</w:t>
      </w:r>
      <w:r w:rsidRPr="00D62039">
        <w:rPr>
          <w:rFonts w:ascii="Times New Roman" w:hAnsi="Times New Roman" w:cs="Times New Roman"/>
          <w:sz w:val="24"/>
          <w:szCs w:val="28"/>
        </w:rPr>
        <w:t xml:space="preserve"> at various current densities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 in 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(a) 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1 </w:t>
      </w:r>
      <w:r w:rsidRPr="00D62039">
        <w:rPr>
          <w:rFonts w:ascii="Times New Roman" w:hAnsi="Times New Roman" w:cs="Times New Roman" w:hint="eastAsia"/>
          <w:sz w:val="24"/>
          <w:szCs w:val="28"/>
        </w:rPr>
        <w:t>M TEABF</w:t>
      </w:r>
      <w:r w:rsidRPr="00D62039">
        <w:rPr>
          <w:rFonts w:ascii="Times New Roman" w:hAnsi="Times New Roman" w:cs="Times New Roman"/>
          <w:sz w:val="24"/>
          <w:szCs w:val="28"/>
          <w:vertAlign w:val="subscript"/>
        </w:rPr>
        <w:t>4</w:t>
      </w:r>
      <w:r w:rsidRPr="00D62039">
        <w:rPr>
          <w:rFonts w:ascii="Times New Roman" w:hAnsi="Times New Roman" w:cs="Times New Roman" w:hint="eastAsia"/>
          <w:sz w:val="24"/>
          <w:szCs w:val="28"/>
        </w:rPr>
        <w:t>/SUL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 and</w:t>
      </w:r>
      <w:r w:rsidRPr="00D62039">
        <w:rPr>
          <w:rFonts w:ascii="Times New Roman" w:hAnsi="Times New Roman" w:cs="Times New Roman" w:hint="eastAsia"/>
          <w:sz w:val="24"/>
          <w:szCs w:val="28"/>
        </w:rPr>
        <w:t xml:space="preserve"> (b) </w:t>
      </w:r>
      <w:r w:rsidR="0096055B" w:rsidRPr="00D62039">
        <w:rPr>
          <w:rFonts w:ascii="Times New Roman" w:hAnsi="Times New Roman" w:cs="Times New Roman" w:hint="eastAsia"/>
          <w:sz w:val="24"/>
          <w:szCs w:val="28"/>
        </w:rPr>
        <w:t xml:space="preserve">1 </w:t>
      </w:r>
      <w:r w:rsidRPr="00D62039">
        <w:rPr>
          <w:rFonts w:ascii="Times New Roman" w:hAnsi="Times New Roman" w:cs="Times New Roman" w:hint="eastAsia"/>
          <w:sz w:val="24"/>
          <w:szCs w:val="28"/>
        </w:rPr>
        <w:t>M LiBF</w:t>
      </w:r>
      <w:r w:rsidRPr="00D62039">
        <w:rPr>
          <w:rFonts w:ascii="Times New Roman" w:hAnsi="Times New Roman" w:cs="Times New Roman" w:hint="eastAsia"/>
          <w:sz w:val="24"/>
          <w:szCs w:val="28"/>
          <w:vertAlign w:val="subscript"/>
        </w:rPr>
        <w:t>4</w:t>
      </w:r>
      <w:r w:rsidRPr="00D62039">
        <w:rPr>
          <w:rFonts w:ascii="Times New Roman" w:hAnsi="Times New Roman" w:cs="Times New Roman" w:hint="eastAsia"/>
          <w:sz w:val="24"/>
          <w:szCs w:val="28"/>
        </w:rPr>
        <w:t>/SUL</w:t>
      </w:r>
      <w:r w:rsidR="00387FF4" w:rsidRPr="00D62039">
        <w:rPr>
          <w:rFonts w:ascii="Times New Roman" w:hAnsi="Times New Roman" w:cs="Times New Roman" w:hint="eastAsia"/>
          <w:sz w:val="24"/>
          <w:szCs w:val="28"/>
        </w:rPr>
        <w:t xml:space="preserve"> electrolytes. (c) </w:t>
      </w:r>
      <w:r w:rsidR="00387FF4" w:rsidRPr="00D62039">
        <w:rPr>
          <w:rFonts w:ascii="Times New Roman" w:hAnsi="Times New Roman" w:cs="Times New Roman"/>
          <w:sz w:val="24"/>
          <w:szCs w:val="28"/>
        </w:rPr>
        <w:t>Comparison of the specific capacitances of the two</w:t>
      </w:r>
      <w:r w:rsidR="00387FF4" w:rsidRPr="00D62039">
        <w:rPr>
          <w:rFonts w:ascii="Times New Roman" w:hAnsi="Times New Roman" w:cs="Times New Roman" w:hint="eastAsia"/>
          <w:sz w:val="24"/>
          <w:szCs w:val="28"/>
        </w:rPr>
        <w:t xml:space="preserve"> electrolyte</w:t>
      </w:r>
      <w:r w:rsidR="00387FF4" w:rsidRPr="00D62039">
        <w:rPr>
          <w:rFonts w:ascii="Times New Roman" w:hAnsi="Times New Roman" w:cs="Times New Roman"/>
          <w:sz w:val="24"/>
          <w:szCs w:val="28"/>
        </w:rPr>
        <w:t xml:space="preserve"> systems as a function of current density.</w:t>
      </w:r>
    </w:p>
    <w:p w14:paraId="5E4FF81B" w14:textId="77777777" w:rsidR="009E59A7" w:rsidRPr="00D62039" w:rsidRDefault="00074449" w:rsidP="009E59A7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jc w:val="center"/>
        <w:rPr>
          <w:rFonts w:ascii="Times New Roman" w:hAnsi="Times New Roman" w:cs="Times New Roman"/>
          <w:sz w:val="24"/>
          <w:szCs w:val="28"/>
        </w:rPr>
      </w:pPr>
      <w:r w:rsidRPr="00D62039">
        <w:rPr>
          <w:rFonts w:ascii="Times New Roman" w:hAnsi="Times New Roman" w:cs="Times New Roman"/>
          <w:sz w:val="24"/>
          <w:szCs w:val="28"/>
        </w:rPr>
        <w:br w:type="page"/>
      </w:r>
      <w:bookmarkStart w:id="7" w:name="OLE_LINK17"/>
      <w:bookmarkStart w:id="8" w:name="_Hlk214585160"/>
      <w:r w:rsidR="00254293" w:rsidRPr="00D62039">
        <w:rPr>
          <w:rFonts w:ascii="Times New Roman" w:eastAsia="宋体" w:hAnsi="Times New Roman" w:cs="Times New Roman"/>
          <w:b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00D046B2" wp14:editId="1253E2F1">
            <wp:extent cx="5412105" cy="2227371"/>
            <wp:effectExtent l="0" t="0" r="0" b="1905"/>
            <wp:docPr id="15972954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295455" name="图片 159729545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972" cy="222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2BF5" w14:textId="7E42A8BB" w:rsidR="00036B52" w:rsidRPr="00D62039" w:rsidRDefault="00705F72" w:rsidP="009E59A7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rPr>
          <w:rFonts w:ascii="Times New Roman" w:hAnsi="Times New Roman" w:cs="Times New Roman"/>
          <w:sz w:val="24"/>
          <w:szCs w:val="28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5</w:t>
      </w:r>
      <w:proofErr w:type="spellEnd"/>
      <w:r w:rsidR="00983713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D1715A" w:rsidRPr="00D62039">
        <w:rPr>
          <w:rFonts w:ascii="Times New Roman" w:hAnsi="Times New Roman" w:cs="Times New Roman"/>
          <w:sz w:val="24"/>
          <w:szCs w:val="28"/>
        </w:rPr>
        <w:t xml:space="preserve"> </w:t>
      </w:r>
      <w:bookmarkStart w:id="9" w:name="_Hlk214618954"/>
      <w:r w:rsidR="008C6D91" w:rsidRPr="00D62039">
        <w:rPr>
          <w:rFonts w:ascii="Times New Roman" w:hAnsi="Times New Roman" w:cs="Times New Roman"/>
          <w:sz w:val="24"/>
          <w:szCs w:val="28"/>
        </w:rPr>
        <w:t>Electrochemical performance of HPC and YP-50F electrodes in 1 M LiBF</w:t>
      </w:r>
      <w:r w:rsidR="008C6D91" w:rsidRPr="00D62039">
        <w:rPr>
          <w:rFonts w:ascii="Times New Roman" w:hAnsi="Times New Roman" w:cs="Times New Roman" w:hint="eastAsia"/>
          <w:sz w:val="24"/>
          <w:szCs w:val="28"/>
          <w:vertAlign w:val="subscript"/>
        </w:rPr>
        <w:t>4</w:t>
      </w:r>
      <w:r w:rsidR="008C6D91" w:rsidRPr="00D62039">
        <w:rPr>
          <w:rFonts w:ascii="Times New Roman" w:hAnsi="Times New Roman" w:cs="Times New Roman"/>
          <w:sz w:val="24"/>
          <w:szCs w:val="28"/>
        </w:rPr>
        <w:t xml:space="preserve">/SUL. </w:t>
      </w:r>
      <w:r w:rsidR="00983713" w:rsidRPr="00D62039">
        <w:rPr>
          <w:rFonts w:ascii="Times New Roman" w:hAnsi="Times New Roman" w:cs="Times New Roman" w:hint="eastAsia"/>
          <w:sz w:val="24"/>
          <w:szCs w:val="28"/>
        </w:rPr>
        <w:t xml:space="preserve">(a) </w:t>
      </w:r>
      <w:r w:rsidR="00387FF4" w:rsidRPr="00D62039">
        <w:rPr>
          <w:rFonts w:ascii="Times New Roman" w:hAnsi="Times New Roman" w:cs="Times New Roman" w:hint="eastAsia"/>
          <w:sz w:val="24"/>
          <w:szCs w:val="28"/>
        </w:rPr>
        <w:t xml:space="preserve">GCD curves and </w:t>
      </w:r>
      <w:r w:rsidR="00983713" w:rsidRPr="00D62039">
        <w:rPr>
          <w:rFonts w:ascii="Times New Roman" w:hAnsi="Times New Roman" w:cs="Times New Roman" w:hint="eastAsia"/>
          <w:sz w:val="24"/>
          <w:szCs w:val="28"/>
        </w:rPr>
        <w:t xml:space="preserve">(b) rate </w:t>
      </w:r>
      <w:r w:rsidR="00D1715A" w:rsidRPr="00D62039">
        <w:rPr>
          <w:rFonts w:ascii="Times New Roman" w:hAnsi="Times New Roman" w:cs="Times New Roman"/>
          <w:sz w:val="24"/>
          <w:szCs w:val="28"/>
        </w:rPr>
        <w:t>performance of</w:t>
      </w:r>
      <w:r w:rsidR="008C6D91" w:rsidRPr="00D62039">
        <w:rPr>
          <w:rFonts w:ascii="Times New Roman" w:hAnsi="Times New Roman" w:cs="Times New Roman" w:hint="eastAsia"/>
          <w:sz w:val="24"/>
          <w:szCs w:val="28"/>
        </w:rPr>
        <w:t xml:space="preserve"> different</w:t>
      </w:r>
      <w:r w:rsidR="00D1715A" w:rsidRPr="00D62039">
        <w:rPr>
          <w:rFonts w:ascii="Times New Roman" w:hAnsi="Times New Roman" w:cs="Times New Roman"/>
          <w:sz w:val="24"/>
          <w:szCs w:val="28"/>
        </w:rPr>
        <w:t xml:space="preserve"> 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>HPC</w:t>
      </w:r>
      <w:r w:rsidR="008C6D91" w:rsidRPr="00D62039">
        <w:rPr>
          <w:rFonts w:ascii="Times New Roman" w:hAnsi="Times New Roman" w:cs="Times New Roman" w:hint="eastAsia"/>
          <w:sz w:val="24"/>
          <w:szCs w:val="28"/>
        </w:rPr>
        <w:t xml:space="preserve"> electrodes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 xml:space="preserve"> and YP-50F electrodes in</w:t>
      </w:r>
      <w:r w:rsidR="008C6D91" w:rsidRPr="00D62039">
        <w:rPr>
          <w:rFonts w:ascii="Times New Roman" w:hAnsi="Times New Roman" w:cs="Times New Roman" w:hint="eastAsia"/>
          <w:sz w:val="24"/>
          <w:szCs w:val="28"/>
        </w:rPr>
        <w:t xml:space="preserve"> the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 xml:space="preserve"> 1 M </w:t>
      </w:r>
      <w:r w:rsidR="00D937D4" w:rsidRPr="00D62039">
        <w:rPr>
          <w:rFonts w:ascii="Times New Roman" w:hAnsi="Times New Roman" w:cs="Times New Roman" w:hint="eastAsia"/>
          <w:sz w:val="24"/>
          <w:szCs w:val="28"/>
        </w:rPr>
        <w:t>Li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>BF</w:t>
      </w:r>
      <w:r w:rsidR="00D1715A" w:rsidRPr="00D62039">
        <w:rPr>
          <w:rFonts w:ascii="Times New Roman" w:hAnsi="Times New Roman" w:cs="Times New Roman"/>
          <w:sz w:val="24"/>
          <w:szCs w:val="28"/>
          <w:vertAlign w:val="subscript"/>
        </w:rPr>
        <w:t>4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>/SUL</w:t>
      </w:r>
      <w:r w:rsidR="008C6D91" w:rsidRPr="00D62039">
        <w:rPr>
          <w:rFonts w:ascii="Times New Roman" w:hAnsi="Times New Roman" w:cs="Times New Roman" w:hint="eastAsia"/>
          <w:sz w:val="24"/>
          <w:szCs w:val="28"/>
        </w:rPr>
        <w:t xml:space="preserve"> electrolyte </w:t>
      </w:r>
      <w:r w:rsidR="008C6D91" w:rsidRPr="00D62039">
        <w:rPr>
          <w:rFonts w:ascii="Times New Roman" w:hAnsi="Times New Roman" w:cs="Times New Roman"/>
          <w:sz w:val="24"/>
          <w:szCs w:val="28"/>
        </w:rPr>
        <w:t xml:space="preserve">within the voltage window </w:t>
      </w:r>
      <w:r w:rsidR="008C6D91" w:rsidRPr="00D62039">
        <w:rPr>
          <w:rFonts w:ascii="Times New Roman" w:hAnsi="Times New Roman" w:cs="Times New Roman" w:hint="eastAsia"/>
          <w:sz w:val="24"/>
          <w:szCs w:val="28"/>
        </w:rPr>
        <w:t xml:space="preserve">of </w:t>
      </w:r>
      <w:r w:rsidR="008C6D91" w:rsidRPr="00D62039">
        <w:rPr>
          <w:rFonts w:ascii="Times New Roman" w:hAnsi="Times New Roman" w:cs="Times New Roman"/>
          <w:sz w:val="24"/>
          <w:szCs w:val="28"/>
        </w:rPr>
        <w:t>0–2.7 V</w:t>
      </w:r>
      <w:r w:rsidR="00D1715A" w:rsidRPr="00D62039">
        <w:rPr>
          <w:rFonts w:ascii="Times New Roman" w:hAnsi="Times New Roman" w:cs="Times New Roman" w:hint="eastAsia"/>
          <w:sz w:val="24"/>
          <w:szCs w:val="28"/>
        </w:rPr>
        <w:t>.</w:t>
      </w:r>
      <w:bookmarkEnd w:id="7"/>
    </w:p>
    <w:bookmarkEnd w:id="8"/>
    <w:bookmarkEnd w:id="9"/>
    <w:p w14:paraId="0FA256BF" w14:textId="77777777" w:rsidR="00036B52" w:rsidRPr="00D62039" w:rsidRDefault="00036B52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D62039">
        <w:rPr>
          <w:rFonts w:ascii="Times New Roman" w:hAnsi="Times New Roman" w:cs="Times New Roman"/>
          <w:sz w:val="24"/>
          <w:szCs w:val="28"/>
        </w:rPr>
        <w:br w:type="page"/>
      </w:r>
    </w:p>
    <w:p w14:paraId="095CFA70" w14:textId="0B509B38" w:rsidR="00074449" w:rsidRPr="00D62039" w:rsidRDefault="004157B5" w:rsidP="00BD3003">
      <w:pPr>
        <w:tabs>
          <w:tab w:val="left" w:pos="2100"/>
        </w:tabs>
        <w:autoSpaceDE w:val="0"/>
        <w:autoSpaceDN w:val="0"/>
        <w:adjustRightInd w:val="0"/>
        <w:spacing w:line="480" w:lineRule="auto"/>
        <w:ind w:right="-23"/>
        <w:jc w:val="center"/>
        <w:rPr>
          <w:noProof/>
          <w:color w:val="4472C4" w:themeColor="accent1"/>
        </w:rPr>
      </w:pPr>
      <w:r w:rsidRPr="00D62039">
        <w:rPr>
          <w:rFonts w:hint="eastAsia"/>
          <w:noProof/>
          <w:color w:val="4472C4" w:themeColor="accent1"/>
        </w:rPr>
        <w:lastRenderedPageBreak/>
        <w:drawing>
          <wp:inline distT="0" distB="0" distL="0" distR="0" wp14:anchorId="2E5F6F70" wp14:editId="435AED71">
            <wp:extent cx="3228975" cy="2701192"/>
            <wp:effectExtent l="0" t="0" r="0" b="4445"/>
            <wp:docPr id="11008000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00051" name="图片 110080005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219" cy="27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48C5" w14:textId="3575CAD7" w:rsidR="00074449" w:rsidRPr="00D62039" w:rsidRDefault="00705F72" w:rsidP="0096055B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6</w:t>
      </w:r>
      <w:r w:rsidR="00074449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074449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 xml:space="preserve"> </w:t>
      </w:r>
      <w:r w:rsidR="00074449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CV curves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of HPC</w:t>
      </w:r>
      <w:r w:rsidR="00074449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electrodes in LiBF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vertAlign w:val="subscript"/>
        </w:rPr>
        <w:t>4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/SUL electrolytes with </w:t>
      </w:r>
      <w:r w:rsidR="00387FF4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varying </w:t>
      </w:r>
      <w:r w:rsidR="0096055B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LiBF</w:t>
      </w:r>
      <w:r w:rsidR="0096055B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vertAlign w:val="subscript"/>
        </w:rPr>
        <w:t>4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vertAlign w:val="subscript"/>
        </w:rPr>
        <w:t xml:space="preserve"> </w:t>
      </w:r>
      <w:r w:rsidR="00074449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concentrations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.</w:t>
      </w:r>
    </w:p>
    <w:p w14:paraId="58F47C3D" w14:textId="77777777" w:rsidR="00074449" w:rsidRPr="00D62039" w:rsidRDefault="00074449" w:rsidP="004A1B19">
      <w:pPr>
        <w:widowControl/>
        <w:spacing w:line="48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3486BD11" w14:textId="77777777" w:rsidR="009E59A7" w:rsidRPr="00D62039" w:rsidRDefault="004157B5" w:rsidP="009E59A7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649CDAD3" wp14:editId="07257735">
            <wp:extent cx="5743575" cy="2481653"/>
            <wp:effectExtent l="0" t="0" r="0" b="0"/>
            <wp:docPr id="17848307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830721" name="图片 17848307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973" cy="248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703D3" w14:textId="3D850E6A" w:rsidR="00074449" w:rsidRPr="00D62039" w:rsidRDefault="00705F72" w:rsidP="009E59A7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7</w:t>
      </w:r>
      <w:proofErr w:type="spellEnd"/>
      <w:r w:rsidR="00074449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074449" w:rsidRPr="00D62039">
        <w:rPr>
          <w:rFonts w:ascii="Segoe UI" w:hAnsi="Segoe UI" w:cs="Segoe UI"/>
          <w:sz w:val="22"/>
        </w:rPr>
        <w:t xml:space="preserve"> 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(a) </w:t>
      </w:r>
      <w:r w:rsidR="00074449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GCD curves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of HPC</w:t>
      </w:r>
      <w:r w:rsidR="0096055B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electrodes in 4</w:t>
      </w:r>
      <w:r w:rsidR="00387FF4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M LiBF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vertAlign w:val="subscript"/>
        </w:rPr>
        <w:t>4</w:t>
      </w:r>
      <w:r w:rsidR="0096055B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/SUL electrolyte</w:t>
      </w:r>
      <w:r w:rsidR="00387FF4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s </w:t>
      </w:r>
      <w:r w:rsidR="00387FF4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with different volume ratios of TTE added.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(b) 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CV profiles of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HPC</w:t>
      </w:r>
      <w:r w:rsidR="00A16528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electrodes 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at different scan rates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in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4</w:t>
      </w:r>
      <w:r w:rsidR="00E74347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M LiBF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vertAlign w:val="subscript"/>
        </w:rPr>
        <w:t>4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/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SUL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:</w:t>
      </w:r>
      <w:r w:rsidR="00E7238F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TTE</w:t>
      </w:r>
      <w:r w:rsidR="00E7238F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=1:2 electrolyte.</w:t>
      </w:r>
    </w:p>
    <w:p w14:paraId="2C0A726C" w14:textId="4DC601ED" w:rsidR="00074449" w:rsidRPr="00D62039" w:rsidRDefault="00074449" w:rsidP="00036B5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36B97357" w14:textId="76CF62B5" w:rsidR="00951577" w:rsidRPr="00D62039" w:rsidRDefault="004157B5" w:rsidP="00387FF4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0D0AA355" wp14:editId="50ECC832">
            <wp:extent cx="4249831" cy="3426442"/>
            <wp:effectExtent l="0" t="0" r="0" b="3175"/>
            <wp:docPr id="19702529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52941" name="图片 197025294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068" cy="343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750A" w14:textId="7911BBD0" w:rsidR="00D937D4" w:rsidRPr="00D62039" w:rsidRDefault="00705F72" w:rsidP="00705F7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8</w:t>
      </w:r>
      <w:r w:rsidR="00983713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983713" w:rsidRPr="00D62039">
        <w:rPr>
          <w:rFonts w:ascii="Segoe UI" w:hAnsi="Segoe UI" w:cs="Segoe UI"/>
          <w:sz w:val="22"/>
        </w:rPr>
        <w:t xml:space="preserve"> </w:t>
      </w:r>
      <w:r w:rsidR="00983713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Nyquist Plot</w:t>
      </w:r>
      <w:r w:rsidR="00387FF4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s of HPC electrodes recorded at the OCV state in </w:t>
      </w:r>
      <w:r w:rsidR="00387FF4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different</w:t>
      </w:r>
      <w:r w:rsidR="00387FF4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electrolyte systems. </w:t>
      </w:r>
    </w:p>
    <w:p w14:paraId="6253BE93" w14:textId="66E89A07" w:rsidR="00074449" w:rsidRPr="00D62039" w:rsidRDefault="00074449" w:rsidP="009C61D4">
      <w:pPr>
        <w:widowControl/>
        <w:spacing w:line="48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7947597A" w14:textId="3F87E483" w:rsidR="00D937D4" w:rsidRPr="00D62039" w:rsidRDefault="00D937D4" w:rsidP="00D937D4">
      <w:pPr>
        <w:widowControl/>
        <w:spacing w:line="480" w:lineRule="auto"/>
        <w:jc w:val="center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5B565AE4" wp14:editId="39DB25AB">
            <wp:extent cx="4090045" cy="3105785"/>
            <wp:effectExtent l="0" t="0" r="5715" b="0"/>
            <wp:docPr id="15017144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14458" name="图片 150171445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539" cy="310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9CD47" w14:textId="22EBF7FC" w:rsidR="00D937D4" w:rsidRPr="00D62039" w:rsidRDefault="00D937D4" w:rsidP="00D937D4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bookmarkStart w:id="10" w:name="_Hlk214278408"/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9</w:t>
      </w:r>
      <w:r w:rsidRPr="00D62039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D620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E74347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Comparison</w:t>
      </w:r>
      <w:r w:rsidR="00E74347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of C</w:t>
      </w:r>
      <w:r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oulombic efficienc</w:t>
      </w:r>
      <w:r w:rsidR="00E74347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ies</w:t>
      </w:r>
      <w:r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of</w:t>
      </w:r>
      <w:r w:rsidR="00E74347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HPC electrodes in </w:t>
      </w:r>
      <w:r w:rsidR="00E74347" w:rsidRPr="00D62039">
        <w:rPr>
          <w:rFonts w:ascii="Times New Roman" w:eastAsia="宋体" w:hAnsi="Times New Roman" w:cs="Times New Roman"/>
          <w:bCs/>
          <w:kern w:val="0"/>
          <w:sz w:val="24"/>
          <w:szCs w:val="24"/>
        </w:rPr>
        <w:t>electrolytes with different SUL/TTE volumetric ratios</w:t>
      </w:r>
      <w:r w:rsidR="00E74347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.</w:t>
      </w:r>
    </w:p>
    <w:bookmarkEnd w:id="10"/>
    <w:p w14:paraId="52155295" w14:textId="0E1FA6E4" w:rsidR="00D937D4" w:rsidRPr="00D62039" w:rsidRDefault="00D937D4" w:rsidP="00D937D4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786CC6A2" w14:textId="0026FD1B" w:rsidR="00036B52" w:rsidRPr="00D62039" w:rsidRDefault="00DA091E" w:rsidP="00E74347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41E9E119" wp14:editId="28888DD1">
            <wp:extent cx="6188710" cy="2748280"/>
            <wp:effectExtent l="0" t="0" r="2540" b="0"/>
            <wp:docPr id="1173722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22926" name="图片 11737229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F72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="00705F72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="00705F72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425545" w:rsidRPr="00D620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10</w:t>
      </w:r>
      <w:r w:rsidR="00E7238F" w:rsidRPr="00D62039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Leakage 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voltage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of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HPC electrodes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at 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(a)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2.7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V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and (b) 4.0 V in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different electrolyte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systems.</w:t>
      </w:r>
    </w:p>
    <w:p w14:paraId="5ECF19A3" w14:textId="77777777" w:rsidR="00036B52" w:rsidRPr="00D62039" w:rsidRDefault="00036B52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4C81C75D" w14:textId="77777777" w:rsidR="00036B52" w:rsidRPr="00D62039" w:rsidRDefault="00036B52" w:rsidP="00036B52">
      <w:pPr>
        <w:widowControl/>
        <w:spacing w:line="480" w:lineRule="auto"/>
        <w:ind w:firstLineChars="200" w:firstLine="480"/>
        <w:jc w:val="center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49243426" wp14:editId="330B2296">
            <wp:extent cx="3934825" cy="3499200"/>
            <wp:effectExtent l="0" t="0" r="8890" b="0"/>
            <wp:docPr id="1497078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5" r="2724" b="9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825" cy="34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A18C0" w14:textId="13EA6CDB" w:rsidR="00036B52" w:rsidRPr="00D62039" w:rsidRDefault="00705F72" w:rsidP="00036B5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="00D937D4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1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1</w:t>
      </w:r>
      <w:r w:rsidR="00036B52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036B52" w:rsidRPr="00D62039">
        <w:rPr>
          <w:rFonts w:ascii="Segoe UI" w:hAnsi="Segoe UI" w:cs="Segoe UI"/>
          <w:sz w:val="23"/>
          <w:szCs w:val="23"/>
        </w:rPr>
        <w:t xml:space="preserve"> </w:t>
      </w:r>
      <w:r w:rsidR="00036B52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Curve fitting of the OCV profiles for HPC electrodes at HCE (4M LiBF</w:t>
      </w:r>
      <w:r w:rsidR="00036B52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  <w:vertAlign w:val="subscript"/>
        </w:rPr>
        <w:t>4</w:t>
      </w:r>
      <w:r w:rsidR="00036B52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/SUL) electrolyte systems.</w:t>
      </w:r>
    </w:p>
    <w:p w14:paraId="574B8D6D" w14:textId="77777777" w:rsidR="00036B52" w:rsidRPr="00D62039" w:rsidRDefault="00036B52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3E67B5BB" w14:textId="595063E0" w:rsidR="00372A4D" w:rsidRPr="00D62039" w:rsidRDefault="00036B52" w:rsidP="00036B5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noProof/>
        </w:rPr>
        <w:lastRenderedPageBreak/>
        <w:drawing>
          <wp:inline distT="0" distB="0" distL="0" distR="0" wp14:anchorId="7C146AC1" wp14:editId="1F4DAC88">
            <wp:extent cx="6120000" cy="2761372"/>
            <wp:effectExtent l="0" t="0" r="0" b="0"/>
            <wp:docPr id="179424168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4" r="6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76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42124" w14:textId="06007DDC" w:rsidR="00D930CA" w:rsidRPr="00D62039" w:rsidRDefault="00705F72" w:rsidP="00705F7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bookmarkStart w:id="11" w:name="OLE_LINK19"/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1</w:t>
      </w:r>
      <w:r w:rsidR="00425545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2</w:t>
      </w:r>
      <w:r w:rsidR="00372A4D"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="00372A4D" w:rsidRPr="00D62039">
        <w:rPr>
          <w:rFonts w:ascii="Segoe UI" w:hAnsi="Segoe UI" w:cs="Segoe UI"/>
          <w:sz w:val="23"/>
          <w:szCs w:val="23"/>
        </w:rPr>
        <w:t xml:space="preserve">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Leakage current of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HPC electrodes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at 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(a)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2.7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V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and (b) 4.0 V in </w:t>
      </w:r>
      <w:r w:rsidR="00372A4D"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different electrolyte</w:t>
      </w:r>
      <w:r w:rsidR="00372A4D" w:rsidRPr="00D62039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systems.</w:t>
      </w:r>
    </w:p>
    <w:bookmarkEnd w:id="11"/>
    <w:p w14:paraId="37EE2466" w14:textId="7D4D423C" w:rsidR="00166A0D" w:rsidRPr="00D62039" w:rsidRDefault="00D930CA" w:rsidP="00166A0D">
      <w:pPr>
        <w:widowControl/>
        <w:spacing w:line="48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  <w:r w:rsidR="00166A0D" w:rsidRPr="00D62039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4EB446E" wp14:editId="40ACF7BE">
            <wp:simplePos x="0" y="0"/>
            <wp:positionH relativeFrom="column">
              <wp:posOffset>1317028</wp:posOffset>
            </wp:positionH>
            <wp:positionV relativeFrom="paragraph">
              <wp:posOffset>0</wp:posOffset>
            </wp:positionV>
            <wp:extent cx="3189717" cy="5175781"/>
            <wp:effectExtent l="0" t="0" r="0" b="6350"/>
            <wp:wrapTopAndBottom/>
            <wp:docPr id="1898840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840776" name="图片 189884077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717" cy="5175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6A0D" w:rsidRPr="00D62039">
        <w:rPr>
          <w:rFonts w:ascii="Times New Roman" w:eastAsia="宋体" w:hAnsi="Times New Roman" w:cs="Times New Roman"/>
          <w:b/>
          <w:kern w:val="0"/>
          <w:sz w:val="24"/>
          <w:szCs w:val="24"/>
        </w:rPr>
        <w:t>Figure S13.</w:t>
      </w:r>
      <w:r w:rsidR="00166A0D" w:rsidRPr="00D62039">
        <w:rPr>
          <w:rFonts w:ascii="Times New Roman" w:hAnsi="Times New Roman" w:cs="Times New Roman"/>
          <w:sz w:val="24"/>
          <w:szCs w:val="24"/>
        </w:rPr>
        <w:t xml:space="preserve"> </w:t>
      </w:r>
      <w:r w:rsidR="009E59A7" w:rsidRPr="00D62039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9E59A7" w:rsidRPr="00D62039">
        <w:rPr>
          <w:rFonts w:ascii="Times New Roman" w:hAnsi="Times New Roman" w:cs="Times New Roman" w:hint="eastAsia"/>
          <w:bCs/>
          <w:sz w:val="24"/>
          <w:szCs w:val="24"/>
        </w:rPr>
        <w:t xml:space="preserve">O 1s </w:t>
      </w:r>
      <w:r w:rsidR="009E59A7" w:rsidRPr="00D62039">
        <w:rPr>
          <w:rFonts w:ascii="Times New Roman" w:hAnsi="Times New Roman" w:cs="Times New Roman"/>
          <w:bCs/>
          <w:sz w:val="24"/>
          <w:szCs w:val="24"/>
        </w:rPr>
        <w:t>XPS spectra of</w:t>
      </w:r>
      <w:r w:rsidR="009E59A7" w:rsidRPr="00D62039">
        <w:rPr>
          <w:rFonts w:ascii="Times New Roman" w:hAnsi="Times New Roman" w:cs="Times New Roman" w:hint="eastAsia"/>
          <w:bCs/>
          <w:sz w:val="24"/>
          <w:szCs w:val="24"/>
        </w:rPr>
        <w:t xml:space="preserve"> HPC electrodes cycled in 1 M </w:t>
      </w:r>
      <w:r w:rsidR="009E59A7" w:rsidRPr="00D62039">
        <w:rPr>
          <w:rFonts w:ascii="Times New Roman" w:hAnsi="Times New Roman" w:cs="Times New Roman"/>
          <w:bCs/>
          <w:sz w:val="24"/>
          <w:szCs w:val="24"/>
        </w:rPr>
        <w:t>TEABF</w:t>
      </w:r>
      <w:r w:rsidR="009E59A7" w:rsidRPr="00D62039">
        <w:rPr>
          <w:rFonts w:ascii="Times New Roman" w:hAnsi="Times New Roman" w:cs="Times New Roman" w:hint="eastAsia"/>
          <w:bCs/>
          <w:sz w:val="24"/>
          <w:szCs w:val="24"/>
          <w:vertAlign w:val="subscript"/>
        </w:rPr>
        <w:t>4</w:t>
      </w:r>
      <w:r w:rsidR="009E59A7" w:rsidRPr="00D62039">
        <w:rPr>
          <w:rFonts w:ascii="Times New Roman" w:hAnsi="Times New Roman" w:cs="Times New Roman"/>
          <w:bCs/>
          <w:sz w:val="24"/>
          <w:szCs w:val="24"/>
        </w:rPr>
        <w:t>/PC and 4 M LiBF</w:t>
      </w:r>
      <w:r w:rsidR="009E59A7" w:rsidRPr="00D62039">
        <w:rPr>
          <w:rFonts w:ascii="Times New Roman" w:hAnsi="Times New Roman" w:cs="Times New Roman" w:hint="eastAsia"/>
          <w:bCs/>
          <w:sz w:val="24"/>
          <w:szCs w:val="24"/>
          <w:vertAlign w:val="subscript"/>
        </w:rPr>
        <w:t>4</w:t>
      </w:r>
      <w:r w:rsidR="009E59A7" w:rsidRPr="00D62039">
        <w:rPr>
          <w:rFonts w:ascii="Times New Roman" w:hAnsi="Times New Roman" w:cs="Times New Roman"/>
          <w:bCs/>
          <w:sz w:val="24"/>
          <w:szCs w:val="24"/>
        </w:rPr>
        <w:t>/SUL:TTE (1:2)</w:t>
      </w:r>
      <w:r w:rsidR="009E59A7" w:rsidRPr="00D62039">
        <w:rPr>
          <w:rFonts w:ascii="Times New Roman" w:hAnsi="Times New Roman" w:cs="Times New Roman" w:hint="eastAsia"/>
          <w:bCs/>
          <w:sz w:val="24"/>
          <w:szCs w:val="24"/>
        </w:rPr>
        <w:t xml:space="preserve"> electrolytes after</w:t>
      </w:r>
      <w:r w:rsidR="009E59A7" w:rsidRPr="00D62039">
        <w:rPr>
          <w:rFonts w:ascii="Times New Roman" w:hAnsi="Times New Roman" w:cs="Times New Roman"/>
          <w:bCs/>
          <w:sz w:val="24"/>
          <w:szCs w:val="24"/>
        </w:rPr>
        <w:t xml:space="preserve"> 10000 cycles at a voltage window of 0–4 V</w:t>
      </w:r>
      <w:r w:rsidR="009E59A7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.</w:t>
      </w:r>
    </w:p>
    <w:p w14:paraId="7FE75ACC" w14:textId="45F7224A" w:rsidR="00166A0D" w:rsidRPr="00D62039" w:rsidRDefault="00166A0D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br w:type="page"/>
      </w:r>
    </w:p>
    <w:p w14:paraId="387692E5" w14:textId="77777777" w:rsidR="00D930CA" w:rsidRPr="00D62039" w:rsidRDefault="00D930CA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</w:p>
    <w:p w14:paraId="1C57FFEF" w14:textId="167A2579" w:rsidR="00D930CA" w:rsidRPr="00D62039" w:rsidRDefault="00F35F77" w:rsidP="00D937D4">
      <w:pPr>
        <w:widowControl/>
        <w:spacing w:line="480" w:lineRule="auto"/>
        <w:jc w:val="center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 w:rsidRPr="00D62039">
        <w:rPr>
          <w:rFonts w:ascii="Times New Roman" w:eastAsia="宋体" w:hAnsi="Times New Roman" w:cs="Times New Roman"/>
          <w:bCs/>
          <w:noProof/>
          <w:color w:val="000000"/>
          <w:kern w:val="0"/>
          <w:sz w:val="24"/>
          <w:szCs w:val="24"/>
        </w:rPr>
        <w:drawing>
          <wp:inline distT="0" distB="0" distL="0" distR="0" wp14:anchorId="66FC4A07" wp14:editId="40ACF1CF">
            <wp:extent cx="4257190" cy="3524462"/>
            <wp:effectExtent l="0" t="0" r="0" b="0"/>
            <wp:docPr id="13856829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682912" name="图片 13856829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705" cy="35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824E" w14:textId="04BB2468" w:rsidR="00D937D4" w:rsidRPr="00D937D4" w:rsidRDefault="00D937D4" w:rsidP="006330AF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bookmarkStart w:id="12" w:name="OLE_LINK20"/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ure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S</w:t>
      </w:r>
      <w:r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1</w:t>
      </w:r>
      <w:r w:rsidR="00F42E33" w:rsidRPr="00D6203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4</w:t>
      </w:r>
      <w:r w:rsidRPr="00D6203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 w:rsidRPr="00D62039">
        <w:rPr>
          <w:rFonts w:ascii="Segoe UI" w:hAnsi="Segoe UI" w:cs="Segoe UI"/>
          <w:sz w:val="23"/>
          <w:szCs w:val="23"/>
        </w:rPr>
        <w:t xml:space="preserve"> </w:t>
      </w:r>
      <w:bookmarkStart w:id="13" w:name="OLE_LINK11"/>
      <w:r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LSV curve of HPC </w:t>
      </w:r>
      <w:r w:rsidR="00E74347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in</w:t>
      </w:r>
      <w:r w:rsidR="00114685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different</w:t>
      </w:r>
      <w:r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E74347" w:rsidRPr="00D62039">
        <w:rPr>
          <w:rFonts w:ascii="Times New Roman" w:eastAsia="宋体" w:hAnsi="Times New Roman" w:cs="Times New Roman"/>
          <w:bCs/>
          <w:kern w:val="0"/>
          <w:sz w:val="24"/>
          <w:szCs w:val="24"/>
        </w:rPr>
        <w:t>electrolyte</w:t>
      </w:r>
      <w:r w:rsidR="00E74347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s</w:t>
      </w:r>
      <w:bookmarkEnd w:id="12"/>
      <w:r w:rsidR="00E74347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ystems</w:t>
      </w:r>
      <w:r w:rsidR="00071416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6330AF" w:rsidRPr="00D62039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with </w:t>
      </w:r>
      <w:r w:rsidR="00071416" w:rsidRPr="00D62039">
        <w:rPr>
          <w:rFonts w:ascii="Times New Roman" w:hAnsi="Times New Roman" w:cs="Times New Roman" w:hint="eastAsia"/>
          <w:bCs/>
          <w:sz w:val="24"/>
          <w:szCs w:val="24"/>
        </w:rPr>
        <w:t>lithium anode as the reference</w:t>
      </w:r>
      <w:r w:rsidR="006330AF" w:rsidRPr="00D62039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r w:rsidR="00071416" w:rsidRPr="00D62039">
        <w:rPr>
          <w:rFonts w:ascii="Times New Roman" w:hAnsi="Times New Roman" w:cs="Times New Roman" w:hint="eastAsia"/>
          <w:bCs/>
          <w:sz w:val="24"/>
          <w:szCs w:val="24"/>
        </w:rPr>
        <w:t>counter electrode</w:t>
      </w:r>
      <w:r w:rsidR="006330AF" w:rsidRPr="00D62039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071416" w:rsidRPr="00D62039">
        <w:rPr>
          <w:rFonts w:ascii="Times New Roman" w:hAnsi="Times New Roman" w:cs="Times New Roman" w:hint="eastAsia"/>
          <w:bCs/>
          <w:sz w:val="24"/>
          <w:szCs w:val="24"/>
        </w:rPr>
        <w:t>.</w:t>
      </w:r>
      <w:bookmarkEnd w:id="13"/>
      <w:r w:rsidR="006330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</w:p>
    <w:sectPr w:rsidR="00D937D4" w:rsidRPr="00D937D4" w:rsidSect="00DE033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54372" w14:textId="77777777" w:rsidR="00925EC1" w:rsidRDefault="00925EC1" w:rsidP="002363FC">
      <w:r>
        <w:separator/>
      </w:r>
    </w:p>
  </w:endnote>
  <w:endnote w:type="continuationSeparator" w:id="0">
    <w:p w14:paraId="2B8CCB83" w14:textId="77777777" w:rsidR="00925EC1" w:rsidRDefault="00925EC1" w:rsidP="0023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B2907" w14:textId="77777777" w:rsidR="00925EC1" w:rsidRDefault="00925EC1" w:rsidP="002363FC">
      <w:r>
        <w:separator/>
      </w:r>
    </w:p>
  </w:footnote>
  <w:footnote w:type="continuationSeparator" w:id="0">
    <w:p w14:paraId="5268C0CA" w14:textId="77777777" w:rsidR="00925EC1" w:rsidRDefault="00925EC1" w:rsidP="00236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1513F"/>
    <w:multiLevelType w:val="multilevel"/>
    <w:tmpl w:val="3E408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33B8695C"/>
    <w:multiLevelType w:val="multilevel"/>
    <w:tmpl w:val="8702B6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2" w15:restartNumberingAfterBreak="0">
    <w:nsid w:val="37ED385D"/>
    <w:multiLevelType w:val="multilevel"/>
    <w:tmpl w:val="AFC6D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140263"/>
    <w:multiLevelType w:val="multilevel"/>
    <w:tmpl w:val="945C2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F23BD6"/>
    <w:multiLevelType w:val="hybridMultilevel"/>
    <w:tmpl w:val="8558184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A151927"/>
    <w:multiLevelType w:val="hybridMultilevel"/>
    <w:tmpl w:val="32401F94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691F0FDD"/>
    <w:multiLevelType w:val="hybridMultilevel"/>
    <w:tmpl w:val="84FEAB70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7" w15:restartNumberingAfterBreak="0">
    <w:nsid w:val="7A22391B"/>
    <w:multiLevelType w:val="hybridMultilevel"/>
    <w:tmpl w:val="F20A0B4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57598917">
    <w:abstractNumId w:val="4"/>
  </w:num>
  <w:num w:numId="2" w16cid:durableId="1646659619">
    <w:abstractNumId w:val="3"/>
  </w:num>
  <w:num w:numId="3" w16cid:durableId="278338071">
    <w:abstractNumId w:val="2"/>
  </w:num>
  <w:num w:numId="4" w16cid:durableId="1596130665">
    <w:abstractNumId w:val="0"/>
  </w:num>
  <w:num w:numId="5" w16cid:durableId="1162039426">
    <w:abstractNumId w:val="1"/>
  </w:num>
  <w:num w:numId="6" w16cid:durableId="270482114">
    <w:abstractNumId w:val="5"/>
  </w:num>
  <w:num w:numId="7" w16cid:durableId="345713943">
    <w:abstractNumId w:val="7"/>
  </w:num>
  <w:num w:numId="8" w16cid:durableId="474685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yNzc1MDczNTAxMzNV0lEKTi0uzszPAykwtqgFAPJSW9Q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eparation Purification Te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etr9aw5k2x92kep0fa5t05f5xs9t0ewxxxw&quot;&gt;我的EndNote库&lt;record-ids&gt;&lt;item&gt;96&lt;/item&gt;&lt;item&gt;198&lt;/item&gt;&lt;item&gt;290&lt;/item&gt;&lt;/record-ids&gt;&lt;/item&gt;&lt;/Libraries&gt;"/>
  </w:docVars>
  <w:rsids>
    <w:rsidRoot w:val="00F31369"/>
    <w:rsid w:val="00015AA4"/>
    <w:rsid w:val="00020C7A"/>
    <w:rsid w:val="00022D8D"/>
    <w:rsid w:val="00030ADF"/>
    <w:rsid w:val="00032D97"/>
    <w:rsid w:val="00036B52"/>
    <w:rsid w:val="00040130"/>
    <w:rsid w:val="00055ADC"/>
    <w:rsid w:val="00061902"/>
    <w:rsid w:val="0006766C"/>
    <w:rsid w:val="00071416"/>
    <w:rsid w:val="0007336D"/>
    <w:rsid w:val="00073E97"/>
    <w:rsid w:val="00074449"/>
    <w:rsid w:val="000872D0"/>
    <w:rsid w:val="000945F1"/>
    <w:rsid w:val="000957EB"/>
    <w:rsid w:val="000A17E7"/>
    <w:rsid w:val="000B2023"/>
    <w:rsid w:val="000C05A3"/>
    <w:rsid w:val="000C0A4D"/>
    <w:rsid w:val="000E3955"/>
    <w:rsid w:val="000E5934"/>
    <w:rsid w:val="000E69FE"/>
    <w:rsid w:val="000F23C0"/>
    <w:rsid w:val="0011254C"/>
    <w:rsid w:val="00114685"/>
    <w:rsid w:val="00115674"/>
    <w:rsid w:val="001208F3"/>
    <w:rsid w:val="00120BB8"/>
    <w:rsid w:val="001302F3"/>
    <w:rsid w:val="00130319"/>
    <w:rsid w:val="00130FFB"/>
    <w:rsid w:val="00140595"/>
    <w:rsid w:val="00141161"/>
    <w:rsid w:val="00144FCB"/>
    <w:rsid w:val="00145AF8"/>
    <w:rsid w:val="00166A0D"/>
    <w:rsid w:val="00171C86"/>
    <w:rsid w:val="00177CD3"/>
    <w:rsid w:val="00177D58"/>
    <w:rsid w:val="00185B65"/>
    <w:rsid w:val="00191446"/>
    <w:rsid w:val="0019299D"/>
    <w:rsid w:val="00195A41"/>
    <w:rsid w:val="001A111F"/>
    <w:rsid w:val="001A13B3"/>
    <w:rsid w:val="001B4B9C"/>
    <w:rsid w:val="001B7202"/>
    <w:rsid w:val="001D27C9"/>
    <w:rsid w:val="001D5754"/>
    <w:rsid w:val="001D5B72"/>
    <w:rsid w:val="001E23AA"/>
    <w:rsid w:val="001E2FEF"/>
    <w:rsid w:val="001F4E9E"/>
    <w:rsid w:val="001F6E32"/>
    <w:rsid w:val="00202FD0"/>
    <w:rsid w:val="00215A43"/>
    <w:rsid w:val="002168AE"/>
    <w:rsid w:val="00227737"/>
    <w:rsid w:val="002363FC"/>
    <w:rsid w:val="00244A08"/>
    <w:rsid w:val="002456E4"/>
    <w:rsid w:val="00253A35"/>
    <w:rsid w:val="00254293"/>
    <w:rsid w:val="00256601"/>
    <w:rsid w:val="00266B34"/>
    <w:rsid w:val="00271408"/>
    <w:rsid w:val="00272A04"/>
    <w:rsid w:val="00272B5C"/>
    <w:rsid w:val="002A02C3"/>
    <w:rsid w:val="002A3070"/>
    <w:rsid w:val="002E022A"/>
    <w:rsid w:val="002E0ABD"/>
    <w:rsid w:val="00301A04"/>
    <w:rsid w:val="00314B5B"/>
    <w:rsid w:val="0031509A"/>
    <w:rsid w:val="003201D0"/>
    <w:rsid w:val="003247D3"/>
    <w:rsid w:val="00327578"/>
    <w:rsid w:val="003466A6"/>
    <w:rsid w:val="00361F22"/>
    <w:rsid w:val="00372A4D"/>
    <w:rsid w:val="00376599"/>
    <w:rsid w:val="00376B5B"/>
    <w:rsid w:val="00382F10"/>
    <w:rsid w:val="00387FF4"/>
    <w:rsid w:val="00391559"/>
    <w:rsid w:val="00391C25"/>
    <w:rsid w:val="003B01DC"/>
    <w:rsid w:val="003B250E"/>
    <w:rsid w:val="003C3DE6"/>
    <w:rsid w:val="003C6CEA"/>
    <w:rsid w:val="003D398B"/>
    <w:rsid w:val="003E6534"/>
    <w:rsid w:val="003F0A1B"/>
    <w:rsid w:val="003F337D"/>
    <w:rsid w:val="003F72AB"/>
    <w:rsid w:val="00402D84"/>
    <w:rsid w:val="004043C3"/>
    <w:rsid w:val="00414807"/>
    <w:rsid w:val="004157B5"/>
    <w:rsid w:val="00425466"/>
    <w:rsid w:val="00425545"/>
    <w:rsid w:val="00434AD8"/>
    <w:rsid w:val="0044444C"/>
    <w:rsid w:val="00445983"/>
    <w:rsid w:val="004609DD"/>
    <w:rsid w:val="00465E3C"/>
    <w:rsid w:val="00473FAB"/>
    <w:rsid w:val="0047447C"/>
    <w:rsid w:val="00484E6B"/>
    <w:rsid w:val="004862A9"/>
    <w:rsid w:val="00491583"/>
    <w:rsid w:val="004927AA"/>
    <w:rsid w:val="004938AC"/>
    <w:rsid w:val="004A1B19"/>
    <w:rsid w:val="004A7519"/>
    <w:rsid w:val="004A7983"/>
    <w:rsid w:val="004B1651"/>
    <w:rsid w:val="004C7527"/>
    <w:rsid w:val="004C773D"/>
    <w:rsid w:val="004D5F73"/>
    <w:rsid w:val="004E1EC2"/>
    <w:rsid w:val="004F1562"/>
    <w:rsid w:val="0050565C"/>
    <w:rsid w:val="00521BE5"/>
    <w:rsid w:val="00523213"/>
    <w:rsid w:val="00527997"/>
    <w:rsid w:val="00527EC8"/>
    <w:rsid w:val="005333BA"/>
    <w:rsid w:val="00534B3F"/>
    <w:rsid w:val="00537DBD"/>
    <w:rsid w:val="00540020"/>
    <w:rsid w:val="005467BC"/>
    <w:rsid w:val="005527E2"/>
    <w:rsid w:val="00576AED"/>
    <w:rsid w:val="00586D8D"/>
    <w:rsid w:val="005872A0"/>
    <w:rsid w:val="00590114"/>
    <w:rsid w:val="0059504D"/>
    <w:rsid w:val="005A0D30"/>
    <w:rsid w:val="005A388B"/>
    <w:rsid w:val="005C3510"/>
    <w:rsid w:val="005E2486"/>
    <w:rsid w:val="005E6C26"/>
    <w:rsid w:val="005E7036"/>
    <w:rsid w:val="005F56FB"/>
    <w:rsid w:val="005F69DB"/>
    <w:rsid w:val="005F7B6F"/>
    <w:rsid w:val="00621579"/>
    <w:rsid w:val="00627889"/>
    <w:rsid w:val="006330AF"/>
    <w:rsid w:val="00646138"/>
    <w:rsid w:val="006469C9"/>
    <w:rsid w:val="00647096"/>
    <w:rsid w:val="0065385F"/>
    <w:rsid w:val="0065432B"/>
    <w:rsid w:val="00656CEC"/>
    <w:rsid w:val="00664980"/>
    <w:rsid w:val="0066530E"/>
    <w:rsid w:val="006679FE"/>
    <w:rsid w:val="006716C1"/>
    <w:rsid w:val="006813C6"/>
    <w:rsid w:val="00687BAE"/>
    <w:rsid w:val="00693333"/>
    <w:rsid w:val="0069428C"/>
    <w:rsid w:val="006B12FE"/>
    <w:rsid w:val="006B33FC"/>
    <w:rsid w:val="006C1676"/>
    <w:rsid w:val="006C69DB"/>
    <w:rsid w:val="006D05E1"/>
    <w:rsid w:val="006E0159"/>
    <w:rsid w:val="006E5C67"/>
    <w:rsid w:val="006F2271"/>
    <w:rsid w:val="006F5E79"/>
    <w:rsid w:val="00704535"/>
    <w:rsid w:val="00705F72"/>
    <w:rsid w:val="00725E88"/>
    <w:rsid w:val="007425FF"/>
    <w:rsid w:val="007442FE"/>
    <w:rsid w:val="00772012"/>
    <w:rsid w:val="007732CA"/>
    <w:rsid w:val="0077423D"/>
    <w:rsid w:val="00774D09"/>
    <w:rsid w:val="00783A12"/>
    <w:rsid w:val="00786835"/>
    <w:rsid w:val="007A1E56"/>
    <w:rsid w:val="007A27BE"/>
    <w:rsid w:val="007A2F60"/>
    <w:rsid w:val="007A3ED8"/>
    <w:rsid w:val="007A591E"/>
    <w:rsid w:val="007B5B30"/>
    <w:rsid w:val="007B67E7"/>
    <w:rsid w:val="007B7EE2"/>
    <w:rsid w:val="007C5AB9"/>
    <w:rsid w:val="007C6058"/>
    <w:rsid w:val="007E3D64"/>
    <w:rsid w:val="007E6BEA"/>
    <w:rsid w:val="008069BC"/>
    <w:rsid w:val="00814D6A"/>
    <w:rsid w:val="00817035"/>
    <w:rsid w:val="00817D6E"/>
    <w:rsid w:val="008345DF"/>
    <w:rsid w:val="00840C23"/>
    <w:rsid w:val="008570CC"/>
    <w:rsid w:val="00864882"/>
    <w:rsid w:val="00880D73"/>
    <w:rsid w:val="00880F03"/>
    <w:rsid w:val="00880FD7"/>
    <w:rsid w:val="0088166E"/>
    <w:rsid w:val="00884559"/>
    <w:rsid w:val="00884A91"/>
    <w:rsid w:val="00885E4D"/>
    <w:rsid w:val="00885E53"/>
    <w:rsid w:val="0089652B"/>
    <w:rsid w:val="00897690"/>
    <w:rsid w:val="008C5E87"/>
    <w:rsid w:val="008C6D91"/>
    <w:rsid w:val="008D45EB"/>
    <w:rsid w:val="008E0C57"/>
    <w:rsid w:val="008E105E"/>
    <w:rsid w:val="008E756B"/>
    <w:rsid w:val="008F5430"/>
    <w:rsid w:val="00920EAD"/>
    <w:rsid w:val="00925EC1"/>
    <w:rsid w:val="00926016"/>
    <w:rsid w:val="009412C5"/>
    <w:rsid w:val="0094152C"/>
    <w:rsid w:val="00941D04"/>
    <w:rsid w:val="00945E0D"/>
    <w:rsid w:val="00951577"/>
    <w:rsid w:val="009536B1"/>
    <w:rsid w:val="00953BD6"/>
    <w:rsid w:val="0096055B"/>
    <w:rsid w:val="00961FE0"/>
    <w:rsid w:val="00966D45"/>
    <w:rsid w:val="00967287"/>
    <w:rsid w:val="00967476"/>
    <w:rsid w:val="0097185D"/>
    <w:rsid w:val="009754F8"/>
    <w:rsid w:val="0098278D"/>
    <w:rsid w:val="00983713"/>
    <w:rsid w:val="00994F69"/>
    <w:rsid w:val="009A3B7B"/>
    <w:rsid w:val="009A4959"/>
    <w:rsid w:val="009B2061"/>
    <w:rsid w:val="009C457D"/>
    <w:rsid w:val="009C61D4"/>
    <w:rsid w:val="009D1441"/>
    <w:rsid w:val="009D277C"/>
    <w:rsid w:val="009D4F94"/>
    <w:rsid w:val="009E0DF9"/>
    <w:rsid w:val="009E1B25"/>
    <w:rsid w:val="009E59A7"/>
    <w:rsid w:val="00A16528"/>
    <w:rsid w:val="00A23C69"/>
    <w:rsid w:val="00A3322B"/>
    <w:rsid w:val="00A525C6"/>
    <w:rsid w:val="00A62605"/>
    <w:rsid w:val="00A66574"/>
    <w:rsid w:val="00A700C2"/>
    <w:rsid w:val="00A72FF4"/>
    <w:rsid w:val="00A770AD"/>
    <w:rsid w:val="00A77821"/>
    <w:rsid w:val="00A85329"/>
    <w:rsid w:val="00A96610"/>
    <w:rsid w:val="00AB0279"/>
    <w:rsid w:val="00AB726C"/>
    <w:rsid w:val="00AC2D90"/>
    <w:rsid w:val="00AD1E4F"/>
    <w:rsid w:val="00AE3729"/>
    <w:rsid w:val="00AF5748"/>
    <w:rsid w:val="00B125BD"/>
    <w:rsid w:val="00B2056B"/>
    <w:rsid w:val="00B2163C"/>
    <w:rsid w:val="00B226AB"/>
    <w:rsid w:val="00B30D8F"/>
    <w:rsid w:val="00B32793"/>
    <w:rsid w:val="00B40007"/>
    <w:rsid w:val="00B64994"/>
    <w:rsid w:val="00B742C0"/>
    <w:rsid w:val="00B758C3"/>
    <w:rsid w:val="00B8009B"/>
    <w:rsid w:val="00BA1E3E"/>
    <w:rsid w:val="00BA4F27"/>
    <w:rsid w:val="00BA5176"/>
    <w:rsid w:val="00BC1837"/>
    <w:rsid w:val="00BC6732"/>
    <w:rsid w:val="00BD3003"/>
    <w:rsid w:val="00BD4215"/>
    <w:rsid w:val="00BE6891"/>
    <w:rsid w:val="00BF40FD"/>
    <w:rsid w:val="00BF65C6"/>
    <w:rsid w:val="00BF7B99"/>
    <w:rsid w:val="00C07B45"/>
    <w:rsid w:val="00C1521D"/>
    <w:rsid w:val="00C20FC0"/>
    <w:rsid w:val="00C2219B"/>
    <w:rsid w:val="00C27518"/>
    <w:rsid w:val="00C315EA"/>
    <w:rsid w:val="00C409FE"/>
    <w:rsid w:val="00C42D0C"/>
    <w:rsid w:val="00C44C08"/>
    <w:rsid w:val="00C61918"/>
    <w:rsid w:val="00C747FD"/>
    <w:rsid w:val="00C9490A"/>
    <w:rsid w:val="00CA20E8"/>
    <w:rsid w:val="00CA557B"/>
    <w:rsid w:val="00CB2720"/>
    <w:rsid w:val="00CB2A50"/>
    <w:rsid w:val="00CB3D9F"/>
    <w:rsid w:val="00CC6449"/>
    <w:rsid w:val="00CE61E6"/>
    <w:rsid w:val="00D002D6"/>
    <w:rsid w:val="00D0575C"/>
    <w:rsid w:val="00D16B15"/>
    <w:rsid w:val="00D1715A"/>
    <w:rsid w:val="00D23CD6"/>
    <w:rsid w:val="00D4131F"/>
    <w:rsid w:val="00D457F9"/>
    <w:rsid w:val="00D575B5"/>
    <w:rsid w:val="00D62039"/>
    <w:rsid w:val="00D72870"/>
    <w:rsid w:val="00D72D52"/>
    <w:rsid w:val="00D76618"/>
    <w:rsid w:val="00D92961"/>
    <w:rsid w:val="00D930CA"/>
    <w:rsid w:val="00D937D4"/>
    <w:rsid w:val="00DA0735"/>
    <w:rsid w:val="00DA091E"/>
    <w:rsid w:val="00DA147E"/>
    <w:rsid w:val="00DA1723"/>
    <w:rsid w:val="00DA2D88"/>
    <w:rsid w:val="00DA4D96"/>
    <w:rsid w:val="00DA703A"/>
    <w:rsid w:val="00DB5B24"/>
    <w:rsid w:val="00DC46AC"/>
    <w:rsid w:val="00DC4906"/>
    <w:rsid w:val="00DC7C79"/>
    <w:rsid w:val="00DD2F3B"/>
    <w:rsid w:val="00DE0338"/>
    <w:rsid w:val="00DE0B75"/>
    <w:rsid w:val="00E2276D"/>
    <w:rsid w:val="00E23776"/>
    <w:rsid w:val="00E2752E"/>
    <w:rsid w:val="00E309EF"/>
    <w:rsid w:val="00E436EF"/>
    <w:rsid w:val="00E56B31"/>
    <w:rsid w:val="00E7238F"/>
    <w:rsid w:val="00E72B45"/>
    <w:rsid w:val="00E74347"/>
    <w:rsid w:val="00E77515"/>
    <w:rsid w:val="00E86C4C"/>
    <w:rsid w:val="00E96FC6"/>
    <w:rsid w:val="00EA62FD"/>
    <w:rsid w:val="00EA635E"/>
    <w:rsid w:val="00EB5492"/>
    <w:rsid w:val="00EE2B89"/>
    <w:rsid w:val="00EF78B5"/>
    <w:rsid w:val="00F1494B"/>
    <w:rsid w:val="00F14E55"/>
    <w:rsid w:val="00F15F6D"/>
    <w:rsid w:val="00F16F04"/>
    <w:rsid w:val="00F25D71"/>
    <w:rsid w:val="00F31138"/>
    <w:rsid w:val="00F31369"/>
    <w:rsid w:val="00F34B07"/>
    <w:rsid w:val="00F35F77"/>
    <w:rsid w:val="00F42E33"/>
    <w:rsid w:val="00F436DE"/>
    <w:rsid w:val="00F4663E"/>
    <w:rsid w:val="00F60A29"/>
    <w:rsid w:val="00F77E7F"/>
    <w:rsid w:val="00FA1B18"/>
    <w:rsid w:val="00FA3A7A"/>
    <w:rsid w:val="00FC4F4E"/>
    <w:rsid w:val="00FD0FF3"/>
    <w:rsid w:val="00FD1CCA"/>
    <w:rsid w:val="00FD520F"/>
    <w:rsid w:val="00FD6133"/>
    <w:rsid w:val="00FD6CA1"/>
    <w:rsid w:val="00FE1231"/>
    <w:rsid w:val="00FE25E5"/>
    <w:rsid w:val="00FF2C8E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D7E5A"/>
  <w15:chartTrackingRefBased/>
  <w15:docId w15:val="{3F82DB7A-CC24-4CBA-B083-1AA9D716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FF2C8E"/>
    <w:pPr>
      <w:keepNext/>
      <w:keepLines/>
      <w:spacing w:before="260" w:after="260" w:line="360" w:lineRule="auto"/>
      <w:jc w:val="left"/>
      <w:outlineLvl w:val="1"/>
    </w:pPr>
    <w:rPr>
      <w:rFonts w:ascii="Times New Roman" w:eastAsiaTheme="majorEastAsia" w:hAnsi="Times New Roman" w:cstheme="majorBidi"/>
      <w:bCs/>
      <w:i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3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63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63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63FC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82F10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382F10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382F10"/>
  </w:style>
  <w:style w:type="paragraph" w:styleId="aa">
    <w:name w:val="annotation subject"/>
    <w:basedOn w:val="a8"/>
    <w:next w:val="a8"/>
    <w:link w:val="ab"/>
    <w:uiPriority w:val="99"/>
    <w:semiHidden/>
    <w:unhideWhenUsed/>
    <w:rsid w:val="00382F10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382F1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82F10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382F10"/>
    <w:rPr>
      <w:sz w:val="18"/>
      <w:szCs w:val="18"/>
    </w:rPr>
  </w:style>
  <w:style w:type="character" w:styleId="ae">
    <w:name w:val="Hyperlink"/>
    <w:basedOn w:val="a0"/>
    <w:uiPriority w:val="99"/>
    <w:unhideWhenUsed/>
    <w:rsid w:val="00F4663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4663E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6D05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Revision"/>
    <w:hidden/>
    <w:uiPriority w:val="99"/>
    <w:semiHidden/>
    <w:rsid w:val="00FE1231"/>
  </w:style>
  <w:style w:type="paragraph" w:customStyle="1" w:styleId="EndNoteBibliographyTitle">
    <w:name w:val="EndNote Bibliography Title"/>
    <w:basedOn w:val="a"/>
    <w:link w:val="EndNoteBibliographyTitle0"/>
    <w:rsid w:val="0065385F"/>
    <w:pPr>
      <w:jc w:val="center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65385F"/>
    <w:rPr>
      <w:rFonts w:ascii="Times New Roman" w:eastAsia="等线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65385F"/>
    <w:pPr>
      <w:jc w:val="left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65385F"/>
    <w:rPr>
      <w:rFonts w:ascii="Times New Roman" w:eastAsia="等线" w:hAnsi="Times New Roman" w:cs="Times New Roman"/>
      <w:noProof/>
      <w:sz w:val="24"/>
    </w:rPr>
  </w:style>
  <w:style w:type="paragraph" w:styleId="af1">
    <w:name w:val="List Paragraph"/>
    <w:basedOn w:val="a"/>
    <w:uiPriority w:val="34"/>
    <w:qFormat/>
    <w:rsid w:val="00786835"/>
    <w:pPr>
      <w:ind w:firstLineChars="200" w:firstLine="420"/>
    </w:pPr>
  </w:style>
  <w:style w:type="character" w:styleId="af2">
    <w:name w:val="Placeholder Text"/>
    <w:basedOn w:val="a0"/>
    <w:uiPriority w:val="99"/>
    <w:semiHidden/>
    <w:rsid w:val="00FD520F"/>
    <w:rPr>
      <w:color w:val="666666"/>
    </w:rPr>
  </w:style>
  <w:style w:type="table" w:styleId="af3">
    <w:name w:val="Table Grid"/>
    <w:basedOn w:val="a1"/>
    <w:uiPriority w:val="39"/>
    <w:rsid w:val="00074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FF2C8E"/>
    <w:rPr>
      <w:rFonts w:ascii="Times New Roman" w:eastAsiaTheme="majorEastAsia" w:hAnsi="Times New Roman" w:cstheme="majorBidi"/>
      <w:bCs/>
      <w:i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F4B2F-BE7A-4F15-8823-32AA447F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圣林</dc:creator>
  <cp:keywords/>
  <dc:description/>
  <cp:lastModifiedBy>Hualin Ye</cp:lastModifiedBy>
  <cp:revision>4</cp:revision>
  <dcterms:created xsi:type="dcterms:W3CDTF">2025-11-21T07:35:00Z</dcterms:created>
  <dcterms:modified xsi:type="dcterms:W3CDTF">2025-11-21T07:50:00Z</dcterms:modified>
</cp:coreProperties>
</file>