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355A2" w14:textId="77777777" w:rsidR="0032246D" w:rsidRPr="009D1B08" w:rsidRDefault="0032246D" w:rsidP="009D1B08">
      <w:pPr>
        <w:spacing w:line="300" w:lineRule="auto"/>
        <w:rPr>
          <w:rFonts w:ascii="Arial" w:hAnsi="Arial" w:cs="Arial" w:hint="eastAsia"/>
          <w:b/>
          <w:bCs/>
          <w:szCs w:val="21"/>
        </w:rPr>
      </w:pPr>
      <w:r w:rsidRPr="009D1B08">
        <w:rPr>
          <w:rFonts w:ascii="Arial" w:hAnsi="Arial" w:cs="Arial"/>
          <w:b/>
          <w:bCs/>
          <w:szCs w:val="21"/>
        </w:rPr>
        <w:t>Supplementary Materials</w:t>
      </w:r>
    </w:p>
    <w:p w14:paraId="18C91660" w14:textId="08357E6B" w:rsidR="0032246D" w:rsidRPr="009D1B08" w:rsidRDefault="0032246D" w:rsidP="009D1B08">
      <w:pPr>
        <w:spacing w:line="300" w:lineRule="auto"/>
        <w:rPr>
          <w:rFonts w:ascii="Arial" w:hAnsi="Arial" w:cs="Arial" w:hint="eastAsia"/>
          <w:b/>
          <w:bCs/>
          <w:szCs w:val="21"/>
        </w:rPr>
      </w:pPr>
      <w:r w:rsidRPr="009D1B08">
        <w:rPr>
          <w:rFonts w:ascii="Arial" w:hAnsi="Arial" w:cs="Arial"/>
          <w:b/>
          <w:bCs/>
          <w:szCs w:val="21"/>
        </w:rPr>
        <w:t xml:space="preserve">Supplementary Figure </w:t>
      </w:r>
      <w:r w:rsidRPr="009D1B08">
        <w:rPr>
          <w:rFonts w:ascii="Arial" w:hAnsi="Arial" w:cs="Arial" w:hint="eastAsia"/>
          <w:b/>
          <w:bCs/>
          <w:szCs w:val="21"/>
        </w:rPr>
        <w:t>1</w:t>
      </w:r>
      <w:r w:rsidRPr="009D1B08">
        <w:rPr>
          <w:rFonts w:ascii="Arial" w:hAnsi="Arial" w:cs="Arial"/>
          <w:b/>
          <w:bCs/>
          <w:szCs w:val="21"/>
        </w:rPr>
        <w:t>. Changes in Respiratory Rates Induced by Four Anesthetic Agents Across Different States</w:t>
      </w:r>
    </w:p>
    <w:p w14:paraId="756C115A" w14:textId="66E2D2FB" w:rsidR="0032246D" w:rsidRPr="009D1B08" w:rsidRDefault="0032246D" w:rsidP="009D1B08">
      <w:pPr>
        <w:spacing w:line="300" w:lineRule="auto"/>
        <w:rPr>
          <w:rFonts w:ascii="Arial" w:hAnsi="Arial" w:cs="Arial" w:hint="eastAsia"/>
          <w:szCs w:val="21"/>
        </w:rPr>
      </w:pPr>
      <w:r w:rsidRPr="009D1B08">
        <w:rPr>
          <w:rFonts w:ascii="Arial" w:hAnsi="Arial" w:cs="Arial"/>
          <w:szCs w:val="21"/>
        </w:rPr>
        <w:drawing>
          <wp:inline distT="0" distB="0" distL="0" distR="0" wp14:anchorId="26C4E6DD" wp14:editId="6AD9738A">
            <wp:extent cx="5263515" cy="2870200"/>
            <wp:effectExtent l="0" t="0" r="0" b="6350"/>
            <wp:docPr id="754710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B08">
        <w:rPr>
          <w:rFonts w:ascii="Arial" w:hAnsi="Arial" w:cs="Arial"/>
          <w:szCs w:val="21"/>
        </w:rPr>
        <w:br/>
        <w:t>The bar graph illustrates the changes in respiratory rates under the influence of four anesthetic agents (sevoflurane, propofol, ketamine, and dexmedetomidine) across three states: wakefulness (WAKE), loss of the righting reflex (LORR), and recovery of the righting reflex (RORR). Each bar represents the mean ± SEM (standard error of the mean) for the measured respiratory rates. Statistical comparisons between states (WAKE, LORR, RORR) for each anesthetic agent are indicated: ***p &lt; 0.001, **p &lt; 0.01, *p &lt; 0.05, ns = not significant. Notably, sevoflurane, propofol, and ketamine demonstrated significant respiratory suppression during LORR compared to WAKE, while dexmedetomidine exhibited a moderate effect. The ketamine group showed a pronounced increase in respiratory rate during RORR compared to LORR.</w:t>
      </w:r>
    </w:p>
    <w:p w14:paraId="4DE2978A" w14:textId="261BE6AF" w:rsidR="0032246D" w:rsidRPr="009D1B08" w:rsidRDefault="0032246D" w:rsidP="009D1B08">
      <w:pPr>
        <w:spacing w:line="300" w:lineRule="auto"/>
        <w:rPr>
          <w:rFonts w:ascii="Arial" w:hAnsi="Arial" w:cs="Arial" w:hint="eastAsia"/>
          <w:szCs w:val="21"/>
        </w:rPr>
      </w:pPr>
      <w:r w:rsidRPr="009D1B08">
        <w:rPr>
          <w:rFonts w:ascii="Arial" w:hAnsi="Arial" w:cs="Arial"/>
          <w:b/>
          <w:bCs/>
          <w:szCs w:val="21"/>
        </w:rPr>
        <w:t>Methods for Respiratory Rate Measurement:</w:t>
      </w:r>
      <w:r w:rsidRPr="009D1B08">
        <w:rPr>
          <w:rFonts w:ascii="Arial" w:hAnsi="Arial" w:cs="Arial"/>
          <w:szCs w:val="21"/>
        </w:rPr>
        <w:br/>
        <w:t xml:space="preserve">Respiratory rates were continuously recorded during the administration of four anesthetic agents across three experimental states: WAKE, LORR, and RORR. Data were collected using DSI </w:t>
      </w:r>
      <w:proofErr w:type="spellStart"/>
      <w:r w:rsidRPr="009D1B08">
        <w:rPr>
          <w:rFonts w:ascii="Arial" w:hAnsi="Arial" w:cs="Arial"/>
          <w:szCs w:val="21"/>
        </w:rPr>
        <w:t>Buxco</w:t>
      </w:r>
      <w:proofErr w:type="spellEnd"/>
      <w:r w:rsidRPr="009D1B08">
        <w:rPr>
          <w:rFonts w:ascii="Arial" w:hAnsi="Arial" w:cs="Arial"/>
          <w:szCs w:val="21"/>
        </w:rPr>
        <w:t xml:space="preserve"> </w:t>
      </w:r>
      <w:proofErr w:type="spellStart"/>
      <w:r w:rsidRPr="009D1B08">
        <w:rPr>
          <w:rFonts w:ascii="Arial" w:hAnsi="Arial" w:cs="Arial"/>
          <w:szCs w:val="21"/>
        </w:rPr>
        <w:t>FinePointe</w:t>
      </w:r>
      <w:proofErr w:type="spellEnd"/>
      <w:r w:rsidRPr="009D1B08">
        <w:rPr>
          <w:rFonts w:ascii="Arial" w:hAnsi="Arial" w:cs="Arial" w:hint="eastAsia"/>
          <w:szCs w:val="21"/>
        </w:rPr>
        <w:t xml:space="preserve"> software</w:t>
      </w:r>
      <w:r w:rsidRPr="009D1B08">
        <w:rPr>
          <w:rFonts w:ascii="Arial" w:hAnsi="Arial" w:cs="Arial"/>
          <w:szCs w:val="21"/>
        </w:rPr>
        <w:t xml:space="preserve"> and processed to calculate the mean respiratory rates ±</w:t>
      </w:r>
      <w:r w:rsidRPr="009D1B08">
        <w:rPr>
          <w:rFonts w:ascii="Arial" w:hAnsi="Arial" w:cs="Arial" w:hint="eastAsia"/>
          <w:szCs w:val="21"/>
        </w:rPr>
        <w:t>SEM</w:t>
      </w:r>
      <w:r w:rsidRPr="009D1B08">
        <w:rPr>
          <w:rFonts w:ascii="Arial" w:hAnsi="Arial" w:cs="Arial"/>
          <w:szCs w:val="21"/>
        </w:rPr>
        <w:t xml:space="preserve">. Statistical significance was determined using </w:t>
      </w:r>
      <w:r w:rsidRPr="009D1B08">
        <w:rPr>
          <w:rFonts w:ascii="Arial" w:hAnsi="Arial" w:cs="Arial" w:hint="eastAsia"/>
          <w:szCs w:val="21"/>
        </w:rPr>
        <w:t>two</w:t>
      </w:r>
      <w:r w:rsidRPr="009D1B08">
        <w:rPr>
          <w:rFonts w:ascii="Arial" w:hAnsi="Arial" w:cs="Arial"/>
          <w:szCs w:val="21"/>
        </w:rPr>
        <w:t>-way ANOVA, with post hoc comparisons for inter-state and inter-drug differences.</w:t>
      </w:r>
    </w:p>
    <w:p w14:paraId="08DC6E11" w14:textId="01F799E9" w:rsidR="0032246D" w:rsidRPr="009D1B08" w:rsidRDefault="0032246D" w:rsidP="009D1B08">
      <w:pPr>
        <w:spacing w:line="300" w:lineRule="auto"/>
        <w:rPr>
          <w:rFonts w:ascii="Arial" w:hAnsi="Arial" w:cs="Arial" w:hint="eastAsia"/>
          <w:szCs w:val="21"/>
        </w:rPr>
      </w:pPr>
      <w:r w:rsidRPr="009D1B08">
        <w:rPr>
          <w:rFonts w:ascii="Arial" w:hAnsi="Arial" w:cs="Arial"/>
          <w:b/>
          <w:bCs/>
          <w:szCs w:val="21"/>
        </w:rPr>
        <w:t>Results:</w:t>
      </w:r>
      <w:r w:rsidRPr="009D1B08">
        <w:rPr>
          <w:rFonts w:ascii="Arial" w:hAnsi="Arial" w:cs="Arial"/>
          <w:szCs w:val="21"/>
        </w:rPr>
        <w:br/>
        <w:t xml:space="preserve">The results provide evidence of the differential effects of anesthetic agents on respiratory physiology. Sevoflurane, propofol, and </w:t>
      </w:r>
      <w:r w:rsidR="009B445B" w:rsidRPr="009D1B08">
        <w:rPr>
          <w:rFonts w:ascii="Arial" w:hAnsi="Arial" w:cs="Arial"/>
          <w:szCs w:val="21"/>
        </w:rPr>
        <w:t>dexmedetomidine</w:t>
      </w:r>
      <w:r w:rsidRPr="009D1B08">
        <w:rPr>
          <w:rFonts w:ascii="Arial" w:hAnsi="Arial" w:cs="Arial"/>
          <w:szCs w:val="21"/>
        </w:rPr>
        <w:t xml:space="preserve"> induced marked suppression of respiratory rates during LORR, consistent with their effects on central respiratory control </w:t>
      </w:r>
      <w:r w:rsidRPr="009D1B08">
        <w:rPr>
          <w:rFonts w:ascii="Arial" w:hAnsi="Arial" w:cs="Arial"/>
          <w:szCs w:val="21"/>
        </w:rPr>
        <w:lastRenderedPageBreak/>
        <w:t xml:space="preserve">mechanisms. In contrast, </w:t>
      </w:r>
      <w:r w:rsidR="009B445B" w:rsidRPr="009D1B08">
        <w:rPr>
          <w:rFonts w:ascii="Arial" w:hAnsi="Arial" w:cs="Arial" w:hint="eastAsia"/>
          <w:szCs w:val="21"/>
        </w:rPr>
        <w:t>ketamine</w:t>
      </w:r>
      <w:r w:rsidR="00905E8A" w:rsidRPr="009D1B08">
        <w:rPr>
          <w:rFonts w:ascii="Arial" w:hAnsi="Arial" w:cs="Arial"/>
          <w:szCs w:val="21"/>
        </w:rPr>
        <w:t xml:space="preserve"> exhibited an increase in respiratory rates</w:t>
      </w:r>
      <w:r w:rsidRPr="009D1B08">
        <w:rPr>
          <w:rFonts w:ascii="Arial" w:hAnsi="Arial" w:cs="Arial"/>
          <w:szCs w:val="21"/>
        </w:rPr>
        <w:t>, reflecting its distinct pharmacodynamic profile. The observed recovery in respiratory rates during RORR for ketamine highlights its excitatory properties during emergence from anesthesia.</w:t>
      </w:r>
    </w:p>
    <w:p w14:paraId="5052391D" w14:textId="449FFD5F" w:rsidR="005C06B0" w:rsidRPr="009D1B08" w:rsidRDefault="0032246D" w:rsidP="009D1B08">
      <w:pPr>
        <w:spacing w:line="300" w:lineRule="auto"/>
        <w:rPr>
          <w:rFonts w:ascii="Arial" w:hAnsi="Arial" w:cs="Arial" w:hint="eastAsia"/>
          <w:szCs w:val="21"/>
        </w:rPr>
      </w:pPr>
      <w:r w:rsidRPr="009D1B08">
        <w:rPr>
          <w:rFonts w:ascii="Arial" w:hAnsi="Arial" w:cs="Arial"/>
          <w:b/>
          <w:bCs/>
          <w:szCs w:val="21"/>
        </w:rPr>
        <w:t>Conclusion:</w:t>
      </w:r>
      <w:r w:rsidRPr="009D1B08">
        <w:rPr>
          <w:rFonts w:ascii="Arial" w:hAnsi="Arial" w:cs="Arial"/>
          <w:szCs w:val="21"/>
        </w:rPr>
        <w:br/>
      </w:r>
      <w:r w:rsidR="006B272F" w:rsidRPr="009D1B08">
        <w:rPr>
          <w:rFonts w:ascii="Arial" w:hAnsi="Arial" w:cs="Arial"/>
          <w:szCs w:val="21"/>
        </w:rPr>
        <w:t xml:space="preserve">The measured respiratory rates correspond to the known pharmacological profiles of the anesthetic agents, demonstrating respiratory suppression during LORR for most anesthetics, except for the excitatory effects of ketamine during </w:t>
      </w:r>
      <w:r w:rsidR="006B272F" w:rsidRPr="009D1B08">
        <w:rPr>
          <w:rFonts w:ascii="Arial" w:hAnsi="Arial" w:cs="Arial" w:hint="eastAsia"/>
          <w:szCs w:val="21"/>
        </w:rPr>
        <w:t>LORR</w:t>
      </w:r>
      <w:r w:rsidR="006B272F" w:rsidRPr="009D1B08">
        <w:rPr>
          <w:rFonts w:ascii="Arial" w:hAnsi="Arial" w:cs="Arial"/>
          <w:szCs w:val="21"/>
        </w:rPr>
        <w:t>. These findings confirm that the animals experienced a controlled and safe anesthesia process, with respiratory patterns consistent with expected pharmacodynamic responses.</w:t>
      </w:r>
    </w:p>
    <w:sectPr w:rsidR="005C06B0" w:rsidRPr="009D1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0F"/>
    <w:rsid w:val="0032246D"/>
    <w:rsid w:val="00456F82"/>
    <w:rsid w:val="005137A9"/>
    <w:rsid w:val="005C06B0"/>
    <w:rsid w:val="00644C0F"/>
    <w:rsid w:val="006B272F"/>
    <w:rsid w:val="00810D2F"/>
    <w:rsid w:val="00905E8A"/>
    <w:rsid w:val="009B445B"/>
    <w:rsid w:val="009D1B08"/>
    <w:rsid w:val="00AA30B3"/>
    <w:rsid w:val="00BD45DB"/>
    <w:rsid w:val="00F2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44B74"/>
  <w15:chartTrackingRefBased/>
  <w15:docId w15:val="{FA716FF0-D2C5-43A4-9765-9ED1A204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56F8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56F82"/>
    <w:rPr>
      <w:sz w:val="20"/>
      <w:szCs w:val="20"/>
    </w:rPr>
  </w:style>
  <w:style w:type="character" w:customStyle="1" w:styleId="a5">
    <w:name w:val="批注文字 字符"/>
    <w:basedOn w:val="a0"/>
    <w:link w:val="a4"/>
    <w:uiPriority w:val="99"/>
    <w:semiHidden/>
    <w:rsid w:val="00456F8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56F82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456F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8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★ Amor</dc:creator>
  <cp:keywords/>
  <dc:description/>
  <cp:lastModifiedBy>★ Amor</cp:lastModifiedBy>
  <cp:revision>9</cp:revision>
  <dcterms:created xsi:type="dcterms:W3CDTF">2024-12-25T05:50:00Z</dcterms:created>
  <dcterms:modified xsi:type="dcterms:W3CDTF">2024-12-25T07:48:00Z</dcterms:modified>
</cp:coreProperties>
</file>