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3D5B3" w14:textId="661A92D2" w:rsidR="0074004D" w:rsidRPr="0074004D" w:rsidRDefault="0074004D">
      <w:pPr>
        <w:rPr>
          <w:rFonts w:ascii="Times New Roman" w:hAnsi="Times New Roman" w:cs="Times New Roman"/>
          <w:sz w:val="20"/>
          <w:szCs w:val="20"/>
        </w:rPr>
      </w:pPr>
      <w:r w:rsidRPr="0074004D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Supplementary </w:t>
      </w:r>
      <w:r w:rsidRPr="0074004D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Pr="0074004D">
        <w:rPr>
          <w:rFonts w:ascii="Times New Roman" w:hAnsi="Times New Roman" w:cs="Times New Roman" w:hint="eastAsia"/>
          <w:b/>
          <w:bCs/>
          <w:sz w:val="20"/>
          <w:szCs w:val="20"/>
        </w:rPr>
        <w:t>1</w:t>
      </w:r>
      <w:r w:rsidRPr="0074004D">
        <w:rPr>
          <w:rFonts w:ascii="Times New Roman" w:hAnsi="Times New Roman" w:cs="Times New Roman"/>
          <w:sz w:val="20"/>
          <w:szCs w:val="20"/>
        </w:rPr>
        <w:t xml:space="preserve"> </w:t>
      </w:r>
      <w:r w:rsidR="00D3227F">
        <w:rPr>
          <w:rFonts w:ascii="Times New Roman" w:hAnsi="Times New Roman" w:cs="Times New Roman" w:hint="eastAsia"/>
          <w:sz w:val="20"/>
          <w:szCs w:val="20"/>
        </w:rPr>
        <w:t>A</w:t>
      </w:r>
      <w:r w:rsidRPr="0074004D">
        <w:rPr>
          <w:rFonts w:ascii="Times New Roman" w:hAnsi="Times New Roman" w:cs="Times New Roman"/>
          <w:sz w:val="20"/>
          <w:szCs w:val="20"/>
        </w:rPr>
        <w:t xml:space="preserve">ppraisal of representative studies cited in </w:t>
      </w:r>
      <w:r>
        <w:rPr>
          <w:rFonts w:ascii="Times New Roman" w:hAnsi="Times New Roman" w:cs="Times New Roman"/>
          <w:sz w:val="20"/>
          <w:szCs w:val="20"/>
        </w:rPr>
        <w:t>“</w:t>
      </w:r>
      <w:r w:rsidRPr="004A35CE">
        <w:rPr>
          <w:rFonts w:ascii="Times New Roman" w:eastAsia="宋体" w:hAnsi="Times New Roman" w:cs="Times New Roman"/>
          <w:sz w:val="20"/>
          <w:szCs w:val="20"/>
        </w:rPr>
        <w:t>Applications of LLMs in Anesthesiology</w:t>
      </w:r>
      <w:r>
        <w:rPr>
          <w:rFonts w:ascii="Times New Roman" w:eastAsia="宋体" w:hAnsi="Times New Roman" w:cs="Times New Roman"/>
          <w:sz w:val="20"/>
          <w:szCs w:val="20"/>
        </w:rPr>
        <w:t>”</w:t>
      </w:r>
    </w:p>
    <w:p w14:paraId="6DA331E5" w14:textId="77777777" w:rsidR="0074004D" w:rsidRDefault="0074004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f2"/>
        <w:tblW w:w="13858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063"/>
        <w:gridCol w:w="1525"/>
        <w:gridCol w:w="1390"/>
        <w:gridCol w:w="2401"/>
        <w:gridCol w:w="3171"/>
        <w:gridCol w:w="2045"/>
      </w:tblGrid>
      <w:tr w:rsidR="0074004D" w:rsidRPr="00251660" w14:paraId="58ABE78C" w14:textId="77777777" w:rsidTr="00BC34B2">
        <w:trPr>
          <w:trHeight w:val="570"/>
          <w:jc w:val="center"/>
        </w:trPr>
        <w:tc>
          <w:tcPr>
            <w:tcW w:w="2263" w:type="dxa"/>
            <w:hideMark/>
          </w:tcPr>
          <w:p w14:paraId="34F5448E" w14:textId="77777777" w:rsidR="0074004D" w:rsidRPr="00251660" w:rsidRDefault="0074004D" w:rsidP="00BC34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1063" w:type="dxa"/>
            <w:hideMark/>
          </w:tcPr>
          <w:p w14:paraId="4053D161" w14:textId="77777777" w:rsidR="0074004D" w:rsidRPr="00251660" w:rsidRDefault="0074004D" w:rsidP="00BC34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 (year)</w:t>
            </w:r>
          </w:p>
        </w:tc>
        <w:tc>
          <w:tcPr>
            <w:tcW w:w="1525" w:type="dxa"/>
            <w:hideMark/>
          </w:tcPr>
          <w:p w14:paraId="6A944F40" w14:textId="77777777" w:rsidR="0074004D" w:rsidRPr="00251660" w:rsidRDefault="0074004D" w:rsidP="00BC34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390" w:type="dxa"/>
            <w:hideMark/>
          </w:tcPr>
          <w:p w14:paraId="56B1425C" w14:textId="77777777" w:rsidR="0074004D" w:rsidRPr="00251660" w:rsidRDefault="0074004D" w:rsidP="00BC34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LLM</w:t>
            </w:r>
          </w:p>
        </w:tc>
        <w:tc>
          <w:tcPr>
            <w:tcW w:w="2401" w:type="dxa"/>
            <w:hideMark/>
          </w:tcPr>
          <w:p w14:paraId="694BA3C7" w14:textId="77777777" w:rsidR="0074004D" w:rsidRPr="00251660" w:rsidRDefault="0074004D" w:rsidP="00BC34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Sample/size</w:t>
            </w:r>
          </w:p>
        </w:tc>
        <w:tc>
          <w:tcPr>
            <w:tcW w:w="3171" w:type="dxa"/>
            <w:hideMark/>
          </w:tcPr>
          <w:p w14:paraId="15D6F9C3" w14:textId="77777777" w:rsidR="0074004D" w:rsidRPr="00251660" w:rsidRDefault="0074004D" w:rsidP="00BC34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Key finding(s)</w:t>
            </w:r>
          </w:p>
        </w:tc>
        <w:tc>
          <w:tcPr>
            <w:tcW w:w="2045" w:type="dxa"/>
            <w:hideMark/>
          </w:tcPr>
          <w:p w14:paraId="733879F7" w14:textId="77777777" w:rsidR="0074004D" w:rsidRPr="00251660" w:rsidRDefault="0074004D" w:rsidP="00BC34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Restrictive Factors</w:t>
            </w:r>
          </w:p>
        </w:tc>
      </w:tr>
      <w:tr w:rsidR="0074004D" w:rsidRPr="00251660" w14:paraId="7F32668E" w14:textId="77777777" w:rsidTr="00BC34B2">
        <w:trPr>
          <w:trHeight w:val="2280"/>
          <w:jc w:val="center"/>
        </w:trPr>
        <w:tc>
          <w:tcPr>
            <w:tcW w:w="2263" w:type="dxa"/>
            <w:hideMark/>
          </w:tcPr>
          <w:p w14:paraId="55DED893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Diagnostic reasoning prompts reveal the potential for large language model interpretability in medicine</w:t>
            </w:r>
          </w:p>
        </w:tc>
        <w:tc>
          <w:tcPr>
            <w:tcW w:w="1063" w:type="dxa"/>
            <w:hideMark/>
          </w:tcPr>
          <w:p w14:paraId="61275CC3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Savage T et al. (2024)</w:t>
            </w:r>
          </w:p>
        </w:tc>
        <w:tc>
          <w:tcPr>
            <w:tcW w:w="1525" w:type="dxa"/>
            <w:hideMark/>
          </w:tcPr>
          <w:p w14:paraId="3E1E8B1E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Systematic prompt engineering and evaluation</w:t>
            </w:r>
          </w:p>
        </w:tc>
        <w:tc>
          <w:tcPr>
            <w:tcW w:w="1390" w:type="dxa"/>
            <w:hideMark/>
          </w:tcPr>
          <w:p w14:paraId="34CBD56A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GPT-3.5 and GPT-4</w:t>
            </w:r>
          </w:p>
        </w:tc>
        <w:tc>
          <w:tcPr>
            <w:tcW w:w="2401" w:type="dxa"/>
            <w:hideMark/>
          </w:tcPr>
          <w:p w14:paraId="0AC72358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Modified </w:t>
            </w: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MedQA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USMLE (United States Medical Licensing Exam) dataset (613 questions); NEJM (New England Journal of Medicine) case series (310 cases)</w:t>
            </w:r>
          </w:p>
        </w:tc>
        <w:tc>
          <w:tcPr>
            <w:tcW w:w="3171" w:type="dxa"/>
            <w:hideMark/>
          </w:tcPr>
          <w:p w14:paraId="14A3A6A9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Diagnostic reasoning prompts can improve interpretability of LLMs in medicine</w:t>
            </w:r>
          </w:p>
        </w:tc>
        <w:tc>
          <w:tcPr>
            <w:tcW w:w="2045" w:type="dxa"/>
            <w:hideMark/>
          </w:tcPr>
          <w:p w14:paraId="653D6401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Investigation was limited to only GPT-3.5 and GPT-4, US-centric question sets, and the English language</w:t>
            </w:r>
          </w:p>
        </w:tc>
      </w:tr>
      <w:tr w:rsidR="0074004D" w:rsidRPr="00251660" w14:paraId="41CE45E6" w14:textId="77777777" w:rsidTr="00BC34B2">
        <w:trPr>
          <w:trHeight w:val="1710"/>
          <w:jc w:val="center"/>
        </w:trPr>
        <w:tc>
          <w:tcPr>
            <w:tcW w:w="2263" w:type="dxa"/>
            <w:hideMark/>
          </w:tcPr>
          <w:p w14:paraId="4B9560E1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Clinical decision support for bipolar depression using large language models</w:t>
            </w:r>
          </w:p>
        </w:tc>
        <w:tc>
          <w:tcPr>
            <w:tcW w:w="1063" w:type="dxa"/>
            <w:hideMark/>
          </w:tcPr>
          <w:p w14:paraId="3CB264FD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Perlis RH et al. (2024)</w:t>
            </w:r>
          </w:p>
        </w:tc>
        <w:tc>
          <w:tcPr>
            <w:tcW w:w="1525" w:type="dxa"/>
            <w:hideMark/>
          </w:tcPr>
          <w:p w14:paraId="22D9222B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Guideline-augmented prompting and evaluation</w:t>
            </w:r>
          </w:p>
        </w:tc>
        <w:tc>
          <w:tcPr>
            <w:tcW w:w="1390" w:type="dxa"/>
            <w:hideMark/>
          </w:tcPr>
          <w:p w14:paraId="7F008071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GPT-4</w:t>
            </w:r>
          </w:p>
        </w:tc>
        <w:tc>
          <w:tcPr>
            <w:tcW w:w="2401" w:type="dxa"/>
            <w:hideMark/>
          </w:tcPr>
          <w:p w14:paraId="514C716D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Sets of clinical vignettes reflecting bipolar depression (50 sets)</w:t>
            </w:r>
          </w:p>
        </w:tc>
        <w:tc>
          <w:tcPr>
            <w:tcW w:w="3171" w:type="dxa"/>
            <w:hideMark/>
          </w:tcPr>
          <w:p w14:paraId="7CA83E88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Integrating treatment guidelines can boost LLM decision support</w:t>
            </w:r>
          </w:p>
        </w:tc>
        <w:tc>
          <w:tcPr>
            <w:tcW w:w="2045" w:type="dxa"/>
            <w:hideMark/>
          </w:tcPr>
          <w:p w14:paraId="5D73E2BD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Potential bias of critical information omitted from the vignettes</w:t>
            </w:r>
          </w:p>
        </w:tc>
      </w:tr>
      <w:tr w:rsidR="0074004D" w:rsidRPr="00251660" w14:paraId="1BDCCC7D" w14:textId="77777777" w:rsidTr="00BC34B2">
        <w:trPr>
          <w:trHeight w:val="2280"/>
          <w:jc w:val="center"/>
        </w:trPr>
        <w:tc>
          <w:tcPr>
            <w:tcW w:w="2263" w:type="dxa"/>
            <w:hideMark/>
          </w:tcPr>
          <w:p w14:paraId="215C6F35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Outpatient reception via collaboration between nurses and a large language model: a randomized controlled trial</w:t>
            </w:r>
          </w:p>
        </w:tc>
        <w:tc>
          <w:tcPr>
            <w:tcW w:w="1063" w:type="dxa"/>
            <w:hideMark/>
          </w:tcPr>
          <w:p w14:paraId="7223183F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Wan P et al. (2024)</w:t>
            </w:r>
          </w:p>
        </w:tc>
        <w:tc>
          <w:tcPr>
            <w:tcW w:w="1525" w:type="dxa"/>
            <w:hideMark/>
          </w:tcPr>
          <w:p w14:paraId="47661A7A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Fine-tuning + site-prompt templates and evaluation</w:t>
            </w:r>
          </w:p>
        </w:tc>
        <w:tc>
          <w:tcPr>
            <w:tcW w:w="1390" w:type="dxa"/>
            <w:hideMark/>
          </w:tcPr>
          <w:p w14:paraId="3312A23F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SSPEC based on GPT-3.5</w:t>
            </w:r>
          </w:p>
        </w:tc>
        <w:tc>
          <w:tcPr>
            <w:tcW w:w="2401" w:type="dxa"/>
            <w:hideMark/>
          </w:tcPr>
          <w:p w14:paraId="6CE72240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Real-world conversation audio corpus for LLM development (35,418 cases); Patients for RCT (2,164)</w:t>
            </w:r>
          </w:p>
        </w:tc>
        <w:tc>
          <w:tcPr>
            <w:tcW w:w="3171" w:type="dxa"/>
            <w:hideMark/>
          </w:tcPr>
          <w:p w14:paraId="7A19E982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Nurse-LLM collaboration can improve satisfaction, reduce negative emotions, enhance efficiency</w:t>
            </w:r>
          </w:p>
        </w:tc>
        <w:tc>
          <w:tcPr>
            <w:tcW w:w="2045" w:type="dxa"/>
            <w:hideMark/>
          </w:tcPr>
          <w:p w14:paraId="4F200E98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Low-stakes clinical scenario of outpatient reception tasks</w:t>
            </w:r>
          </w:p>
        </w:tc>
      </w:tr>
      <w:tr w:rsidR="0074004D" w:rsidRPr="00251660" w14:paraId="516EFE7E" w14:textId="77777777" w:rsidTr="00BC34B2">
        <w:trPr>
          <w:trHeight w:val="2565"/>
          <w:jc w:val="center"/>
        </w:trPr>
        <w:tc>
          <w:tcPr>
            <w:tcW w:w="2263" w:type="dxa"/>
            <w:hideMark/>
          </w:tcPr>
          <w:p w14:paraId="009DA723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Large Language Model Capabilities in Perioperative Risk Prediction and Prognostication</w:t>
            </w:r>
          </w:p>
        </w:tc>
        <w:tc>
          <w:tcPr>
            <w:tcW w:w="1063" w:type="dxa"/>
            <w:hideMark/>
          </w:tcPr>
          <w:p w14:paraId="3B21A762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Chung H et al. (2024)</w:t>
            </w:r>
          </w:p>
        </w:tc>
        <w:tc>
          <w:tcPr>
            <w:tcW w:w="1525" w:type="dxa"/>
            <w:hideMark/>
          </w:tcPr>
          <w:p w14:paraId="151F20E3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Systematic prompt engineering and evaluation</w:t>
            </w:r>
          </w:p>
        </w:tc>
        <w:tc>
          <w:tcPr>
            <w:tcW w:w="1390" w:type="dxa"/>
            <w:hideMark/>
          </w:tcPr>
          <w:p w14:paraId="663D71F0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Models based on GPT-4</w:t>
            </w:r>
          </w:p>
        </w:tc>
        <w:tc>
          <w:tcPr>
            <w:tcW w:w="2401" w:type="dxa"/>
            <w:hideMark/>
          </w:tcPr>
          <w:p w14:paraId="5E48FD58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Task-specific datasets, each with 1000 cases with the exception of unplanned admission, which had 949 cases, and hospital mortality, which had 576 cases</w:t>
            </w:r>
          </w:p>
        </w:tc>
        <w:tc>
          <w:tcPr>
            <w:tcW w:w="3171" w:type="dxa"/>
            <w:hideMark/>
          </w:tcPr>
          <w:p w14:paraId="312C0E28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Current generation LLMs may be able to assist clinicians with perioperative risk stratification in classification tasks but not numerical prediction tasks.</w:t>
            </w:r>
          </w:p>
        </w:tc>
        <w:tc>
          <w:tcPr>
            <w:tcW w:w="2045" w:type="dxa"/>
            <w:hideMark/>
          </w:tcPr>
          <w:p w14:paraId="0227F1AC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Dataset/task heterogeneity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; </w:t>
            </w: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true performance of the model against the real-world prevalence of outcomes requires further investigation</w:t>
            </w:r>
          </w:p>
        </w:tc>
      </w:tr>
      <w:tr w:rsidR="0074004D" w:rsidRPr="00251660" w14:paraId="67E65DC4" w14:textId="77777777" w:rsidTr="00BC34B2">
        <w:trPr>
          <w:trHeight w:val="2280"/>
          <w:jc w:val="center"/>
        </w:trPr>
        <w:tc>
          <w:tcPr>
            <w:tcW w:w="2263" w:type="dxa"/>
            <w:hideMark/>
          </w:tcPr>
          <w:p w14:paraId="2A260BA8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ClinicalBERT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: Modeling Clinical Notes and Predicting Hospital Readmission</w:t>
            </w:r>
          </w:p>
        </w:tc>
        <w:tc>
          <w:tcPr>
            <w:tcW w:w="1063" w:type="dxa"/>
            <w:hideMark/>
          </w:tcPr>
          <w:p w14:paraId="1099FB62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Huang K et al. (2019)</w:t>
            </w:r>
          </w:p>
        </w:tc>
        <w:tc>
          <w:tcPr>
            <w:tcW w:w="1525" w:type="dxa"/>
            <w:hideMark/>
          </w:tcPr>
          <w:p w14:paraId="7E4D9FC9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Pre-training + fine-tuning and evaluation</w:t>
            </w:r>
          </w:p>
        </w:tc>
        <w:tc>
          <w:tcPr>
            <w:tcW w:w="1390" w:type="dxa"/>
            <w:hideMark/>
          </w:tcPr>
          <w:p w14:paraId="02F7E346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ClinicalBERT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based on BERT</w:t>
            </w:r>
          </w:p>
        </w:tc>
        <w:tc>
          <w:tcPr>
            <w:tcW w:w="2401" w:type="dxa"/>
            <w:hideMark/>
          </w:tcPr>
          <w:p w14:paraId="7AD6B4A4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MIMIC-III dataset (58,976 hospital admissions from 38,597 patients, 2,083,180 de-identified notes associated with the admissions)</w:t>
            </w:r>
          </w:p>
        </w:tc>
        <w:tc>
          <w:tcPr>
            <w:tcW w:w="3171" w:type="dxa"/>
            <w:hideMark/>
          </w:tcPr>
          <w:p w14:paraId="19DCEAF9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After fitting the private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dataset available at the practitioner’s institution, </w:t>
            </w: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ClinicalBERT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can be used for downstream clinical tasks</w:t>
            </w:r>
          </w:p>
        </w:tc>
        <w:tc>
          <w:tcPr>
            <w:tcW w:w="2045" w:type="dxa"/>
            <w:hideMark/>
          </w:tcPr>
          <w:p w14:paraId="4B2F1285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MIMIC-III dataset used in the model is small compared to the large volume of clinical notes available internally at hospitals</w:t>
            </w:r>
          </w:p>
        </w:tc>
      </w:tr>
      <w:tr w:rsidR="0074004D" w:rsidRPr="00251660" w14:paraId="435D523E" w14:textId="77777777" w:rsidTr="00BC34B2">
        <w:trPr>
          <w:trHeight w:val="1995"/>
          <w:jc w:val="center"/>
        </w:trPr>
        <w:tc>
          <w:tcPr>
            <w:tcW w:w="2263" w:type="dxa"/>
            <w:hideMark/>
          </w:tcPr>
          <w:p w14:paraId="0BA82629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BioBERT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: a pre-trained biomedical language representation model for biomedical text mining</w:t>
            </w:r>
          </w:p>
        </w:tc>
        <w:tc>
          <w:tcPr>
            <w:tcW w:w="1063" w:type="dxa"/>
            <w:hideMark/>
          </w:tcPr>
          <w:p w14:paraId="4CCCB355" w14:textId="7F7D9DE0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Lee J et</w:t>
            </w:r>
            <w:r w:rsidR="00933FA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al.</w:t>
            </w:r>
            <w:r w:rsidR="00933FA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(2019)</w:t>
            </w:r>
          </w:p>
        </w:tc>
        <w:tc>
          <w:tcPr>
            <w:tcW w:w="1525" w:type="dxa"/>
            <w:hideMark/>
          </w:tcPr>
          <w:p w14:paraId="6408A5CF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Pre-training + fine-tuning and evaluation</w:t>
            </w:r>
          </w:p>
        </w:tc>
        <w:tc>
          <w:tcPr>
            <w:tcW w:w="1390" w:type="dxa"/>
            <w:hideMark/>
          </w:tcPr>
          <w:p w14:paraId="3ACDDF8D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BioBERT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based on BERT</w:t>
            </w:r>
          </w:p>
        </w:tc>
        <w:tc>
          <w:tcPr>
            <w:tcW w:w="2401" w:type="dxa"/>
            <w:hideMark/>
          </w:tcPr>
          <w:p w14:paraId="0705E68A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PubMed abstracts (4.5B words), PMC full-text (13.5B); 9 NER, 3 RE, 3 QA datasets</w:t>
            </w:r>
          </w:p>
        </w:tc>
        <w:tc>
          <w:tcPr>
            <w:tcW w:w="3171" w:type="dxa"/>
            <w:hideMark/>
          </w:tcPr>
          <w:p w14:paraId="0869E619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BioBERT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can achieve outperformance on biomedical </w:t>
            </w: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biomedical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named entity recognition, biomedical relation extraction, and biomedical question answering</w:t>
            </w:r>
          </w:p>
        </w:tc>
        <w:tc>
          <w:tcPr>
            <w:tcW w:w="2045" w:type="dxa"/>
            <w:hideMark/>
          </w:tcPr>
          <w:p w14:paraId="61ACF5C4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Evaluation focused on benchmark datasets, not real-world clinical deployment</w:t>
            </w:r>
          </w:p>
        </w:tc>
      </w:tr>
      <w:tr w:rsidR="0074004D" w:rsidRPr="00251660" w14:paraId="1CC3C751" w14:textId="77777777" w:rsidTr="00BC34B2">
        <w:trPr>
          <w:trHeight w:val="2280"/>
          <w:jc w:val="center"/>
        </w:trPr>
        <w:tc>
          <w:tcPr>
            <w:tcW w:w="2263" w:type="dxa"/>
            <w:hideMark/>
          </w:tcPr>
          <w:p w14:paraId="6E28FFE5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BioMedBERT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: A pre-trained biomedical language model for QA and IR</w:t>
            </w:r>
          </w:p>
        </w:tc>
        <w:tc>
          <w:tcPr>
            <w:tcW w:w="1063" w:type="dxa"/>
            <w:hideMark/>
          </w:tcPr>
          <w:p w14:paraId="35EDD932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Chakraborty S et al. (2020)</w:t>
            </w:r>
          </w:p>
        </w:tc>
        <w:tc>
          <w:tcPr>
            <w:tcW w:w="1525" w:type="dxa"/>
            <w:hideMark/>
          </w:tcPr>
          <w:p w14:paraId="00B22750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Pre-training + fine-tuning and evaluation</w:t>
            </w:r>
          </w:p>
        </w:tc>
        <w:tc>
          <w:tcPr>
            <w:tcW w:w="1390" w:type="dxa"/>
            <w:hideMark/>
          </w:tcPr>
          <w:p w14:paraId="4D9ADADD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BioMedBERT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based on BERT</w:t>
            </w:r>
          </w:p>
        </w:tc>
        <w:tc>
          <w:tcPr>
            <w:tcW w:w="2401" w:type="dxa"/>
            <w:hideMark/>
          </w:tcPr>
          <w:p w14:paraId="48CB2FF8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BREATHE v1.0 (6,130,763 articles, 4.1B words); 6 NER, 2 RE, 4 QA datasets</w:t>
            </w:r>
          </w:p>
        </w:tc>
        <w:tc>
          <w:tcPr>
            <w:tcW w:w="3171" w:type="dxa"/>
            <w:hideMark/>
          </w:tcPr>
          <w:p w14:paraId="35FC20AD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BioMedBERT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can achieve state-of-the-art results when fine-tuned on Question and Answering datasets, and also produces impressive performances on other language tasks such as Named Entity Recognition and Relation Extraction</w:t>
            </w:r>
          </w:p>
        </w:tc>
        <w:tc>
          <w:tcPr>
            <w:tcW w:w="2045" w:type="dxa"/>
            <w:hideMark/>
          </w:tcPr>
          <w:p w14:paraId="247E4FB0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Evaluation focused on benchmark datasets, not real-world clinical deployment</w:t>
            </w:r>
          </w:p>
        </w:tc>
      </w:tr>
      <w:tr w:rsidR="0074004D" w:rsidRPr="00251660" w14:paraId="6839BF18" w14:textId="77777777" w:rsidTr="00BC34B2">
        <w:trPr>
          <w:trHeight w:val="2280"/>
          <w:jc w:val="center"/>
        </w:trPr>
        <w:tc>
          <w:tcPr>
            <w:tcW w:w="2263" w:type="dxa"/>
            <w:hideMark/>
          </w:tcPr>
          <w:p w14:paraId="1DC220A1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Domain-Specific Language Model Pretraining for Biomedical Natural Language Processing</w:t>
            </w:r>
          </w:p>
        </w:tc>
        <w:tc>
          <w:tcPr>
            <w:tcW w:w="1063" w:type="dxa"/>
            <w:hideMark/>
          </w:tcPr>
          <w:p w14:paraId="3B6A8ECA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Gu Y et al. (2021)</w:t>
            </w:r>
          </w:p>
        </w:tc>
        <w:tc>
          <w:tcPr>
            <w:tcW w:w="1525" w:type="dxa"/>
            <w:hideMark/>
          </w:tcPr>
          <w:p w14:paraId="01F4AE1C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Pre-training from scratch+ fine-tuning and evaluation</w:t>
            </w:r>
          </w:p>
        </w:tc>
        <w:tc>
          <w:tcPr>
            <w:tcW w:w="1390" w:type="dxa"/>
            <w:hideMark/>
          </w:tcPr>
          <w:p w14:paraId="22C809AB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PubMedBERT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based on BERT</w:t>
            </w:r>
          </w:p>
        </w:tc>
        <w:tc>
          <w:tcPr>
            <w:tcW w:w="2401" w:type="dxa"/>
            <w:hideMark/>
          </w:tcPr>
          <w:p w14:paraId="6F27A004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Pubmed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abstracts (14 million abstracts, 3.2B words, 21GB); BLURB datasets (13 datasets)</w:t>
            </w:r>
          </w:p>
        </w:tc>
        <w:tc>
          <w:tcPr>
            <w:tcW w:w="3171" w:type="dxa"/>
            <w:hideMark/>
          </w:tcPr>
          <w:p w14:paraId="5E32A174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Domain-specific pretraining from scratch can outperform mixed-domain pretraining;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BLURB is a comprehensive benchmark for biomedical NLP featuring a diverse set of tasks; there is a leaderboard of state-of-the-art biomedical BERT models based on BLURB</w:t>
            </w:r>
          </w:p>
        </w:tc>
        <w:tc>
          <w:tcPr>
            <w:tcW w:w="2045" w:type="dxa"/>
            <w:hideMark/>
          </w:tcPr>
          <w:p w14:paraId="5768BD79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Evaluation focused on benchmark datasets, not real-world clinical deployment; computational cost of from-scratch pretraining is high</w:t>
            </w:r>
          </w:p>
        </w:tc>
      </w:tr>
      <w:tr w:rsidR="0074004D" w:rsidRPr="00251660" w14:paraId="03A29BC3" w14:textId="77777777" w:rsidTr="00BC34B2">
        <w:trPr>
          <w:trHeight w:val="2850"/>
          <w:jc w:val="center"/>
        </w:trPr>
        <w:tc>
          <w:tcPr>
            <w:tcW w:w="2263" w:type="dxa"/>
            <w:hideMark/>
          </w:tcPr>
          <w:p w14:paraId="0A64EA64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BioGPT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: generative pre-trained transformer for biomedical text generation and mining</w:t>
            </w:r>
          </w:p>
        </w:tc>
        <w:tc>
          <w:tcPr>
            <w:tcW w:w="1063" w:type="dxa"/>
            <w:hideMark/>
          </w:tcPr>
          <w:p w14:paraId="5C80BCAB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Luo R et al. (2022)</w:t>
            </w:r>
          </w:p>
        </w:tc>
        <w:tc>
          <w:tcPr>
            <w:tcW w:w="1525" w:type="dxa"/>
            <w:hideMark/>
          </w:tcPr>
          <w:p w14:paraId="51D2CAC1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Pre-training from scratch + fine-tuning and evaluation</w:t>
            </w:r>
          </w:p>
        </w:tc>
        <w:tc>
          <w:tcPr>
            <w:tcW w:w="1390" w:type="dxa"/>
            <w:hideMark/>
          </w:tcPr>
          <w:p w14:paraId="1EB937C4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BioGPT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based on GPT-2</w:t>
            </w:r>
          </w:p>
        </w:tc>
        <w:tc>
          <w:tcPr>
            <w:tcW w:w="2401" w:type="dxa"/>
            <w:hideMark/>
          </w:tcPr>
          <w:p w14:paraId="429D1206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PubMed items with title and abstract (15M); dataset of text generation/mining tasks: BC5CDR, KD-DTI, DDI, </w:t>
            </w: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PubMedQA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HoC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HoC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SciDocs</w:t>
            </w:r>
            <w:proofErr w:type="spellEnd"/>
          </w:p>
        </w:tc>
        <w:tc>
          <w:tcPr>
            <w:tcW w:w="3171" w:type="dxa"/>
            <w:hideMark/>
          </w:tcPr>
          <w:p w14:paraId="1EC95662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BioGPT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can achieve state-of-the-art results on four benchmarks: BC5CDR, KD-DTI and DDI end-to-end relation extraction task, and </w:t>
            </w: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PubMedQA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question answering task; </w:t>
            </w: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BioGPT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has </w:t>
            </w: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betterthe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capability of biomedical text generation compared with standard GPT trained on general domain</w:t>
            </w:r>
          </w:p>
        </w:tc>
        <w:tc>
          <w:tcPr>
            <w:tcW w:w="2045" w:type="dxa"/>
            <w:hideMark/>
          </w:tcPr>
          <w:p w14:paraId="2D03BE27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Evaluation limited to benchmark datasets; no real-world clinical deployment</w:t>
            </w:r>
          </w:p>
        </w:tc>
      </w:tr>
      <w:tr w:rsidR="0074004D" w:rsidRPr="00251660" w14:paraId="4D64CE32" w14:textId="77777777" w:rsidTr="00BC34B2">
        <w:trPr>
          <w:trHeight w:val="3135"/>
          <w:jc w:val="center"/>
        </w:trPr>
        <w:tc>
          <w:tcPr>
            <w:tcW w:w="2263" w:type="dxa"/>
            <w:hideMark/>
          </w:tcPr>
          <w:p w14:paraId="103E4728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Advancing Multimodal Medical Capabilities of Gemini</w:t>
            </w:r>
          </w:p>
        </w:tc>
        <w:tc>
          <w:tcPr>
            <w:tcW w:w="1063" w:type="dxa"/>
            <w:hideMark/>
          </w:tcPr>
          <w:p w14:paraId="403C8FAA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Yang L et al. (2024)</w:t>
            </w:r>
          </w:p>
        </w:tc>
        <w:tc>
          <w:tcPr>
            <w:tcW w:w="1525" w:type="dxa"/>
            <w:hideMark/>
          </w:tcPr>
          <w:p w14:paraId="6E604732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Fine-tuning and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evaluation</w:t>
            </w:r>
          </w:p>
        </w:tc>
        <w:tc>
          <w:tcPr>
            <w:tcW w:w="1390" w:type="dxa"/>
            <w:hideMark/>
          </w:tcPr>
          <w:p w14:paraId="7E982C37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Med-Gemini family (Med-Gemini-2D, 3D, Polygenic) based on Gemini 1.5 Pro vision encoder</w:t>
            </w:r>
          </w:p>
        </w:tc>
        <w:tc>
          <w:tcPr>
            <w:tcW w:w="2401" w:type="dxa"/>
            <w:hideMark/>
          </w:tcPr>
          <w:p w14:paraId="2EE53F47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7 million data samples from 3.7 million medical images and cases; 22 datasets across 5 different types of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clinically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relevant tasks</w:t>
            </w:r>
          </w:p>
        </w:tc>
        <w:tc>
          <w:tcPr>
            <w:tcW w:w="3171" w:type="dxa"/>
            <w:hideMark/>
          </w:tcPr>
          <w:p w14:paraId="2BB96607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Med-Gemini sets new standard for AI-based chest X-ray report generation (expert-evaluated), enables first 3D CT report generation, outperforms PRS baselines in disease risk prediction, demonstrates strong cross-modal medical reasoning</w:t>
            </w:r>
          </w:p>
        </w:tc>
        <w:tc>
          <w:tcPr>
            <w:tcW w:w="2045" w:type="dxa"/>
            <w:hideMark/>
          </w:tcPr>
          <w:p w14:paraId="028BEF37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Evaluation focused on benchmark datasets; limited real-world clinical validation; no public model release due to safety concerns; 3D report generation still needs to improve in quality; potential data contamination in zero-shot evaluation</w:t>
            </w:r>
          </w:p>
        </w:tc>
      </w:tr>
      <w:tr w:rsidR="0074004D" w:rsidRPr="00251660" w14:paraId="10EEEAE3" w14:textId="77777777" w:rsidTr="00BC34B2">
        <w:trPr>
          <w:trHeight w:val="2850"/>
          <w:jc w:val="center"/>
        </w:trPr>
        <w:tc>
          <w:tcPr>
            <w:tcW w:w="2263" w:type="dxa"/>
            <w:hideMark/>
          </w:tcPr>
          <w:p w14:paraId="2F473D5E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Assessments of lung nodules by an artificial intelligence chatbot using longitudinal CT images</w:t>
            </w:r>
          </w:p>
        </w:tc>
        <w:tc>
          <w:tcPr>
            <w:tcW w:w="1063" w:type="dxa"/>
            <w:hideMark/>
          </w:tcPr>
          <w:p w14:paraId="5B0A0A86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Mao Y et al. (2025)</w:t>
            </w:r>
          </w:p>
        </w:tc>
        <w:tc>
          <w:tcPr>
            <w:tcW w:w="1525" w:type="dxa"/>
            <w:hideMark/>
          </w:tcPr>
          <w:p w14:paraId="2B42AC8B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Prompt-based evaluation</w:t>
            </w:r>
          </w:p>
        </w:tc>
        <w:tc>
          <w:tcPr>
            <w:tcW w:w="1390" w:type="dxa"/>
            <w:hideMark/>
          </w:tcPr>
          <w:p w14:paraId="37E21F9F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GPT-4o</w:t>
            </w:r>
          </w:p>
        </w:tc>
        <w:tc>
          <w:tcPr>
            <w:tcW w:w="2401" w:type="dxa"/>
            <w:hideMark/>
          </w:tcPr>
          <w:p w14:paraId="78E3E968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647 patients</w:t>
            </w:r>
          </w:p>
        </w:tc>
        <w:tc>
          <w:tcPr>
            <w:tcW w:w="3171" w:type="dxa"/>
            <w:hideMark/>
          </w:tcPr>
          <w:p w14:paraId="5A7E2208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GPT-4o has the capability to emulate the ability of radiologists to monitor lung nodule characteristics and sizes and estimate the probability of malignancy using longitudinal CT follow-up images</w:t>
            </w:r>
          </w:p>
        </w:tc>
        <w:tc>
          <w:tcPr>
            <w:tcW w:w="2045" w:type="dxa"/>
            <w:hideMark/>
          </w:tcPr>
          <w:p w14:paraId="33EC726F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Single-domain (pulmonary nodules); CT scan was analyzed as a separate video input, potentially lead to lower efficiency &amp; decoding errors; need to further compare GPT-4o with a broader range of DL models</w:t>
            </w:r>
          </w:p>
        </w:tc>
      </w:tr>
      <w:tr w:rsidR="0074004D" w:rsidRPr="00251660" w14:paraId="2E39EBFE" w14:textId="77777777" w:rsidTr="00BC34B2">
        <w:trPr>
          <w:trHeight w:val="1995"/>
          <w:jc w:val="center"/>
        </w:trPr>
        <w:tc>
          <w:tcPr>
            <w:tcW w:w="2263" w:type="dxa"/>
            <w:hideMark/>
          </w:tcPr>
          <w:p w14:paraId="38B5C2C8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Multimodal ChatGPT-4V for Electrocardiogram Interpretation: Promise and Limitations</w:t>
            </w:r>
          </w:p>
        </w:tc>
        <w:tc>
          <w:tcPr>
            <w:tcW w:w="1063" w:type="dxa"/>
            <w:hideMark/>
          </w:tcPr>
          <w:p w14:paraId="2FFE54F7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Zhu L et al. (2024)</w:t>
            </w:r>
          </w:p>
        </w:tc>
        <w:tc>
          <w:tcPr>
            <w:tcW w:w="1525" w:type="dxa"/>
            <w:hideMark/>
          </w:tcPr>
          <w:p w14:paraId="4B0E4732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Prompt-based evaluation</w:t>
            </w:r>
          </w:p>
        </w:tc>
        <w:tc>
          <w:tcPr>
            <w:tcW w:w="1390" w:type="dxa"/>
            <w:hideMark/>
          </w:tcPr>
          <w:p w14:paraId="7DCE1D3B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ChatGPT-4V</w:t>
            </w:r>
          </w:p>
        </w:tc>
        <w:tc>
          <w:tcPr>
            <w:tcW w:w="2401" w:type="dxa"/>
            <w:hideMark/>
          </w:tcPr>
          <w:p w14:paraId="674458FE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62 ECG-related questions from various question banks; 19 diagnostic-related questions converted to open-ended questions</w:t>
            </w:r>
          </w:p>
        </w:tc>
        <w:tc>
          <w:tcPr>
            <w:tcW w:w="3171" w:type="dxa"/>
            <w:hideMark/>
          </w:tcPr>
          <w:p w14:paraId="4416EC27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ChatGPT-4V can analyze ECGs to some extent and can even make treatment decisions based on the EGC but has limited stability and reliability</w:t>
            </w:r>
          </w:p>
        </w:tc>
        <w:tc>
          <w:tcPr>
            <w:tcW w:w="2045" w:type="dxa"/>
            <w:hideMark/>
          </w:tcPr>
          <w:p w14:paraId="3E6E72E1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Small question set; no real-world validation; model not ECG-specifically trained limited stability and reliability</w:t>
            </w:r>
          </w:p>
        </w:tc>
      </w:tr>
      <w:tr w:rsidR="0074004D" w:rsidRPr="00251660" w14:paraId="52CA20B3" w14:textId="77777777" w:rsidTr="00BC34B2">
        <w:trPr>
          <w:trHeight w:val="2280"/>
          <w:jc w:val="center"/>
        </w:trPr>
        <w:tc>
          <w:tcPr>
            <w:tcW w:w="2263" w:type="dxa"/>
            <w:hideMark/>
          </w:tcPr>
          <w:p w14:paraId="7F1F4955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Effectiveness of the GPT-4o Model in Interpreting Electrocardiogram Images for Cardiac Diagnostics: Diagnostic Accuracy Study</w:t>
            </w:r>
          </w:p>
        </w:tc>
        <w:tc>
          <w:tcPr>
            <w:tcW w:w="1063" w:type="dxa"/>
            <w:hideMark/>
          </w:tcPr>
          <w:p w14:paraId="6E4D4ED1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Engelstein H et al. (2025)</w:t>
            </w:r>
          </w:p>
        </w:tc>
        <w:tc>
          <w:tcPr>
            <w:tcW w:w="1525" w:type="dxa"/>
            <w:hideMark/>
          </w:tcPr>
          <w:p w14:paraId="26D59B64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Diagnostic accuracy study with embedded zero-shot vs. few-shot prompt engineering experiments</w:t>
            </w:r>
          </w:p>
        </w:tc>
        <w:tc>
          <w:tcPr>
            <w:tcW w:w="1390" w:type="dxa"/>
            <w:hideMark/>
          </w:tcPr>
          <w:p w14:paraId="6BB721B8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GPT-4o</w:t>
            </w:r>
          </w:p>
        </w:tc>
        <w:tc>
          <w:tcPr>
            <w:tcW w:w="2401" w:type="dxa"/>
            <w:hideMark/>
          </w:tcPr>
          <w:p w14:paraId="6B957A3D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80 ECG cases</w:t>
            </w:r>
          </w:p>
        </w:tc>
        <w:tc>
          <w:tcPr>
            <w:tcW w:w="3171" w:type="dxa"/>
            <w:hideMark/>
          </w:tcPr>
          <w:p w14:paraId="607F73AA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GPT-4o can effectively differentiate normal from abnormal ECGs, suggesting its potential as an accessible artificial intelligence–assisted triage tool, but is limited in diagnosing specific cardiac conditions</w:t>
            </w:r>
          </w:p>
        </w:tc>
        <w:tc>
          <w:tcPr>
            <w:tcW w:w="2045" w:type="dxa"/>
            <w:hideMark/>
          </w:tcPr>
          <w:p w14:paraId="14852431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Small retrospective set; no clinical context supplied; multiclass performance remains too low for safe deployment</w:t>
            </w:r>
          </w:p>
        </w:tc>
      </w:tr>
      <w:tr w:rsidR="0074004D" w:rsidRPr="00251660" w14:paraId="57C13D9A" w14:textId="77777777" w:rsidTr="00BC34B2">
        <w:trPr>
          <w:trHeight w:val="2850"/>
          <w:jc w:val="center"/>
        </w:trPr>
        <w:tc>
          <w:tcPr>
            <w:tcW w:w="2263" w:type="dxa"/>
            <w:hideMark/>
          </w:tcPr>
          <w:p w14:paraId="2F555602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Artificial Intelligence-Based Automated Interpretation of Images of Electrocardiograms: Development and Multinational Validation of ECG-GPT</w:t>
            </w:r>
          </w:p>
        </w:tc>
        <w:tc>
          <w:tcPr>
            <w:tcW w:w="1063" w:type="dxa"/>
            <w:hideMark/>
          </w:tcPr>
          <w:p w14:paraId="77D1628A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Khunte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A et al. (2025)</w:t>
            </w:r>
          </w:p>
        </w:tc>
        <w:tc>
          <w:tcPr>
            <w:tcW w:w="1525" w:type="dxa"/>
            <w:hideMark/>
          </w:tcPr>
          <w:p w14:paraId="36BE43D7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Vision encoder–decoder development </w:t>
            </w:r>
            <w:proofErr w:type="gram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and  evaluation</w:t>
            </w:r>
            <w:proofErr w:type="gramEnd"/>
          </w:p>
        </w:tc>
        <w:tc>
          <w:tcPr>
            <w:tcW w:w="1390" w:type="dxa"/>
            <w:hideMark/>
          </w:tcPr>
          <w:p w14:paraId="3C3D64C0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ECG-GPT based on </w:t>
            </w: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BEiT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encoder + GPT-2 decoder</w:t>
            </w:r>
          </w:p>
        </w:tc>
        <w:tc>
          <w:tcPr>
            <w:tcW w:w="2401" w:type="dxa"/>
            <w:hideMark/>
          </w:tcPr>
          <w:p w14:paraId="1A4EE4D5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2.9 million ECGs; 3.8 million ECGs across temporally and geographically distinct datasets</w:t>
            </w:r>
          </w:p>
        </w:tc>
        <w:tc>
          <w:tcPr>
            <w:tcW w:w="3171" w:type="dxa"/>
            <w:hideMark/>
          </w:tcPr>
          <w:p w14:paraId="5FAD7301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ECG-GPT enables automated, expert-level ECG interpretation directly from images, eliminating the need for signal data or device integration</w:t>
            </w:r>
          </w:p>
        </w:tc>
        <w:tc>
          <w:tcPr>
            <w:tcW w:w="2045" w:type="dxa"/>
            <w:hideMark/>
          </w:tcPr>
          <w:p w14:paraId="1C21CCF9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Unknown generalizability to every other novel ECG image format; Model weights not publicly released</w:t>
            </w:r>
          </w:p>
        </w:tc>
      </w:tr>
      <w:tr w:rsidR="0074004D" w:rsidRPr="00251660" w14:paraId="4C3BF9AC" w14:textId="77777777" w:rsidTr="00BC34B2">
        <w:trPr>
          <w:trHeight w:val="2280"/>
          <w:jc w:val="center"/>
        </w:trPr>
        <w:tc>
          <w:tcPr>
            <w:tcW w:w="2263" w:type="dxa"/>
            <w:hideMark/>
          </w:tcPr>
          <w:p w14:paraId="2B653249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Transfer learning enables predictions in network biology</w:t>
            </w:r>
          </w:p>
        </w:tc>
        <w:tc>
          <w:tcPr>
            <w:tcW w:w="1063" w:type="dxa"/>
            <w:hideMark/>
          </w:tcPr>
          <w:p w14:paraId="6446DF3A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Theodoris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CV et al. (2023)</w:t>
            </w:r>
          </w:p>
        </w:tc>
        <w:tc>
          <w:tcPr>
            <w:tcW w:w="1525" w:type="dxa"/>
            <w:hideMark/>
          </w:tcPr>
          <w:p w14:paraId="0DEEA391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Pre-training + fine-tuning and evaluation</w:t>
            </w:r>
          </w:p>
        </w:tc>
        <w:tc>
          <w:tcPr>
            <w:tcW w:w="1390" w:type="dxa"/>
            <w:hideMark/>
          </w:tcPr>
          <w:p w14:paraId="1705AFF2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Geneformer</w:t>
            </w:r>
            <w:proofErr w:type="spellEnd"/>
          </w:p>
        </w:tc>
        <w:tc>
          <w:tcPr>
            <w:tcW w:w="2401" w:type="dxa"/>
            <w:hideMark/>
          </w:tcPr>
          <w:p w14:paraId="503B8837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29.9 million human single-cell transcriptomes (Genecorpus-30M); task-specific data for fine-tuning</w:t>
            </w:r>
          </w:p>
        </w:tc>
        <w:tc>
          <w:tcPr>
            <w:tcW w:w="3171" w:type="dxa"/>
            <w:hideMark/>
          </w:tcPr>
          <w:p w14:paraId="16E593C1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Geneformer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represents a pretrained deep learning model from which fine-tuning towards a broad range of downstream applications can be pursued to accelerate discovery of key network regulators and candidate therapeutic targets</w:t>
            </w:r>
          </w:p>
        </w:tc>
        <w:tc>
          <w:tcPr>
            <w:tcW w:w="2045" w:type="dxa"/>
            <w:hideMark/>
          </w:tcPr>
          <w:p w14:paraId="00620A90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Experimental validation only in cardiac microtissues</w:t>
            </w:r>
          </w:p>
        </w:tc>
      </w:tr>
      <w:tr w:rsidR="0074004D" w:rsidRPr="00251660" w14:paraId="26B3A743" w14:textId="77777777" w:rsidTr="00BC34B2">
        <w:trPr>
          <w:trHeight w:val="2280"/>
          <w:jc w:val="center"/>
        </w:trPr>
        <w:tc>
          <w:tcPr>
            <w:tcW w:w="2263" w:type="dxa"/>
            <w:hideMark/>
          </w:tcPr>
          <w:p w14:paraId="33E620A4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Autonomous chemical research with large language models</w:t>
            </w:r>
          </w:p>
        </w:tc>
        <w:tc>
          <w:tcPr>
            <w:tcW w:w="1063" w:type="dxa"/>
            <w:hideMark/>
          </w:tcPr>
          <w:p w14:paraId="1E7EFDAF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Boiko DA et al. (2023)</w:t>
            </w:r>
          </w:p>
        </w:tc>
        <w:tc>
          <w:tcPr>
            <w:tcW w:w="1525" w:type="dxa"/>
            <w:hideMark/>
          </w:tcPr>
          <w:p w14:paraId="08D6EEB4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Multi-LLMs-based intelligent agent construction and evaluation</w:t>
            </w:r>
          </w:p>
        </w:tc>
        <w:tc>
          <w:tcPr>
            <w:tcW w:w="1390" w:type="dxa"/>
            <w:hideMark/>
          </w:tcPr>
          <w:p w14:paraId="389037D9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Coscientist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driven by GPT-4</w:t>
            </w:r>
          </w:p>
        </w:tc>
        <w:tc>
          <w:tcPr>
            <w:tcW w:w="2401" w:type="dxa"/>
            <w:hideMark/>
          </w:tcPr>
          <w:p w14:paraId="0FBB4C1D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7 synthesis-planning test compounds; Suzuki reaction dataset,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Buchwald–Hartwig reaction dataset</w:t>
            </w:r>
          </w:p>
        </w:tc>
        <w:tc>
          <w:tcPr>
            <w:tcW w:w="3171" w:type="dxa"/>
            <w:hideMark/>
          </w:tcPr>
          <w:p w14:paraId="1F63A491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Coscientist</w:t>
            </w:r>
            <w:proofErr w:type="spellEnd"/>
            <w:r w:rsidRPr="00251660">
              <w:rPr>
                <w:rFonts w:ascii="Times New Roman" w:hAnsi="Times New Roman" w:cs="Times New Roman"/>
                <w:sz w:val="20"/>
                <w:szCs w:val="20"/>
              </w:rPr>
              <w:t xml:space="preserve"> can autonomously design, plan and perform experiments by incorporating large language models empowered by tools such as internet and documentation search, code execution and experimental automation</w:t>
            </w:r>
          </w:p>
        </w:tc>
        <w:tc>
          <w:tcPr>
            <w:tcW w:w="2045" w:type="dxa"/>
            <w:hideMark/>
          </w:tcPr>
          <w:p w14:paraId="4CAD12B6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Manual plate transfer (not yet fully automated); code/data withheld</w:t>
            </w:r>
          </w:p>
        </w:tc>
      </w:tr>
      <w:tr w:rsidR="0074004D" w:rsidRPr="00251660" w14:paraId="308C0EC9" w14:textId="77777777" w:rsidTr="00BC34B2">
        <w:trPr>
          <w:trHeight w:val="3135"/>
          <w:jc w:val="center"/>
        </w:trPr>
        <w:tc>
          <w:tcPr>
            <w:tcW w:w="2263" w:type="dxa"/>
            <w:hideMark/>
          </w:tcPr>
          <w:p w14:paraId="55247255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Effectiveness of generative artificial intelligence-based teaching versus traditional teaching methods in medical education: a meta-analysis of randomized controlled trials</w:t>
            </w:r>
          </w:p>
        </w:tc>
        <w:tc>
          <w:tcPr>
            <w:tcW w:w="1063" w:type="dxa"/>
            <w:hideMark/>
          </w:tcPr>
          <w:p w14:paraId="7242FB2C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Li J et al. (2025)</w:t>
            </w:r>
          </w:p>
        </w:tc>
        <w:tc>
          <w:tcPr>
            <w:tcW w:w="1525" w:type="dxa"/>
            <w:hideMark/>
          </w:tcPr>
          <w:p w14:paraId="0EAAAE17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Meta-analysis</w:t>
            </w:r>
          </w:p>
        </w:tc>
        <w:tc>
          <w:tcPr>
            <w:tcW w:w="1390" w:type="dxa"/>
            <w:hideMark/>
          </w:tcPr>
          <w:p w14:paraId="44E5596F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401" w:type="dxa"/>
            <w:hideMark/>
          </w:tcPr>
          <w:p w14:paraId="2DA4D031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171" w:type="dxa"/>
            <w:hideMark/>
          </w:tcPr>
          <w:p w14:paraId="26D3AB9D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While theoretical knowledge acquisition remains comparable between teaching modalities, GAI demonstrated significant advantages in practical skill development and student engagemen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</w:p>
        </w:tc>
        <w:tc>
          <w:tcPr>
            <w:tcW w:w="2045" w:type="dxa"/>
            <w:hideMark/>
          </w:tcPr>
          <w:p w14:paraId="216B6846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Small individual study samples; heterogeneity; lack of comprehensive documentation regarding randomization procedures and blinding protocols</w:t>
            </w:r>
          </w:p>
        </w:tc>
      </w:tr>
      <w:tr w:rsidR="0074004D" w:rsidRPr="00251660" w14:paraId="6C46E563" w14:textId="77777777" w:rsidTr="00BC34B2">
        <w:trPr>
          <w:trHeight w:val="1995"/>
          <w:jc w:val="center"/>
        </w:trPr>
        <w:tc>
          <w:tcPr>
            <w:tcW w:w="2263" w:type="dxa"/>
            <w:hideMark/>
          </w:tcPr>
          <w:p w14:paraId="08200832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Status and perceptions of ChatGPT utilization among medical students: a survey-based study</w:t>
            </w:r>
          </w:p>
        </w:tc>
        <w:tc>
          <w:tcPr>
            <w:tcW w:w="1063" w:type="dxa"/>
            <w:hideMark/>
          </w:tcPr>
          <w:p w14:paraId="4FE70B1A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Hu N et al. (2025)</w:t>
            </w:r>
          </w:p>
        </w:tc>
        <w:tc>
          <w:tcPr>
            <w:tcW w:w="1525" w:type="dxa"/>
            <w:hideMark/>
          </w:tcPr>
          <w:p w14:paraId="6DA1D356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Cross-sectional questionnaire survey</w:t>
            </w:r>
          </w:p>
        </w:tc>
        <w:tc>
          <w:tcPr>
            <w:tcW w:w="1390" w:type="dxa"/>
            <w:hideMark/>
          </w:tcPr>
          <w:p w14:paraId="743583D9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401" w:type="dxa"/>
            <w:hideMark/>
          </w:tcPr>
          <w:p w14:paraId="4410148B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1,133 participants</w:t>
            </w:r>
          </w:p>
        </w:tc>
        <w:tc>
          <w:tcPr>
            <w:tcW w:w="3171" w:type="dxa"/>
            <w:hideMark/>
          </w:tcPr>
          <w:p w14:paraId="37F0E3F3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Medical students value ChatGPT for study and problem-solving, remain wary of misinformation and plagiarism, yet are broadly willing to integrate it into their academic and future clinical workflows.</w:t>
            </w:r>
          </w:p>
        </w:tc>
        <w:tc>
          <w:tcPr>
            <w:tcW w:w="2045" w:type="dxa"/>
            <w:hideMark/>
          </w:tcPr>
          <w:p w14:paraId="2F65B7BF" w14:textId="77777777" w:rsidR="0074004D" w:rsidRPr="00251660" w:rsidRDefault="0074004D" w:rsidP="00BC34B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1660">
              <w:rPr>
                <w:rFonts w:ascii="Times New Roman" w:hAnsi="Times New Roman" w:cs="Times New Roman"/>
                <w:sz w:val="20"/>
                <w:szCs w:val="20"/>
              </w:rPr>
              <w:t>Insufficient representativeness of the convenience sample</w:t>
            </w:r>
          </w:p>
        </w:tc>
      </w:tr>
    </w:tbl>
    <w:p w14:paraId="1D67DF7B" w14:textId="77777777" w:rsidR="0074004D" w:rsidRDefault="0074004D">
      <w:pPr>
        <w:rPr>
          <w:rFonts w:ascii="Times New Roman" w:hAnsi="Times New Roman" w:cs="Times New Roman"/>
          <w:sz w:val="20"/>
          <w:szCs w:val="20"/>
        </w:rPr>
      </w:pPr>
    </w:p>
    <w:p w14:paraId="3C33C7D3" w14:textId="77777777" w:rsidR="004B3261" w:rsidRDefault="004B3261" w:rsidP="004B3261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 w:hint="eastAsia"/>
          <w:sz w:val="20"/>
          <w:szCs w:val="20"/>
        </w:rPr>
      </w:pPr>
      <w:bookmarkStart w:id="0" w:name="OLE_LINK27"/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Supplementary </w:t>
      </w:r>
      <w:r w:rsidRPr="009D1723">
        <w:rPr>
          <w:rFonts w:ascii="Times New Roman" w:eastAsia="宋体" w:hAnsi="Times New Roman" w:cs="Times New Roman"/>
          <w:b/>
          <w:bCs/>
          <w:sz w:val="20"/>
          <w:szCs w:val="20"/>
        </w:rPr>
        <w:t>T</w:t>
      </w:r>
      <w:r w:rsidRPr="009D1723"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able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2</w:t>
      </w:r>
      <w:bookmarkEnd w:id="0"/>
      <w:r w:rsidRPr="005E1598">
        <w:rPr>
          <w:rFonts w:hint="eastAsia"/>
        </w:rPr>
        <w:t xml:space="preserve"> </w:t>
      </w:r>
      <w:r>
        <w:rPr>
          <w:rFonts w:ascii="Times New Roman" w:eastAsia="宋体" w:hAnsi="Times New Roman" w:cs="Times New Roman" w:hint="eastAsia"/>
          <w:sz w:val="20"/>
          <w:szCs w:val="20"/>
        </w:rPr>
        <w:t>B</w:t>
      </w:r>
      <w:r w:rsidRPr="005E1598">
        <w:rPr>
          <w:rFonts w:ascii="Times New Roman" w:eastAsia="宋体" w:hAnsi="Times New Roman" w:cs="Times New Roman" w:hint="eastAsia"/>
          <w:sz w:val="20"/>
          <w:szCs w:val="20"/>
        </w:rPr>
        <w:t>uild options for domain LLMs in anesthesiology</w:t>
      </w:r>
    </w:p>
    <w:tbl>
      <w:tblPr>
        <w:tblStyle w:val="af2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3120"/>
        <w:gridCol w:w="3120"/>
        <w:gridCol w:w="3120"/>
      </w:tblGrid>
      <w:tr w:rsidR="004B3261" w:rsidRPr="005E1598" w14:paraId="0C682112" w14:textId="77777777" w:rsidTr="004B3261">
        <w:trPr>
          <w:trHeight w:val="285"/>
          <w:jc w:val="center"/>
        </w:trPr>
        <w:tc>
          <w:tcPr>
            <w:tcW w:w="3120" w:type="dxa"/>
            <w:tcBorders>
              <w:bottom w:val="single" w:sz="4" w:space="0" w:color="auto"/>
            </w:tcBorders>
            <w:hideMark/>
          </w:tcPr>
          <w:p w14:paraId="2985C870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Dimension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hideMark/>
          </w:tcPr>
          <w:p w14:paraId="0C6741EA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Scratch training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hideMark/>
          </w:tcPr>
          <w:p w14:paraId="70585D96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Prompt engineering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hideMark/>
          </w:tcPr>
          <w:p w14:paraId="090B2A73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Fine-tuning</w:t>
            </w:r>
          </w:p>
        </w:tc>
      </w:tr>
      <w:tr w:rsidR="004B3261" w:rsidRPr="005E1598" w14:paraId="42E2D664" w14:textId="77777777" w:rsidTr="004B3261">
        <w:trPr>
          <w:trHeight w:val="570"/>
          <w:jc w:val="center"/>
        </w:trPr>
        <w:tc>
          <w:tcPr>
            <w:tcW w:w="3120" w:type="dxa"/>
            <w:tcBorders>
              <w:top w:val="single" w:sz="4" w:space="0" w:color="auto"/>
            </w:tcBorders>
            <w:hideMark/>
          </w:tcPr>
          <w:p w14:paraId="11C97839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Accuracy potential</w:t>
            </w:r>
          </w:p>
        </w:tc>
        <w:tc>
          <w:tcPr>
            <w:tcW w:w="3120" w:type="dxa"/>
            <w:tcBorders>
              <w:top w:val="single" w:sz="4" w:space="0" w:color="auto"/>
            </w:tcBorders>
            <w:hideMark/>
          </w:tcPr>
          <w:p w14:paraId="7915DD86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Highest; maximal domain fit</w:t>
            </w:r>
          </w:p>
        </w:tc>
        <w:tc>
          <w:tcPr>
            <w:tcW w:w="3120" w:type="dxa"/>
            <w:tcBorders>
              <w:top w:val="single" w:sz="4" w:space="0" w:color="auto"/>
            </w:tcBorders>
            <w:hideMark/>
          </w:tcPr>
          <w:p w14:paraId="56E04E12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Moderate; base-model &amp; prompt dependent</w:t>
            </w:r>
          </w:p>
        </w:tc>
        <w:tc>
          <w:tcPr>
            <w:tcW w:w="3120" w:type="dxa"/>
            <w:tcBorders>
              <w:top w:val="single" w:sz="4" w:space="0" w:color="auto"/>
            </w:tcBorders>
            <w:hideMark/>
          </w:tcPr>
          <w:p w14:paraId="761FF40F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High; close to scratch training on the target task</w:t>
            </w:r>
          </w:p>
        </w:tc>
      </w:tr>
      <w:tr w:rsidR="004B3261" w:rsidRPr="005E1598" w14:paraId="09A6C6E9" w14:textId="77777777" w:rsidTr="004B3261">
        <w:trPr>
          <w:trHeight w:val="570"/>
          <w:jc w:val="center"/>
        </w:trPr>
        <w:tc>
          <w:tcPr>
            <w:tcW w:w="3120" w:type="dxa"/>
            <w:hideMark/>
          </w:tcPr>
          <w:p w14:paraId="13478662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Data &amp; compute</w:t>
            </w:r>
          </w:p>
        </w:tc>
        <w:tc>
          <w:tcPr>
            <w:tcW w:w="3120" w:type="dxa"/>
            <w:hideMark/>
          </w:tcPr>
          <w:p w14:paraId="39FB1F17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Large-scale multi-center corpora; cluster-scale GPUs</w:t>
            </w:r>
          </w:p>
        </w:tc>
        <w:tc>
          <w:tcPr>
            <w:tcW w:w="3120" w:type="dxa"/>
            <w:hideMark/>
          </w:tcPr>
          <w:p w14:paraId="71E485C0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Minimal new data; uses existing model</w:t>
            </w:r>
          </w:p>
        </w:tc>
        <w:tc>
          <w:tcPr>
            <w:tcW w:w="3120" w:type="dxa"/>
            <w:hideMark/>
          </w:tcPr>
          <w:p w14:paraId="66EC1321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Moderate perioperative corpora; 1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-</w:t>
            </w:r>
            <w:r w:rsidRPr="005E159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 GPUs for PEFT</w:t>
            </w:r>
          </w:p>
        </w:tc>
      </w:tr>
      <w:tr w:rsidR="004B3261" w:rsidRPr="005E1598" w14:paraId="63293E32" w14:textId="77777777" w:rsidTr="004B3261">
        <w:trPr>
          <w:trHeight w:val="285"/>
          <w:jc w:val="center"/>
        </w:trPr>
        <w:tc>
          <w:tcPr>
            <w:tcW w:w="3120" w:type="dxa"/>
            <w:hideMark/>
          </w:tcPr>
          <w:p w14:paraId="5E299E07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Cost</w:t>
            </w:r>
          </w:p>
        </w:tc>
        <w:tc>
          <w:tcPr>
            <w:tcW w:w="3120" w:type="dxa"/>
            <w:hideMark/>
          </w:tcPr>
          <w:p w14:paraId="7DA05405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Highest</w:t>
            </w:r>
          </w:p>
        </w:tc>
        <w:tc>
          <w:tcPr>
            <w:tcW w:w="3120" w:type="dxa"/>
            <w:hideMark/>
          </w:tcPr>
          <w:p w14:paraId="0AC45016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Lowest</w:t>
            </w:r>
          </w:p>
        </w:tc>
        <w:tc>
          <w:tcPr>
            <w:tcW w:w="3120" w:type="dxa"/>
            <w:hideMark/>
          </w:tcPr>
          <w:p w14:paraId="284110AB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Low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-</w:t>
            </w:r>
            <w:r w:rsidRPr="005E159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moderate</w:t>
            </w:r>
          </w:p>
        </w:tc>
      </w:tr>
      <w:tr w:rsidR="004B3261" w:rsidRPr="005E1598" w14:paraId="51630D96" w14:textId="77777777" w:rsidTr="004B3261">
        <w:trPr>
          <w:trHeight w:val="570"/>
          <w:jc w:val="center"/>
        </w:trPr>
        <w:tc>
          <w:tcPr>
            <w:tcW w:w="3120" w:type="dxa"/>
            <w:hideMark/>
          </w:tcPr>
          <w:p w14:paraId="4043E858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Maturity</w:t>
            </w:r>
          </w:p>
        </w:tc>
        <w:tc>
          <w:tcPr>
            <w:tcW w:w="3120" w:type="dxa"/>
            <w:hideMark/>
          </w:tcPr>
          <w:p w14:paraId="08354C31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Few precedents in healthcare</w:t>
            </w:r>
          </w:p>
        </w:tc>
        <w:tc>
          <w:tcPr>
            <w:tcW w:w="3120" w:type="dxa"/>
            <w:hideMark/>
          </w:tcPr>
          <w:p w14:paraId="7FB8AD91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Common in pilots; easy to iterate</w:t>
            </w:r>
          </w:p>
        </w:tc>
        <w:tc>
          <w:tcPr>
            <w:tcW w:w="3120" w:type="dxa"/>
            <w:hideMark/>
          </w:tcPr>
          <w:p w14:paraId="6AE79599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Widely reported; balanced accuracy/effort</w:t>
            </w:r>
          </w:p>
        </w:tc>
      </w:tr>
      <w:tr w:rsidR="004B3261" w:rsidRPr="005E1598" w14:paraId="0AC9C9D4" w14:textId="77777777" w:rsidTr="004B3261">
        <w:trPr>
          <w:trHeight w:val="855"/>
          <w:jc w:val="center"/>
        </w:trPr>
        <w:tc>
          <w:tcPr>
            <w:tcW w:w="3120" w:type="dxa"/>
            <w:hideMark/>
          </w:tcPr>
          <w:p w14:paraId="600D08D5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Anesthesiology fit (examples)</w:t>
            </w:r>
          </w:p>
        </w:tc>
        <w:tc>
          <w:tcPr>
            <w:tcW w:w="3120" w:type="dxa"/>
            <w:hideMark/>
          </w:tcPr>
          <w:p w14:paraId="6F18CF4F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Custom anesthesia LLM; multimodal integration (images/monitoring)</w:t>
            </w:r>
          </w:p>
        </w:tc>
        <w:tc>
          <w:tcPr>
            <w:tcW w:w="3120" w:type="dxa"/>
            <w:hideMark/>
          </w:tcPr>
          <w:p w14:paraId="25D5F42D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Guideline-grounded Q&amp;A; consent/education drafts</w:t>
            </w:r>
          </w:p>
        </w:tc>
        <w:tc>
          <w:tcPr>
            <w:tcW w:w="3120" w:type="dxa"/>
            <w:hideMark/>
          </w:tcPr>
          <w:p w14:paraId="1C051A2C" w14:textId="77777777" w:rsidR="004B3261" w:rsidRPr="005E1598" w:rsidRDefault="004B3261" w:rsidP="00BC34B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5E159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Perioperative documentation; risk tools; waveform screening</w:t>
            </w:r>
          </w:p>
        </w:tc>
      </w:tr>
    </w:tbl>
    <w:p w14:paraId="3DDC0189" w14:textId="77777777" w:rsidR="004B3261" w:rsidRPr="004B3261" w:rsidRDefault="004B3261">
      <w:pPr>
        <w:rPr>
          <w:rFonts w:ascii="Times New Roman" w:hAnsi="Times New Roman" w:cs="Times New Roman" w:hint="eastAsia"/>
          <w:sz w:val="20"/>
          <w:szCs w:val="20"/>
        </w:rPr>
      </w:pPr>
    </w:p>
    <w:sectPr w:rsidR="004B3261" w:rsidRPr="004B3261" w:rsidSect="0025166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EAD26" w14:textId="77777777" w:rsidR="00654213" w:rsidRDefault="00654213" w:rsidP="00251660">
      <w:pPr>
        <w:rPr>
          <w:rFonts w:hint="eastAsia"/>
        </w:rPr>
      </w:pPr>
      <w:r>
        <w:separator/>
      </w:r>
    </w:p>
  </w:endnote>
  <w:endnote w:type="continuationSeparator" w:id="0">
    <w:p w14:paraId="5B845F27" w14:textId="77777777" w:rsidR="00654213" w:rsidRDefault="00654213" w:rsidP="0025166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44A27" w14:textId="77777777" w:rsidR="00654213" w:rsidRDefault="00654213" w:rsidP="00251660">
      <w:pPr>
        <w:rPr>
          <w:rFonts w:hint="eastAsia"/>
        </w:rPr>
      </w:pPr>
      <w:r>
        <w:separator/>
      </w:r>
    </w:p>
  </w:footnote>
  <w:footnote w:type="continuationSeparator" w:id="0">
    <w:p w14:paraId="1A28229A" w14:textId="77777777" w:rsidR="00654213" w:rsidRDefault="00654213" w:rsidP="0025166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421"/>
    <w:rsid w:val="00116CCA"/>
    <w:rsid w:val="001724A5"/>
    <w:rsid w:val="00251660"/>
    <w:rsid w:val="002718B1"/>
    <w:rsid w:val="004B3261"/>
    <w:rsid w:val="0050228A"/>
    <w:rsid w:val="00654213"/>
    <w:rsid w:val="0074004D"/>
    <w:rsid w:val="00891421"/>
    <w:rsid w:val="008C521F"/>
    <w:rsid w:val="00933FA3"/>
    <w:rsid w:val="009C325D"/>
    <w:rsid w:val="009F7B02"/>
    <w:rsid w:val="00B50942"/>
    <w:rsid w:val="00D3227F"/>
    <w:rsid w:val="00F5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2C345E"/>
  <w15:chartTrackingRefBased/>
  <w15:docId w15:val="{A4D51984-EB80-439B-B8D9-2E1500CB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142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4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42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42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42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42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42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42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142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91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91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9142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9142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9142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9142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9142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9142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914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91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14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914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14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914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142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14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1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914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9142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5166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5166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51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51660"/>
    <w:rPr>
      <w:sz w:val="18"/>
      <w:szCs w:val="18"/>
    </w:rPr>
  </w:style>
  <w:style w:type="table" w:styleId="af2">
    <w:name w:val="Table Grid"/>
    <w:basedOn w:val="a1"/>
    <w:uiPriority w:val="39"/>
    <w:rsid w:val="00251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1452</Words>
  <Characters>9457</Characters>
  <Application>Microsoft Office Word</Application>
  <DocSecurity>0</DocSecurity>
  <Lines>591</Lines>
  <Paragraphs>165</Paragraphs>
  <ScaleCrop>false</ScaleCrop>
  <Company/>
  <LinksUpToDate>false</LinksUpToDate>
  <CharactersWithSpaces>10744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易紫婷 朱</dc:creator>
  <cp:keywords/>
  <dc:description/>
  <cp:lastModifiedBy>易紫婷 朱</cp:lastModifiedBy>
  <cp:revision>9</cp:revision>
  <dcterms:created xsi:type="dcterms:W3CDTF">2025-10-02T15:53:00Z</dcterms:created>
  <dcterms:modified xsi:type="dcterms:W3CDTF">2025-10-02T16:15:00Z</dcterms:modified>
</cp:coreProperties>
</file>