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38E57" w14:textId="42F1DA4D" w:rsidR="00B43CC7" w:rsidRPr="00364334" w:rsidRDefault="00B43CC7">
      <w:pPr>
        <w:rPr>
          <w:rFonts w:ascii="Times New Roman" w:hAnsi="Times New Roman" w:cs="Times New Roman" w:hint="eastAsia"/>
          <w:b/>
          <w:bCs/>
          <w:color w:val="000000" w:themeColor="text1"/>
          <w:sz w:val="28"/>
          <w:szCs w:val="28"/>
        </w:rPr>
      </w:pPr>
      <w:r w:rsidRPr="002F1DCC">
        <w:rPr>
          <w:rFonts w:ascii="Times New Roman" w:hAnsi="Times New Roman" w:cs="Times New Roman"/>
          <w:b/>
          <w:bCs/>
          <w:color w:val="000000" w:themeColor="text1"/>
          <w:sz w:val="28"/>
          <w:szCs w:val="28"/>
        </w:rPr>
        <w:t xml:space="preserve">Supplementary </w:t>
      </w:r>
      <w:r w:rsidR="002F1DCC" w:rsidRPr="002F1DCC">
        <w:rPr>
          <w:rFonts w:ascii="Times New Roman" w:hAnsi="Times New Roman" w:cs="Times New Roman" w:hint="eastAsia"/>
          <w:b/>
          <w:bCs/>
          <w:color w:val="000000" w:themeColor="text1"/>
          <w:sz w:val="28"/>
          <w:szCs w:val="28"/>
        </w:rPr>
        <w:t>M</w:t>
      </w:r>
      <w:r w:rsidRPr="002F1DCC">
        <w:rPr>
          <w:rFonts w:ascii="Times New Roman" w:hAnsi="Times New Roman" w:cs="Times New Roman"/>
          <w:b/>
          <w:bCs/>
          <w:color w:val="000000" w:themeColor="text1"/>
          <w:sz w:val="28"/>
          <w:szCs w:val="28"/>
        </w:rPr>
        <w:t>aterial</w:t>
      </w:r>
      <w:r w:rsidR="002F1DCC" w:rsidRPr="002F1DCC">
        <w:rPr>
          <w:rFonts w:ascii="Times New Roman" w:hAnsi="Times New Roman" w:cs="Times New Roman" w:hint="eastAsia"/>
          <w:b/>
          <w:bCs/>
          <w:color w:val="000000" w:themeColor="text1"/>
          <w:sz w:val="28"/>
          <w:szCs w:val="28"/>
        </w:rPr>
        <w:t xml:space="preserve"> 2</w:t>
      </w:r>
    </w:p>
    <w:p w14:paraId="1CA22EC9" w14:textId="1B6F78E6" w:rsidR="00C83E5D" w:rsidRPr="002F1DCC" w:rsidRDefault="00C83E5D" w:rsidP="00C83E5D">
      <w:pPr>
        <w:spacing w:before="160" w:after="80" w:line="240" w:lineRule="auto"/>
        <w:rPr>
          <w:rFonts w:ascii="Times New Roman" w:eastAsia="Times New Roman" w:hAnsi="Times New Roman" w:cs="Times New Roman"/>
          <w:color w:val="000000" w:themeColor="text1"/>
          <w:kern w:val="0"/>
          <w:sz w:val="24"/>
          <w:lang w:val="en-US"/>
          <w14:ligatures w14:val="none"/>
        </w:rPr>
      </w:pPr>
      <w:r w:rsidRPr="002F1DCC">
        <w:rPr>
          <w:rFonts w:ascii="Times New Roman" w:eastAsia="Times New Roman" w:hAnsi="Times New Roman" w:cs="Times New Roman"/>
          <w:color w:val="000000" w:themeColor="text1"/>
          <w:kern w:val="0"/>
          <w:sz w:val="24"/>
          <w:lang w:val="en-US"/>
          <w14:ligatures w14:val="none"/>
        </w:rPr>
        <w:t xml:space="preserve">Supplementary Table </w:t>
      </w:r>
      <w:r w:rsidR="002F1DCC">
        <w:rPr>
          <w:rFonts w:ascii="Times New Roman" w:hAnsi="Times New Roman" w:cs="Times New Roman" w:hint="eastAsia"/>
          <w:color w:val="000000" w:themeColor="text1"/>
          <w:kern w:val="0"/>
          <w:sz w:val="24"/>
          <w:lang w:val="en-US"/>
          <w14:ligatures w14:val="none"/>
        </w:rPr>
        <w:t>S</w:t>
      </w:r>
      <w:r w:rsidR="00364334">
        <w:rPr>
          <w:rFonts w:ascii="Times New Roman" w:hAnsi="Times New Roman" w:cs="Times New Roman" w:hint="eastAsia"/>
          <w:color w:val="000000" w:themeColor="text1"/>
          <w:kern w:val="0"/>
          <w:sz w:val="24"/>
          <w:lang w:val="en-US"/>
          <w14:ligatures w14:val="none"/>
        </w:rPr>
        <w:t>1</w:t>
      </w:r>
      <w:r w:rsidRPr="002F1DCC">
        <w:rPr>
          <w:rFonts w:ascii="Times New Roman" w:eastAsia="Times New Roman" w:hAnsi="Times New Roman" w:cs="Times New Roman"/>
          <w:color w:val="000000" w:themeColor="text1"/>
          <w:kern w:val="0"/>
          <w:sz w:val="24"/>
          <w:lang w:val="en-US"/>
          <w14:ligatures w14:val="none"/>
        </w:rPr>
        <w:t>. Overview of diagnostic-criteria heterogeneity for each pooled outcome across the included trials.</w:t>
      </w:r>
    </w:p>
    <w:p w14:paraId="0A8E0BC7" w14:textId="5A9E70D8" w:rsidR="00364334" w:rsidRPr="00364334" w:rsidRDefault="00C83E5D" w:rsidP="00364334">
      <w:pPr>
        <w:spacing w:before="160" w:after="80" w:line="240" w:lineRule="auto"/>
        <w:rPr>
          <w:rFonts w:ascii="Times New Roman" w:hAnsi="Times New Roman" w:cs="Times New Roman" w:hint="eastAsia"/>
          <w:color w:val="000000" w:themeColor="text1"/>
          <w:kern w:val="0"/>
          <w:sz w:val="24"/>
          <w:lang w:val="en-US"/>
          <w14:ligatures w14:val="none"/>
        </w:rPr>
      </w:pPr>
      <w:r w:rsidRPr="002F1DCC">
        <w:rPr>
          <w:rFonts w:ascii="Times New Roman" w:eastAsia="Times New Roman" w:hAnsi="Times New Roman" w:cs="Times New Roman"/>
          <w:color w:val="000000" w:themeColor="text1"/>
          <w:kern w:val="0"/>
          <w:sz w:val="24"/>
          <w:lang w:val="en-US"/>
          <w14:ligatures w14:val="none"/>
        </w:rPr>
        <w:t xml:space="preserve">Supplementary Table </w:t>
      </w:r>
      <w:r w:rsidR="002F1DCC">
        <w:rPr>
          <w:rFonts w:ascii="Times New Roman" w:hAnsi="Times New Roman" w:cs="Times New Roman" w:hint="eastAsia"/>
          <w:color w:val="000000" w:themeColor="text1"/>
          <w:kern w:val="0"/>
          <w:sz w:val="24"/>
          <w:lang w:val="en-US"/>
          <w14:ligatures w14:val="none"/>
        </w:rPr>
        <w:t>S</w:t>
      </w:r>
      <w:r w:rsidR="00364334">
        <w:rPr>
          <w:rFonts w:ascii="Times New Roman" w:hAnsi="Times New Roman" w:cs="Times New Roman" w:hint="eastAsia"/>
          <w:color w:val="000000" w:themeColor="text1"/>
          <w:kern w:val="0"/>
          <w:sz w:val="24"/>
          <w:lang w:val="en-US"/>
          <w14:ligatures w14:val="none"/>
        </w:rPr>
        <w:t>2</w:t>
      </w:r>
      <w:r w:rsidRPr="002F1DCC">
        <w:rPr>
          <w:rFonts w:ascii="Times New Roman" w:eastAsia="Times New Roman" w:hAnsi="Times New Roman" w:cs="Times New Roman" w:hint="eastAsia"/>
          <w:color w:val="000000" w:themeColor="text1"/>
          <w:kern w:val="0"/>
          <w:sz w:val="24"/>
          <w:lang w:val="en-US"/>
          <w14:ligatures w14:val="none"/>
        </w:rPr>
        <w:t>.</w:t>
      </w:r>
      <w:r w:rsidRPr="002F1DCC">
        <w:rPr>
          <w:rFonts w:ascii="Times New Roman" w:eastAsia="Times New Roman" w:hAnsi="Times New Roman" w:cs="Times New Roman"/>
          <w:color w:val="000000" w:themeColor="text1"/>
          <w:kern w:val="0"/>
          <w:sz w:val="24"/>
          <w:lang w:val="en-US"/>
          <w14:ligatures w14:val="none"/>
        </w:rPr>
        <w:t xml:space="preserve"> Definition, diagnostic standard and assessment window for each outcome in the included trials.</w:t>
      </w:r>
    </w:p>
    <w:p w14:paraId="0AEF511C" w14:textId="60564B96" w:rsidR="00D26401" w:rsidRDefault="00D26401">
      <w:pPr>
        <w:rPr>
          <w:rFonts w:ascii="Times New Roman" w:hAnsi="Times New Roman" w:cs="Times New Roman"/>
          <w:color w:val="000000" w:themeColor="text1"/>
          <w:sz w:val="24"/>
        </w:rPr>
      </w:pPr>
      <w:r w:rsidRPr="002F1DCC">
        <w:rPr>
          <w:rFonts w:ascii="Times New Roman" w:hAnsi="Times New Roman" w:cs="Times New Roman" w:hint="eastAsia"/>
          <w:color w:val="000000" w:themeColor="text1"/>
          <w:sz w:val="24"/>
        </w:rPr>
        <w:t xml:space="preserve">Supplementary Table </w:t>
      </w:r>
      <w:r w:rsidR="002F1DCC">
        <w:rPr>
          <w:rFonts w:ascii="Times New Roman" w:hAnsi="Times New Roman" w:cs="Times New Roman" w:hint="eastAsia"/>
          <w:color w:val="000000" w:themeColor="text1"/>
          <w:sz w:val="24"/>
        </w:rPr>
        <w:t>S</w:t>
      </w:r>
      <w:r w:rsidR="00364334">
        <w:rPr>
          <w:rFonts w:ascii="Times New Roman" w:hAnsi="Times New Roman" w:cs="Times New Roman" w:hint="eastAsia"/>
          <w:color w:val="000000" w:themeColor="text1"/>
          <w:sz w:val="24"/>
        </w:rPr>
        <w:t>3</w:t>
      </w:r>
      <w:r w:rsidRPr="002F1DCC">
        <w:rPr>
          <w:rFonts w:ascii="Times New Roman" w:hAnsi="Times New Roman" w:cs="Times New Roman" w:hint="eastAsia"/>
          <w:color w:val="000000" w:themeColor="text1"/>
          <w:sz w:val="24"/>
        </w:rPr>
        <w:t xml:space="preserve">. </w:t>
      </w:r>
      <w:r w:rsidRPr="002F1DCC">
        <w:rPr>
          <w:rFonts w:ascii="Times New Roman" w:hAnsi="Times New Roman" w:cs="Times New Roman"/>
          <w:color w:val="000000" w:themeColor="text1"/>
          <w:sz w:val="24"/>
        </w:rPr>
        <w:t>Trial sequential analysis: primary and sensitivity results.</w:t>
      </w:r>
    </w:p>
    <w:p w14:paraId="198E2FBA" w14:textId="039B14A6" w:rsidR="00364334" w:rsidRPr="002F1DCC" w:rsidRDefault="00364334">
      <w:pPr>
        <w:rPr>
          <w:rFonts w:ascii="Times New Roman" w:hAnsi="Times New Roman" w:cs="Times New Roman"/>
          <w:color w:val="000000" w:themeColor="text1"/>
          <w:sz w:val="24"/>
        </w:rPr>
      </w:pPr>
      <w:r w:rsidRPr="002F1DCC">
        <w:rPr>
          <w:rFonts w:ascii="Times New Roman" w:hAnsi="Times New Roman" w:cs="Times New Roman" w:hint="eastAsia"/>
          <w:color w:val="000000" w:themeColor="text1"/>
          <w:sz w:val="24"/>
        </w:rPr>
        <w:t xml:space="preserve">Supplementary Table </w:t>
      </w:r>
      <w:r>
        <w:rPr>
          <w:rFonts w:ascii="Times New Roman" w:hAnsi="Times New Roman" w:cs="Times New Roman" w:hint="eastAsia"/>
          <w:color w:val="000000" w:themeColor="text1"/>
          <w:sz w:val="24"/>
        </w:rPr>
        <w:t>S</w:t>
      </w:r>
      <w:r>
        <w:rPr>
          <w:rFonts w:ascii="Times New Roman" w:hAnsi="Times New Roman" w:cs="Times New Roman" w:hint="eastAsia"/>
          <w:color w:val="000000" w:themeColor="text1"/>
          <w:sz w:val="24"/>
        </w:rPr>
        <w:t>4</w:t>
      </w:r>
      <w:r w:rsidRPr="002F1DCC">
        <w:rPr>
          <w:rFonts w:ascii="Times New Roman" w:hAnsi="Times New Roman" w:cs="Times New Roman"/>
          <w:color w:val="000000" w:themeColor="text1"/>
          <w:sz w:val="24"/>
        </w:rPr>
        <w:t>.</w:t>
      </w:r>
      <w:r w:rsidRPr="002F1DCC">
        <w:rPr>
          <w:rFonts w:ascii="Times New Roman" w:hAnsi="Times New Roman" w:cs="Times New Roman" w:hint="eastAsia"/>
          <w:color w:val="000000" w:themeColor="text1"/>
          <w:sz w:val="24"/>
        </w:rPr>
        <w:t xml:space="preserve"> P</w:t>
      </w:r>
      <w:r w:rsidRPr="002F1DCC">
        <w:rPr>
          <w:rFonts w:ascii="Times New Roman" w:hAnsi="Times New Roman" w:cs="Times New Roman"/>
          <w:color w:val="000000" w:themeColor="text1"/>
          <w:sz w:val="24"/>
        </w:rPr>
        <w:t>reoperative comorbidities</w:t>
      </w:r>
      <w:r w:rsidRPr="002F1DCC">
        <w:rPr>
          <w:rFonts w:ascii="Times New Roman" w:hAnsi="Times New Roman" w:cs="Times New Roman" w:hint="eastAsia"/>
          <w:color w:val="000000" w:themeColor="text1"/>
          <w:sz w:val="24"/>
        </w:rPr>
        <w:t xml:space="preserve"> </w:t>
      </w:r>
      <w:r w:rsidRPr="002F1DCC">
        <w:rPr>
          <w:rFonts w:ascii="Times New Roman" w:hAnsi="Times New Roman" w:cs="Times New Roman"/>
          <w:color w:val="000000" w:themeColor="text1"/>
          <w:sz w:val="24"/>
        </w:rPr>
        <w:t>of the included studies.</w:t>
      </w:r>
    </w:p>
    <w:p w14:paraId="43FF7C9E" w14:textId="6D2B9F02" w:rsidR="001E359D" w:rsidRPr="002F1DCC" w:rsidRDefault="00C83E5D">
      <w:pPr>
        <w:rPr>
          <w:rFonts w:ascii="Times New Roman" w:hAnsi="Times New Roman" w:cs="Times New Roman"/>
          <w:color w:val="000000" w:themeColor="text1"/>
          <w:sz w:val="24"/>
          <w:lang w:val="en-US"/>
        </w:rPr>
      </w:pPr>
      <w:r w:rsidRPr="002F1DCC">
        <w:rPr>
          <w:rFonts w:ascii="Times New Roman" w:hAnsi="Times New Roman" w:cs="Times New Roman" w:hint="eastAsia"/>
          <w:color w:val="000000" w:themeColor="text1"/>
          <w:sz w:val="24"/>
        </w:rPr>
        <w:t xml:space="preserve">Supplementary </w:t>
      </w:r>
      <w:r w:rsidRPr="002F1DCC">
        <w:rPr>
          <w:rFonts w:ascii="Times New Roman" w:hAnsi="Times New Roman" w:cs="Times New Roman"/>
          <w:color w:val="000000" w:themeColor="text1"/>
          <w:sz w:val="24"/>
          <w:lang w:val="en-US"/>
        </w:rPr>
        <w:t xml:space="preserve">Table </w:t>
      </w:r>
      <w:r w:rsidR="002F1DCC">
        <w:rPr>
          <w:rFonts w:ascii="Times New Roman" w:hAnsi="Times New Roman" w:cs="Times New Roman" w:hint="eastAsia"/>
          <w:color w:val="000000" w:themeColor="text1"/>
          <w:sz w:val="24"/>
          <w:lang w:val="en-US"/>
        </w:rPr>
        <w:t>S</w:t>
      </w:r>
      <w:r w:rsidRPr="002F1DCC">
        <w:rPr>
          <w:rFonts w:ascii="Times New Roman" w:hAnsi="Times New Roman" w:cs="Times New Roman"/>
          <w:color w:val="000000" w:themeColor="text1"/>
          <w:sz w:val="24"/>
          <w:lang w:val="en-US"/>
        </w:rPr>
        <w:t>5. Treatment exposures and reported treatment-associated adverse events in the included trials.</w:t>
      </w:r>
    </w:p>
    <w:p w14:paraId="2D5962A4" w14:textId="5F52BA35" w:rsidR="0005713D" w:rsidRPr="002F1DCC" w:rsidRDefault="001E359D">
      <w:pPr>
        <w:rPr>
          <w:rFonts w:ascii="Times New Roman" w:hAnsi="Times New Roman" w:cs="Times New Roman"/>
          <w:color w:val="000000" w:themeColor="text1"/>
          <w:sz w:val="24"/>
          <w:lang w:val="en-US"/>
        </w:rPr>
      </w:pPr>
      <w:r w:rsidRPr="002F1DCC">
        <w:rPr>
          <w:rFonts w:ascii="Times New Roman" w:hAnsi="Times New Roman" w:cs="Times New Roman" w:hint="eastAsia"/>
          <w:color w:val="000000" w:themeColor="text1"/>
          <w:sz w:val="24"/>
        </w:rPr>
        <w:t>Supplementary Table</w:t>
      </w:r>
      <w:r w:rsidR="002F1DCC">
        <w:rPr>
          <w:rFonts w:ascii="Times New Roman" w:hAnsi="Times New Roman" w:cs="Times New Roman" w:hint="eastAsia"/>
          <w:color w:val="000000" w:themeColor="text1"/>
          <w:sz w:val="24"/>
        </w:rPr>
        <w:t xml:space="preserve"> S</w:t>
      </w:r>
      <w:r w:rsidRPr="002F1DCC">
        <w:rPr>
          <w:rFonts w:ascii="Times New Roman" w:hAnsi="Times New Roman" w:cs="Times New Roman" w:hint="eastAsia"/>
          <w:color w:val="000000" w:themeColor="text1"/>
          <w:sz w:val="24"/>
        </w:rPr>
        <w:t>6</w:t>
      </w:r>
      <w:r w:rsidR="00C83E5D" w:rsidRPr="002F1DCC">
        <w:rPr>
          <w:rFonts w:ascii="Times New Roman" w:hAnsi="Times New Roman" w:cs="Times New Roman"/>
          <w:color w:val="000000" w:themeColor="text1"/>
          <w:sz w:val="24"/>
        </w:rPr>
        <w:t xml:space="preserve">. </w:t>
      </w:r>
      <w:r w:rsidR="0005713D" w:rsidRPr="002F1DCC">
        <w:rPr>
          <w:rFonts w:ascii="Times New Roman" w:hAnsi="Times New Roman" w:cs="Times New Roman" w:hint="eastAsia"/>
          <w:color w:val="000000" w:themeColor="text1"/>
          <w:sz w:val="24"/>
        </w:rPr>
        <w:t xml:space="preserve">Information of </w:t>
      </w:r>
      <w:r w:rsidR="0005713D" w:rsidRPr="002F1DCC">
        <w:rPr>
          <w:rFonts w:ascii="Times New Roman" w:hAnsi="Times New Roman" w:cs="Times New Roman"/>
          <w:color w:val="000000" w:themeColor="text1"/>
          <w:sz w:val="24"/>
        </w:rPr>
        <w:t>ongoing clinical trials.</w:t>
      </w:r>
    </w:p>
    <w:p w14:paraId="011AB787" w14:textId="77777777" w:rsidR="00B13D03" w:rsidRPr="002F1DCC" w:rsidRDefault="00B13D03">
      <w:pPr>
        <w:widowControl/>
        <w:rPr>
          <w:rFonts w:ascii="Times New Roman" w:hAnsi="Times New Roman" w:cs="Times New Roman"/>
          <w:b/>
          <w:bCs/>
          <w:color w:val="000000" w:themeColor="text1"/>
          <w:sz w:val="24"/>
          <w:lang w:val="en-US"/>
        </w:rPr>
      </w:pPr>
      <w:r w:rsidRPr="002F1DCC">
        <w:rPr>
          <w:rFonts w:ascii="Times New Roman" w:hAnsi="Times New Roman" w:cs="Times New Roman"/>
          <w:b/>
          <w:bCs/>
          <w:color w:val="000000" w:themeColor="text1"/>
          <w:sz w:val="24"/>
          <w:lang w:val="en-US"/>
        </w:rPr>
        <w:br w:type="page"/>
      </w:r>
    </w:p>
    <w:p w14:paraId="36EBAD6B" w14:textId="4B85B5AE" w:rsidR="0005713D" w:rsidRPr="002F1DCC" w:rsidRDefault="0005713D" w:rsidP="0005713D">
      <w:pPr>
        <w:spacing w:before="160" w:after="80" w:line="240" w:lineRule="auto"/>
        <w:rPr>
          <w:rFonts w:ascii="Times New Roman" w:hAnsi="Times New Roman" w:cs="Times New Roman"/>
          <w:b/>
          <w:bCs/>
          <w:color w:val="000000" w:themeColor="text1"/>
          <w:kern w:val="0"/>
          <w:sz w:val="24"/>
          <w:lang w:val="en-US"/>
          <w14:ligatures w14:val="none"/>
        </w:rPr>
      </w:pPr>
      <w:r w:rsidRPr="002F1DCC">
        <w:rPr>
          <w:rFonts w:ascii="Times New Roman" w:eastAsia="Times New Roman" w:hAnsi="Times New Roman" w:cs="Times New Roman"/>
          <w:b/>
          <w:bCs/>
          <w:color w:val="000000" w:themeColor="text1"/>
          <w:kern w:val="0"/>
          <w:sz w:val="24"/>
          <w:lang w:val="en-US"/>
          <w14:ligatures w14:val="none"/>
        </w:rPr>
        <w:lastRenderedPageBreak/>
        <w:t xml:space="preserve">Supplementary Table </w:t>
      </w:r>
      <w:r w:rsidR="002F1DCC">
        <w:rPr>
          <w:rFonts w:ascii="Times New Roman" w:hAnsi="Times New Roman" w:cs="Times New Roman" w:hint="eastAsia"/>
          <w:b/>
          <w:bCs/>
          <w:color w:val="000000" w:themeColor="text1"/>
          <w:kern w:val="0"/>
          <w:sz w:val="24"/>
          <w:lang w:val="en-US"/>
          <w14:ligatures w14:val="none"/>
        </w:rPr>
        <w:t>S</w:t>
      </w:r>
      <w:r w:rsidR="00364334">
        <w:rPr>
          <w:rFonts w:ascii="Times New Roman" w:hAnsi="Times New Roman" w:cs="Times New Roman" w:hint="eastAsia"/>
          <w:b/>
          <w:bCs/>
          <w:color w:val="000000" w:themeColor="text1"/>
          <w:kern w:val="0"/>
          <w:sz w:val="24"/>
          <w:lang w:val="en-US"/>
          <w14:ligatures w14:val="none"/>
        </w:rPr>
        <w:t>1</w:t>
      </w:r>
      <w:r w:rsidRPr="002F1DCC">
        <w:rPr>
          <w:rFonts w:ascii="Times New Roman" w:eastAsia="Times New Roman" w:hAnsi="Times New Roman" w:cs="Times New Roman"/>
          <w:b/>
          <w:bCs/>
          <w:color w:val="000000" w:themeColor="text1"/>
          <w:kern w:val="0"/>
          <w:sz w:val="24"/>
          <w:lang w:val="en-US"/>
          <w14:ligatures w14:val="none"/>
        </w:rPr>
        <w:t>. Overview of diagnostic-criteria heterogeneity for each pooled outcome across the included trials.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732"/>
        <w:gridCol w:w="1130"/>
        <w:gridCol w:w="8078"/>
        <w:gridCol w:w="3458"/>
      </w:tblGrid>
      <w:tr w:rsidR="0005713D" w:rsidRPr="002F1DCC" w14:paraId="1D995A1D" w14:textId="77777777" w:rsidTr="002F1DCC">
        <w:trPr>
          <w:tblHeader/>
        </w:trPr>
        <w:tc>
          <w:tcPr>
            <w:tcW w:w="887" w:type="pct"/>
            <w:tcBorders>
              <w:top w:val="single" w:sz="18" w:space="0" w:color="auto"/>
              <w:left w:val="none" w:sz="0" w:space="0" w:color="FFFFFF"/>
              <w:bottom w:val="single" w:sz="18" w:space="0" w:color="auto"/>
              <w:right w:val="none" w:sz="0" w:space="0" w:color="FFFFFF"/>
            </w:tcBorders>
            <w:tcMar>
              <w:top w:w="50" w:type="dxa"/>
              <w:left w:w="90" w:type="dxa"/>
              <w:bottom w:w="50" w:type="dxa"/>
              <w:right w:w="90" w:type="dxa"/>
            </w:tcMar>
          </w:tcPr>
          <w:p w14:paraId="0A68B2F2"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Outcome</w:t>
            </w:r>
          </w:p>
        </w:tc>
        <w:tc>
          <w:tcPr>
            <w:tcW w:w="367" w:type="pct"/>
            <w:tcBorders>
              <w:top w:val="single" w:sz="18" w:space="0" w:color="auto"/>
              <w:left w:val="none" w:sz="0" w:space="0" w:color="FFFFFF"/>
              <w:bottom w:val="single" w:sz="18" w:space="0" w:color="auto"/>
              <w:right w:val="none" w:sz="0" w:space="0" w:color="FFFFFF"/>
            </w:tcBorders>
            <w:tcMar>
              <w:top w:w="50" w:type="dxa"/>
              <w:left w:w="90" w:type="dxa"/>
              <w:bottom w:w="50" w:type="dxa"/>
              <w:right w:w="90" w:type="dxa"/>
            </w:tcMar>
          </w:tcPr>
          <w:p w14:paraId="6DA5B5EB"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Trials (n)</w:t>
            </w:r>
          </w:p>
        </w:tc>
        <w:tc>
          <w:tcPr>
            <w:tcW w:w="2623" w:type="pct"/>
            <w:tcBorders>
              <w:top w:val="single" w:sz="18" w:space="0" w:color="auto"/>
              <w:left w:val="none" w:sz="0" w:space="0" w:color="FFFFFF"/>
              <w:bottom w:val="single" w:sz="18" w:space="0" w:color="auto"/>
              <w:right w:val="none" w:sz="0" w:space="0" w:color="FFFFFF"/>
            </w:tcBorders>
            <w:tcMar>
              <w:top w:w="50" w:type="dxa"/>
              <w:left w:w="90" w:type="dxa"/>
              <w:bottom w:w="50" w:type="dxa"/>
              <w:right w:w="90" w:type="dxa"/>
            </w:tcMar>
          </w:tcPr>
          <w:p w14:paraId="0940E791"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Diagnostic standards or tools used (n)</w:t>
            </w:r>
          </w:p>
        </w:tc>
        <w:tc>
          <w:tcPr>
            <w:tcW w:w="1123" w:type="pct"/>
            <w:tcBorders>
              <w:top w:val="single" w:sz="18" w:space="0" w:color="auto"/>
              <w:left w:val="none" w:sz="0" w:space="0" w:color="FFFFFF"/>
              <w:bottom w:val="single" w:sz="18" w:space="0" w:color="auto"/>
              <w:right w:val="none" w:sz="0" w:space="0" w:color="FFFFFF"/>
            </w:tcBorders>
            <w:tcMar>
              <w:top w:w="50" w:type="dxa"/>
              <w:left w:w="90" w:type="dxa"/>
              <w:bottom w:w="50" w:type="dxa"/>
              <w:right w:w="90" w:type="dxa"/>
            </w:tcMar>
          </w:tcPr>
          <w:p w14:paraId="1A006E6F"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Range of assessment windows</w:t>
            </w:r>
          </w:p>
        </w:tc>
      </w:tr>
      <w:tr w:rsidR="0005713D" w:rsidRPr="002F1DCC" w14:paraId="6E9398EB" w14:textId="77777777" w:rsidTr="002F1DCC">
        <w:tc>
          <w:tcPr>
            <w:tcW w:w="887" w:type="pct"/>
            <w:tcBorders>
              <w:top w:val="single" w:sz="18" w:space="0" w:color="auto"/>
              <w:left w:val="none" w:sz="0" w:space="0" w:color="FFFFFF"/>
              <w:bottom w:val="none" w:sz="0" w:space="0" w:color="FFFFFF"/>
              <w:right w:val="none" w:sz="0" w:space="0" w:color="FFFFFF"/>
            </w:tcBorders>
            <w:tcMar>
              <w:top w:w="50" w:type="dxa"/>
              <w:left w:w="90" w:type="dxa"/>
              <w:bottom w:w="50" w:type="dxa"/>
              <w:right w:w="90" w:type="dxa"/>
            </w:tcMar>
          </w:tcPr>
          <w:p w14:paraId="1F22D072"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Myocardial injury</w:t>
            </w:r>
          </w:p>
        </w:tc>
        <w:tc>
          <w:tcPr>
            <w:tcW w:w="367" w:type="pct"/>
            <w:tcBorders>
              <w:top w:val="single" w:sz="18" w:space="0" w:color="auto"/>
              <w:left w:val="none" w:sz="0" w:space="0" w:color="FFFFFF"/>
              <w:bottom w:val="none" w:sz="0" w:space="0" w:color="FFFFFF"/>
              <w:right w:val="none" w:sz="0" w:space="0" w:color="FFFFFF"/>
            </w:tcBorders>
            <w:tcMar>
              <w:top w:w="50" w:type="dxa"/>
              <w:left w:w="90" w:type="dxa"/>
              <w:bottom w:w="50" w:type="dxa"/>
              <w:right w:w="90" w:type="dxa"/>
            </w:tcMar>
          </w:tcPr>
          <w:p w14:paraId="15A36AF3"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9</w:t>
            </w:r>
          </w:p>
        </w:tc>
        <w:tc>
          <w:tcPr>
            <w:tcW w:w="2623" w:type="pct"/>
            <w:tcBorders>
              <w:top w:val="single" w:sz="18" w:space="0" w:color="auto"/>
              <w:left w:val="none" w:sz="0" w:space="0" w:color="FFFFFF"/>
              <w:bottom w:val="none" w:sz="0" w:space="0" w:color="FFFFFF"/>
              <w:right w:val="none" w:sz="0" w:space="0" w:color="FFFFFF"/>
            </w:tcBorders>
            <w:tcMar>
              <w:top w:w="50" w:type="dxa"/>
              <w:left w:w="90" w:type="dxa"/>
              <w:bottom w:w="50" w:type="dxa"/>
              <w:right w:w="90" w:type="dxa"/>
            </w:tcMar>
          </w:tcPr>
          <w:p w14:paraId="394AB555"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Troponin 99th-percentile or relative-rise variants (5);</w:t>
            </w:r>
            <w:r w:rsidRPr="002F1DCC">
              <w:rPr>
                <w:rFonts w:ascii="Times New Roman" w:eastAsia="Times New Roman" w:hAnsi="Times New Roman" w:cs="Times New Roman" w:hint="eastAsia"/>
                <w:color w:val="000000" w:themeColor="text1"/>
                <w:kern w:val="0"/>
                <w:szCs w:val="22"/>
                <w:lang w:val="en-US"/>
                <w14:ligatures w14:val="none"/>
              </w:rPr>
              <w:t xml:space="preserve"> </w:t>
            </w:r>
            <w:r w:rsidRPr="002F1DCC">
              <w:rPr>
                <w:rFonts w:ascii="Times New Roman" w:eastAsia="Times New Roman" w:hAnsi="Times New Roman" w:cs="Times New Roman"/>
                <w:color w:val="000000" w:themeColor="text1"/>
                <w:kern w:val="0"/>
                <w:szCs w:val="22"/>
                <w:lang w:val="en-US"/>
                <w14:ligatures w14:val="none"/>
              </w:rPr>
              <w:t>Fourth Universal Definition 2018 (1); ECG, clinical and troponin, unnamed (</w:t>
            </w:r>
            <w:r w:rsidRPr="002F1DCC">
              <w:rPr>
                <w:rFonts w:ascii="Times New Roman" w:hAnsi="Times New Roman" w:cs="Times New Roman" w:hint="eastAsia"/>
                <w:color w:val="000000" w:themeColor="text1"/>
                <w:kern w:val="0"/>
                <w:szCs w:val="22"/>
                <w:lang w:val="en-US"/>
                <w14:ligatures w14:val="none"/>
              </w:rPr>
              <w:t>2</w:t>
            </w:r>
            <w:r w:rsidRPr="002F1DCC">
              <w:rPr>
                <w:rFonts w:ascii="Times New Roman" w:eastAsia="Times New Roman" w:hAnsi="Times New Roman" w:cs="Times New Roman"/>
                <w:color w:val="000000" w:themeColor="text1"/>
                <w:kern w:val="0"/>
                <w:szCs w:val="22"/>
                <w:lang w:val="en-US"/>
                <w14:ligatures w14:val="none"/>
              </w:rPr>
              <w:t>); ICD-10 (1)</w:t>
            </w:r>
          </w:p>
        </w:tc>
        <w:tc>
          <w:tcPr>
            <w:tcW w:w="1123" w:type="pct"/>
            <w:tcBorders>
              <w:top w:val="single" w:sz="18" w:space="0" w:color="auto"/>
              <w:left w:val="none" w:sz="0" w:space="0" w:color="FFFFFF"/>
              <w:bottom w:val="none" w:sz="0" w:space="0" w:color="FFFFFF"/>
              <w:right w:val="none" w:sz="0" w:space="0" w:color="FFFFFF"/>
            </w:tcBorders>
            <w:tcMar>
              <w:top w:w="50" w:type="dxa"/>
              <w:left w:w="90" w:type="dxa"/>
              <w:bottom w:w="50" w:type="dxa"/>
              <w:right w:w="90" w:type="dxa"/>
            </w:tcMar>
          </w:tcPr>
          <w:p w14:paraId="021B5B8B"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48 h to 30 days</w:t>
            </w:r>
          </w:p>
        </w:tc>
      </w:tr>
      <w:tr w:rsidR="0005713D" w:rsidRPr="002F1DCC" w14:paraId="40B63F23" w14:textId="77777777" w:rsidTr="002F1DCC">
        <w:tc>
          <w:tcPr>
            <w:tcW w:w="88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F5E5CC5"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Postoperative delirium</w:t>
            </w:r>
          </w:p>
        </w:tc>
        <w:tc>
          <w:tcPr>
            <w:tcW w:w="36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219C376"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10</w:t>
            </w:r>
          </w:p>
        </w:tc>
        <w:tc>
          <w:tcPr>
            <w:tcW w:w="26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16C7429" w14:textId="48EB57FA" w:rsidR="0005713D" w:rsidRPr="002F1DCC" w:rsidRDefault="009E149A"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 CAM-based: CAM-ICU (4); CAM-CR (2); CAM (2); 3D-CAM or CAM-ICU (1); CAM/CAM-ICU or specialist diagnosis (1)</w:t>
            </w:r>
          </w:p>
        </w:tc>
        <w:tc>
          <w:tcPr>
            <w:tcW w:w="11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8B1311E"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First 3 to 30 days; 1 not reported</w:t>
            </w:r>
          </w:p>
        </w:tc>
      </w:tr>
      <w:tr w:rsidR="0005713D" w:rsidRPr="002F1DCC" w14:paraId="0C972A23" w14:textId="77777777" w:rsidTr="002F1DCC">
        <w:tc>
          <w:tcPr>
            <w:tcW w:w="88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AA1097E"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Acute kidney injury</w:t>
            </w:r>
          </w:p>
        </w:tc>
        <w:tc>
          <w:tcPr>
            <w:tcW w:w="36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EF5F033"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13</w:t>
            </w:r>
          </w:p>
        </w:tc>
        <w:tc>
          <w:tcPr>
            <w:tcW w:w="26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C0CD508"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 or KDIGO-type creatinine (8, one also using ICD-10); creatinine only, ≥ 50% / RRT, no urine output (3); AKIN (1); RIFLE (1)</w:t>
            </w:r>
          </w:p>
        </w:tc>
        <w:tc>
          <w:tcPr>
            <w:tcW w:w="11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3555B2A"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First 3 to 30 days</w:t>
            </w:r>
          </w:p>
        </w:tc>
      </w:tr>
      <w:tr w:rsidR="0005713D" w:rsidRPr="002F1DCC" w14:paraId="3479A977" w14:textId="77777777" w:rsidTr="002F1DCC">
        <w:tc>
          <w:tcPr>
            <w:tcW w:w="88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E3825F5"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Mortality</w:t>
            </w:r>
          </w:p>
        </w:tc>
        <w:tc>
          <w:tcPr>
            <w:tcW w:w="36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B14E60B"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13</w:t>
            </w:r>
          </w:p>
        </w:tc>
        <w:tc>
          <w:tcPr>
            <w:tcW w:w="26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BCA1D1F"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 (11); not reported (2)</w:t>
            </w:r>
          </w:p>
        </w:tc>
        <w:tc>
          <w:tcPr>
            <w:tcW w:w="11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3CC021C"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7 days to 1 year</w:t>
            </w:r>
          </w:p>
        </w:tc>
      </w:tr>
      <w:tr w:rsidR="0005713D" w:rsidRPr="002F1DCC" w14:paraId="785AE66D" w14:textId="77777777" w:rsidTr="002F1DCC">
        <w:tc>
          <w:tcPr>
            <w:tcW w:w="88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A670409"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Stroke</w:t>
            </w:r>
          </w:p>
        </w:tc>
        <w:tc>
          <w:tcPr>
            <w:tcW w:w="36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D12A3E4"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6</w:t>
            </w:r>
          </w:p>
        </w:tc>
        <w:tc>
          <w:tcPr>
            <w:tcW w:w="26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F261467"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focal neurological deficit &gt; 24 h ± imaging (3); ISOS (1); POISE-3 sub-classified (1); not reported (1)</w:t>
            </w:r>
          </w:p>
        </w:tc>
        <w:tc>
          <w:tcPr>
            <w:tcW w:w="11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2E9A490"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30 days; some not reported</w:t>
            </w:r>
          </w:p>
        </w:tc>
      </w:tr>
      <w:tr w:rsidR="0005713D" w:rsidRPr="002F1DCC" w14:paraId="58E6FABB" w14:textId="77777777" w:rsidTr="002F1DCC">
        <w:tc>
          <w:tcPr>
            <w:tcW w:w="88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246D3B1"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Heart failure</w:t>
            </w:r>
          </w:p>
        </w:tc>
        <w:tc>
          <w:tcPr>
            <w:tcW w:w="36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233FCF4"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4</w:t>
            </w:r>
          </w:p>
        </w:tc>
        <w:tc>
          <w:tcPr>
            <w:tcW w:w="26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F7BD357"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Clinical plus imaging (2); discharge-letter diagnosis (1); clinical only (1)</w:t>
            </w:r>
          </w:p>
        </w:tc>
        <w:tc>
          <w:tcPr>
            <w:tcW w:w="11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C677B02"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7 to 30 days</w:t>
            </w:r>
          </w:p>
        </w:tc>
      </w:tr>
      <w:tr w:rsidR="0005713D" w:rsidRPr="002F1DCC" w14:paraId="7636A134" w14:textId="77777777" w:rsidTr="002F1DCC">
        <w:tc>
          <w:tcPr>
            <w:tcW w:w="88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02DAD47"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ARDS</w:t>
            </w:r>
          </w:p>
        </w:tc>
        <w:tc>
          <w:tcPr>
            <w:tcW w:w="36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35D525C"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w:t>
            </w:r>
          </w:p>
        </w:tc>
        <w:tc>
          <w:tcPr>
            <w:tcW w:w="26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E2D7DE6"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AECC (1); Berlin-type (1); not reported (1)</w:t>
            </w:r>
          </w:p>
        </w:tc>
        <w:tc>
          <w:tcPr>
            <w:tcW w:w="11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243984E"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30 days</w:t>
            </w:r>
          </w:p>
        </w:tc>
      </w:tr>
      <w:tr w:rsidR="0005713D" w:rsidRPr="002F1DCC" w14:paraId="6DB1A3F3" w14:textId="77777777" w:rsidTr="002F1DCC">
        <w:tc>
          <w:tcPr>
            <w:tcW w:w="88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8D342ED"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Pneumonia</w:t>
            </w:r>
          </w:p>
        </w:tc>
        <w:tc>
          <w:tcPr>
            <w:tcW w:w="367"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BBB523E"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5</w:t>
            </w:r>
          </w:p>
        </w:tc>
        <w:tc>
          <w:tcPr>
            <w:tcW w:w="26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C4EEDB0"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Radiographic plus clinical (1); ISOS (2); CDC-type four-criterion (1); not reported (1)</w:t>
            </w:r>
          </w:p>
        </w:tc>
        <w:tc>
          <w:tcPr>
            <w:tcW w:w="1123"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B01589F"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30 days; some not reported</w:t>
            </w:r>
          </w:p>
        </w:tc>
      </w:tr>
      <w:tr w:rsidR="0005713D" w:rsidRPr="002F1DCC" w14:paraId="50519CA2" w14:textId="77777777" w:rsidTr="002F1DCC">
        <w:tc>
          <w:tcPr>
            <w:tcW w:w="887" w:type="pct"/>
            <w:tcBorders>
              <w:top w:val="none" w:sz="0" w:space="0" w:color="FFFFFF"/>
              <w:left w:val="none" w:sz="0" w:space="0" w:color="FFFFFF"/>
              <w:bottom w:val="single" w:sz="18" w:space="0" w:color="auto"/>
              <w:right w:val="none" w:sz="0" w:space="0" w:color="FFFFFF"/>
            </w:tcBorders>
            <w:tcMar>
              <w:top w:w="50" w:type="dxa"/>
              <w:left w:w="90" w:type="dxa"/>
              <w:bottom w:w="50" w:type="dxa"/>
              <w:right w:w="90" w:type="dxa"/>
            </w:tcMar>
          </w:tcPr>
          <w:p w14:paraId="52EB9976"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Surgical site infection</w:t>
            </w:r>
          </w:p>
        </w:tc>
        <w:tc>
          <w:tcPr>
            <w:tcW w:w="367" w:type="pct"/>
            <w:tcBorders>
              <w:top w:val="none" w:sz="0" w:space="0" w:color="FFFFFF"/>
              <w:left w:val="none" w:sz="0" w:space="0" w:color="FFFFFF"/>
              <w:bottom w:val="single" w:sz="18" w:space="0" w:color="auto"/>
              <w:right w:val="none" w:sz="0" w:space="0" w:color="FFFFFF"/>
            </w:tcBorders>
            <w:tcMar>
              <w:top w:w="50" w:type="dxa"/>
              <w:left w:w="90" w:type="dxa"/>
              <w:bottom w:w="50" w:type="dxa"/>
              <w:right w:w="90" w:type="dxa"/>
            </w:tcMar>
          </w:tcPr>
          <w:p w14:paraId="336B2B32"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5</w:t>
            </w:r>
          </w:p>
        </w:tc>
        <w:tc>
          <w:tcPr>
            <w:tcW w:w="2623" w:type="pct"/>
            <w:tcBorders>
              <w:top w:val="none" w:sz="0" w:space="0" w:color="FFFFFF"/>
              <w:left w:val="none" w:sz="0" w:space="0" w:color="FFFFFF"/>
              <w:bottom w:val="single" w:sz="18" w:space="0" w:color="auto"/>
              <w:right w:val="none" w:sz="0" w:space="0" w:color="FFFFFF"/>
            </w:tcBorders>
            <w:tcMar>
              <w:top w:w="50" w:type="dxa"/>
              <w:left w:w="90" w:type="dxa"/>
              <w:bottom w:w="50" w:type="dxa"/>
              <w:right w:w="90" w:type="dxa"/>
            </w:tcMar>
          </w:tcPr>
          <w:p w14:paraId="3164E326"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CDC or CDC-type (2); ISOS (2); StEP (1)</w:t>
            </w:r>
          </w:p>
        </w:tc>
        <w:tc>
          <w:tcPr>
            <w:tcW w:w="1123" w:type="pct"/>
            <w:tcBorders>
              <w:top w:val="none" w:sz="0" w:space="0" w:color="FFFFFF"/>
              <w:left w:val="none" w:sz="0" w:space="0" w:color="FFFFFF"/>
              <w:bottom w:val="single" w:sz="18" w:space="0" w:color="auto"/>
              <w:right w:val="none" w:sz="0" w:space="0" w:color="FFFFFF"/>
            </w:tcBorders>
            <w:tcMar>
              <w:top w:w="50" w:type="dxa"/>
              <w:left w:w="90" w:type="dxa"/>
              <w:bottom w:w="50" w:type="dxa"/>
              <w:right w:w="90" w:type="dxa"/>
            </w:tcMar>
          </w:tcPr>
          <w:p w14:paraId="066AF54F" w14:textId="77777777" w:rsidR="0005713D" w:rsidRPr="002F1DCC" w:rsidRDefault="0005713D" w:rsidP="00494540">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7 to 30 days; some not reported</w:t>
            </w:r>
          </w:p>
        </w:tc>
      </w:tr>
    </w:tbl>
    <w:p w14:paraId="65F2D0E2" w14:textId="77777777" w:rsidR="0005713D" w:rsidRPr="002F1DCC" w:rsidRDefault="0005713D" w:rsidP="0005713D">
      <w:pPr>
        <w:spacing w:before="70" w:after="40" w:line="220" w:lineRule="auto"/>
        <w:rPr>
          <w:rFonts w:ascii="Times New Roman" w:hAnsi="Times New Roman" w:cs="Times New Roman"/>
          <w:color w:val="000000" w:themeColor="text1"/>
          <w:kern w:val="0"/>
          <w:sz w:val="24"/>
          <w:lang w:val="en-US"/>
          <w14:ligatures w14:val="none"/>
        </w:rPr>
      </w:pPr>
      <w:r w:rsidRPr="002F1DCC">
        <w:rPr>
          <w:rFonts w:ascii="Times New Roman" w:eastAsia="Times New Roman" w:hAnsi="Times New Roman" w:cs="Times New Roman"/>
          <w:i/>
          <w:iCs/>
          <w:color w:val="000000" w:themeColor="text1"/>
          <w:kern w:val="0"/>
          <w:sz w:val="24"/>
          <w:lang w:val="en-US"/>
          <w14:ligatures w14:val="none"/>
        </w:rPr>
        <w:t>ARDS, acute respiratory distress syndrome; CAM, Confusion Assessment Method; CAM-CR, Chinese-revised CAM; CAM-ICU, CAM for the intensive care unit; 3D-CAM, three-dimensional CAM; ICDSC, Intensive Care Delirium Screening Checklist; AECC, American–European Consensus Conference; AKIN, Acute Kidney Injury Network; CDC, Centers for Disease Control and Prevention; ICD-10, International Classification of Diseases, 10th revision; ISOS, International Surgical Outcome Study; KDIGO, Kidney Disease: Improving Global Outcomes; MINS, myocardial injury after non-cardiac surgery;RIFLE, Risk, Injury, Failure, Loss, End-stage; RRT, renal replacement therapy; StEP, Standardised Endpoints in Perioperative Medicine.</w:t>
      </w:r>
    </w:p>
    <w:p w14:paraId="2F446CBB" w14:textId="77777777" w:rsidR="0005713D" w:rsidRPr="002F1DCC" w:rsidRDefault="0005713D" w:rsidP="0005713D">
      <w:pPr>
        <w:spacing w:line="240" w:lineRule="auto"/>
        <w:rPr>
          <w:rFonts w:ascii="Times New Roman" w:hAnsi="Times New Roman" w:cs="Times New Roman"/>
          <w:color w:val="000000" w:themeColor="text1"/>
          <w:kern w:val="0"/>
          <w:sz w:val="18"/>
          <w:szCs w:val="18"/>
          <w:lang w:val="en-US"/>
          <w14:ligatures w14:val="none"/>
        </w:rPr>
      </w:pPr>
    </w:p>
    <w:p w14:paraId="6E19E7FD" w14:textId="77777777" w:rsidR="0005713D" w:rsidRPr="002F1DCC" w:rsidRDefault="0005713D">
      <w:pPr>
        <w:widowControl/>
        <w:rPr>
          <w:rFonts w:ascii="Times New Roman" w:eastAsia="Times New Roman" w:hAnsi="Times New Roman" w:cs="Times New Roman"/>
          <w:b/>
          <w:bCs/>
          <w:color w:val="000000" w:themeColor="text1"/>
          <w:kern w:val="0"/>
          <w:sz w:val="24"/>
          <w:lang w:val="en-US"/>
          <w14:ligatures w14:val="none"/>
        </w:rPr>
      </w:pPr>
      <w:r w:rsidRPr="002F1DCC">
        <w:rPr>
          <w:rFonts w:ascii="Times New Roman" w:eastAsia="Times New Roman" w:hAnsi="Times New Roman" w:cs="Times New Roman"/>
          <w:b/>
          <w:bCs/>
          <w:color w:val="000000" w:themeColor="text1"/>
          <w:kern w:val="0"/>
          <w:sz w:val="24"/>
          <w:lang w:val="en-US"/>
          <w14:ligatures w14:val="none"/>
        </w:rPr>
        <w:br w:type="page"/>
      </w:r>
    </w:p>
    <w:p w14:paraId="6F0C1AB9" w14:textId="4CF17AE9" w:rsidR="0005713D" w:rsidRPr="002F1DCC" w:rsidRDefault="0005713D" w:rsidP="0005713D">
      <w:pPr>
        <w:spacing w:before="160" w:after="80" w:line="240" w:lineRule="auto"/>
        <w:rPr>
          <w:rFonts w:ascii="Times New Roman" w:hAnsi="Times New Roman" w:cs="Times New Roman"/>
          <w:b/>
          <w:bCs/>
          <w:color w:val="000000" w:themeColor="text1"/>
          <w:kern w:val="0"/>
          <w:sz w:val="24"/>
          <w:lang w:val="en-US"/>
          <w14:ligatures w14:val="none"/>
        </w:rPr>
      </w:pPr>
      <w:r w:rsidRPr="002F1DCC">
        <w:rPr>
          <w:rFonts w:ascii="Times New Roman" w:eastAsia="Times New Roman" w:hAnsi="Times New Roman" w:cs="Times New Roman"/>
          <w:b/>
          <w:bCs/>
          <w:color w:val="000000" w:themeColor="text1"/>
          <w:kern w:val="0"/>
          <w:sz w:val="24"/>
          <w:lang w:val="en-US"/>
          <w14:ligatures w14:val="none"/>
        </w:rPr>
        <w:lastRenderedPageBreak/>
        <w:t xml:space="preserve">Supplementary Table </w:t>
      </w:r>
      <w:r w:rsidR="002F1DCC">
        <w:rPr>
          <w:rFonts w:ascii="Times New Roman" w:hAnsi="Times New Roman" w:cs="Times New Roman" w:hint="eastAsia"/>
          <w:b/>
          <w:bCs/>
          <w:color w:val="000000" w:themeColor="text1"/>
          <w:kern w:val="0"/>
          <w:sz w:val="24"/>
          <w:lang w:val="en-US"/>
          <w14:ligatures w14:val="none"/>
        </w:rPr>
        <w:t>S</w:t>
      </w:r>
      <w:r w:rsidR="00364334">
        <w:rPr>
          <w:rFonts w:ascii="Times New Roman" w:hAnsi="Times New Roman" w:cs="Times New Roman" w:hint="eastAsia"/>
          <w:b/>
          <w:bCs/>
          <w:color w:val="000000" w:themeColor="text1"/>
          <w:kern w:val="0"/>
          <w:sz w:val="24"/>
          <w:lang w:val="en-US"/>
          <w14:ligatures w14:val="none"/>
        </w:rPr>
        <w:t>2</w:t>
      </w:r>
      <w:r w:rsidRPr="002F1DCC">
        <w:rPr>
          <w:rFonts w:ascii="Times New Roman" w:eastAsia="Times New Roman" w:hAnsi="Times New Roman" w:cs="Times New Roman" w:hint="eastAsia"/>
          <w:b/>
          <w:bCs/>
          <w:color w:val="000000" w:themeColor="text1"/>
          <w:kern w:val="0"/>
          <w:sz w:val="24"/>
          <w:lang w:val="en-US"/>
          <w14:ligatures w14:val="none"/>
        </w:rPr>
        <w:t>.</w:t>
      </w:r>
      <w:r w:rsidRPr="002F1DCC">
        <w:rPr>
          <w:rFonts w:ascii="Times New Roman" w:eastAsia="Times New Roman" w:hAnsi="Times New Roman" w:cs="Times New Roman"/>
          <w:b/>
          <w:bCs/>
          <w:color w:val="000000" w:themeColor="text1"/>
          <w:kern w:val="0"/>
          <w:sz w:val="24"/>
          <w:lang w:val="en-US"/>
          <w14:ligatures w14:val="none"/>
        </w:rPr>
        <w:t xml:space="preserve"> Definition, diagnostic standard and assessment window for each outcome in the included trials.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913"/>
        <w:gridCol w:w="2716"/>
        <w:gridCol w:w="8062"/>
        <w:gridCol w:w="2707"/>
      </w:tblGrid>
      <w:tr w:rsidR="0005713D" w:rsidRPr="002F1DCC" w14:paraId="40F36AB2" w14:textId="77777777" w:rsidTr="002F1DCC">
        <w:trPr>
          <w:tblHeader/>
        </w:trPr>
        <w:tc>
          <w:tcPr>
            <w:tcW w:w="621" w:type="pct"/>
            <w:tcBorders>
              <w:top w:val="single" w:sz="18" w:space="0" w:color="auto"/>
              <w:left w:val="none" w:sz="0" w:space="0" w:color="FFFFFF"/>
              <w:bottom w:val="single" w:sz="6" w:space="0" w:color="000000"/>
              <w:right w:val="none" w:sz="0" w:space="0" w:color="FFFFFF"/>
            </w:tcBorders>
            <w:tcMar>
              <w:top w:w="50" w:type="dxa"/>
              <w:left w:w="90" w:type="dxa"/>
              <w:bottom w:w="50" w:type="dxa"/>
              <w:right w:w="90" w:type="dxa"/>
            </w:tcMar>
          </w:tcPr>
          <w:p w14:paraId="3E6A0E6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Study</w:t>
            </w:r>
          </w:p>
        </w:tc>
        <w:tc>
          <w:tcPr>
            <w:tcW w:w="882" w:type="pct"/>
            <w:tcBorders>
              <w:top w:val="single" w:sz="18" w:space="0" w:color="auto"/>
              <w:left w:val="none" w:sz="0" w:space="0" w:color="FFFFFF"/>
              <w:bottom w:val="single" w:sz="6" w:space="0" w:color="000000"/>
              <w:right w:val="none" w:sz="0" w:space="0" w:color="FFFFFF"/>
            </w:tcBorders>
            <w:tcMar>
              <w:top w:w="50" w:type="dxa"/>
              <w:left w:w="90" w:type="dxa"/>
              <w:bottom w:w="50" w:type="dxa"/>
              <w:right w:w="90" w:type="dxa"/>
            </w:tcMar>
          </w:tcPr>
          <w:p w14:paraId="05B7BED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Diagnostic criteria or standard</w:t>
            </w:r>
          </w:p>
        </w:tc>
        <w:tc>
          <w:tcPr>
            <w:tcW w:w="2618" w:type="pct"/>
            <w:tcBorders>
              <w:top w:val="single" w:sz="18" w:space="0" w:color="auto"/>
              <w:left w:val="none" w:sz="0" w:space="0" w:color="FFFFFF"/>
              <w:bottom w:val="single" w:sz="6" w:space="0" w:color="000000"/>
              <w:right w:val="none" w:sz="0" w:space="0" w:color="FFFFFF"/>
            </w:tcBorders>
            <w:tcMar>
              <w:top w:w="50" w:type="dxa"/>
              <w:left w:w="90" w:type="dxa"/>
              <w:bottom w:w="50" w:type="dxa"/>
              <w:right w:w="90" w:type="dxa"/>
            </w:tcMar>
          </w:tcPr>
          <w:p w14:paraId="752213A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Definition (assessment method and thresholds)</w:t>
            </w:r>
          </w:p>
        </w:tc>
        <w:tc>
          <w:tcPr>
            <w:tcW w:w="880" w:type="pct"/>
            <w:tcBorders>
              <w:top w:val="single" w:sz="18" w:space="0" w:color="auto"/>
              <w:left w:val="none" w:sz="0" w:space="0" w:color="FFFFFF"/>
              <w:bottom w:val="single" w:sz="6" w:space="0" w:color="000000"/>
              <w:right w:val="none" w:sz="0" w:space="0" w:color="FFFFFF"/>
            </w:tcBorders>
            <w:tcMar>
              <w:top w:w="50" w:type="dxa"/>
              <w:left w:w="90" w:type="dxa"/>
              <w:bottom w:w="50" w:type="dxa"/>
              <w:right w:w="90" w:type="dxa"/>
            </w:tcMar>
          </w:tcPr>
          <w:p w14:paraId="3757DE2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Assessment window</w:t>
            </w:r>
          </w:p>
        </w:tc>
      </w:tr>
      <w:tr w:rsidR="0005713D" w:rsidRPr="002F1DCC" w14:paraId="1EEB839E" w14:textId="77777777" w:rsidTr="002F1DCC">
        <w:tc>
          <w:tcPr>
            <w:tcW w:w="5000" w:type="pct"/>
            <w:gridSpan w:val="4"/>
            <w:tcBorders>
              <w:top w:val="single" w:sz="18" w:space="0" w:color="auto"/>
              <w:left w:val="none" w:sz="0" w:space="0" w:color="FFFFFF"/>
              <w:bottom w:val="none" w:sz="0" w:space="0" w:color="FFFFFF"/>
              <w:right w:val="none" w:sz="0" w:space="0" w:color="FFFFFF"/>
            </w:tcBorders>
            <w:tcMar>
              <w:top w:w="50" w:type="dxa"/>
              <w:left w:w="90" w:type="dxa"/>
              <w:bottom w:w="50" w:type="dxa"/>
              <w:right w:w="90" w:type="dxa"/>
            </w:tcMar>
          </w:tcPr>
          <w:p w14:paraId="5550FC4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Myocardial injury / MINS</w:t>
            </w:r>
          </w:p>
        </w:tc>
      </w:tr>
      <w:tr w:rsidR="0005713D" w:rsidRPr="002F1DCC" w14:paraId="307453AB"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C250AF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2017-Futier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4231D1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ECG</w:t>
            </w:r>
            <w:r w:rsidRPr="002F1DCC">
              <w:rPr>
                <w:rFonts w:ascii="Times New Roman" w:hAnsi="Times New Roman" w:cs="Times New Roman"/>
                <w:color w:val="000000" w:themeColor="text1"/>
                <w:kern w:val="0"/>
                <w:szCs w:val="22"/>
                <w:lang w:val="en-US"/>
                <w14:ligatures w14:val="none"/>
              </w:rPr>
              <w:t xml:space="preserve"> with</w:t>
            </w:r>
            <w:r w:rsidRPr="002F1DCC">
              <w:rPr>
                <w:rFonts w:ascii="Times New Roman" w:eastAsia="Times New Roman" w:hAnsi="Times New Roman" w:cs="Times New Roman"/>
                <w:color w:val="000000" w:themeColor="text1"/>
                <w:kern w:val="0"/>
                <w:szCs w:val="22"/>
                <w:lang w:val="en-US"/>
                <w14:ligatures w14:val="none"/>
              </w:rPr>
              <w:t xml:space="preserve"> clinical findings </w:t>
            </w:r>
            <w:r w:rsidRPr="002F1DCC">
              <w:rPr>
                <w:rFonts w:ascii="Times New Roman" w:hAnsi="Times New Roman" w:cs="Times New Roman"/>
                <w:color w:val="000000" w:themeColor="text1"/>
                <w:kern w:val="0"/>
                <w:szCs w:val="22"/>
                <w:lang w:val="en-US"/>
                <w14:ligatures w14:val="none"/>
              </w:rPr>
              <w:t xml:space="preserve">and </w:t>
            </w:r>
            <w:r w:rsidRPr="002F1DCC">
              <w:rPr>
                <w:rFonts w:ascii="Times New Roman" w:eastAsia="Times New Roman" w:hAnsi="Times New Roman" w:cs="Times New Roman"/>
                <w:color w:val="000000" w:themeColor="text1"/>
                <w:kern w:val="0"/>
                <w:szCs w:val="22"/>
                <w:lang w:val="en-US"/>
                <w14:ligatures w14:val="none"/>
              </w:rPr>
              <w:t>troponin (no named criterion)</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21F05D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Myocardial ischaemia or infarction defined by acute postoperative ECG changes with appropriate clinical findings and a change in cardiac troponins.</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B30F6A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bookmarkStart w:id="0" w:name="OLE_LINK1"/>
            <w:r w:rsidRPr="002F1DCC">
              <w:rPr>
                <w:rFonts w:ascii="Times New Roman" w:eastAsia="Times New Roman" w:hAnsi="Times New Roman" w:cs="Times New Roman"/>
                <w:color w:val="000000" w:themeColor="text1"/>
                <w:kern w:val="0"/>
                <w:szCs w:val="22"/>
                <w:lang w:val="en-US"/>
                <w14:ligatures w14:val="none"/>
              </w:rPr>
              <w:t>within 30 days after surgery</w:t>
            </w:r>
            <w:bookmarkEnd w:id="0"/>
          </w:p>
        </w:tc>
      </w:tr>
      <w:tr w:rsidR="0005713D" w:rsidRPr="002F1DCC" w14:paraId="75E90A47"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9BA948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2021-Wanner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5E0A48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hs-cTnI </w:t>
            </w:r>
            <w:r w:rsidRPr="002F1DCC">
              <w:rPr>
                <w:rFonts w:ascii="Times New Roman" w:hAnsi="Times New Roman" w:cs="Times New Roman"/>
                <w:color w:val="000000" w:themeColor="text1"/>
                <w:kern w:val="0"/>
                <w:szCs w:val="22"/>
                <w:lang w:val="en-US"/>
                <w14:ligatures w14:val="none"/>
              </w:rPr>
              <w:t>rise</w:t>
            </w:r>
            <w:r w:rsidRPr="002F1DCC">
              <w:rPr>
                <w:rFonts w:ascii="Times New Roman" w:eastAsia="Times New Roman" w:hAnsi="Times New Roman" w:cs="Times New Roman"/>
                <w:color w:val="000000" w:themeColor="text1"/>
                <w:kern w:val="0"/>
                <w:szCs w:val="22"/>
                <w:lang w:val="en-US"/>
                <w14:ligatures w14:val="none"/>
              </w:rPr>
              <w:t xml:space="preserve"> </w:t>
            </w:r>
            <w:r w:rsidRPr="002F1DCC">
              <w:rPr>
                <w:rFonts w:ascii="Times New Roman" w:hAnsi="Times New Roman" w:cs="Times New Roman"/>
                <w:color w:val="000000" w:themeColor="text1"/>
                <w:kern w:val="0"/>
                <w:szCs w:val="22"/>
                <w:lang w:val="en-US"/>
                <w14:ligatures w14:val="none"/>
              </w:rPr>
              <w:t>and</w:t>
            </w:r>
            <w:r w:rsidRPr="002F1DCC">
              <w:rPr>
                <w:rFonts w:ascii="Times New Roman" w:eastAsia="Times New Roman" w:hAnsi="Times New Roman" w:cs="Times New Roman"/>
                <w:color w:val="000000" w:themeColor="text1"/>
                <w:kern w:val="0"/>
                <w:szCs w:val="22"/>
                <w:lang w:val="en-US"/>
                <w14:ligatures w14:val="none"/>
              </w:rPr>
              <w:t xml:space="preserve"> relative </w:t>
            </w:r>
            <w:r w:rsidRPr="002F1DCC">
              <w:rPr>
                <w:rFonts w:ascii="Times New Roman" w:hAnsi="Times New Roman" w:cs="Times New Roman"/>
                <w:color w:val="000000" w:themeColor="text1"/>
                <w:kern w:val="0"/>
                <w:szCs w:val="22"/>
                <w:lang w:val="en-US"/>
                <w14:ligatures w14:val="none"/>
              </w:rPr>
              <w:t>increase compared to preoperative value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613E22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hs-cTnI &gt; 0.04 ng/mL and ≥ 35% relative increase versus the preoperative value.</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3D88EC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0-3</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r w:rsidR="0005713D" w:rsidRPr="002F1DCC" w14:paraId="165C65E1"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83C3E4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2023-Marcucci (POISE-3)</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A2E06A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 xml:space="preserve">myocardial infarction </w:t>
            </w:r>
            <w:bookmarkStart w:id="1" w:name="OLE_LINK6"/>
            <w:r w:rsidRPr="002F1DCC">
              <w:rPr>
                <w:rFonts w:ascii="Times New Roman" w:hAnsi="Times New Roman" w:cs="Times New Roman"/>
                <w:color w:val="000000" w:themeColor="text1"/>
                <w:kern w:val="0"/>
                <w:szCs w:val="22"/>
                <w:lang w:val="en-US"/>
                <w14:ligatures w14:val="none"/>
              </w:rPr>
              <w:t>(</w:t>
            </w:r>
            <w:r w:rsidRPr="002F1DCC">
              <w:rPr>
                <w:rFonts w:ascii="Times New Roman" w:eastAsia="Times New Roman" w:hAnsi="Times New Roman" w:cs="Times New Roman"/>
                <w:color w:val="000000" w:themeColor="text1"/>
                <w:kern w:val="0"/>
                <w:szCs w:val="22"/>
                <w:lang w:val="en-US"/>
                <w14:ligatures w14:val="none"/>
              </w:rPr>
              <w:t>POISE-3</w:t>
            </w:r>
            <w:r w:rsidRPr="002F1DCC">
              <w:rPr>
                <w:rFonts w:ascii="Times New Roman" w:hAnsi="Times New Roman" w:cs="Times New Roman"/>
                <w:color w:val="000000" w:themeColor="text1"/>
                <w:kern w:val="0"/>
                <w:szCs w:val="22"/>
                <w:lang w:val="en-US"/>
                <w14:ligatures w14:val="none"/>
              </w:rPr>
              <w:t xml:space="preserve"> definition)</w:t>
            </w:r>
            <w:bookmarkEnd w:id="1"/>
            <w:r w:rsidRPr="002F1DCC">
              <w:rPr>
                <w:rFonts w:ascii="Times New Roman" w:hAnsi="Times New Roman" w:cs="Times New Roman"/>
                <w:color w:val="000000" w:themeColor="text1"/>
                <w:kern w:val="0"/>
                <w:szCs w:val="22"/>
                <w:lang w:val="en-US"/>
                <w14:ligatures w14:val="none"/>
              </w:rPr>
              <w:t xml:space="preserve"> and any elevated troponin</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2C12A5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Any myocardial infarction</w:t>
            </w:r>
            <w:r w:rsidRPr="002F1DCC">
              <w:rPr>
                <w:rFonts w:ascii="Times New Roman" w:hAnsi="Times New Roman" w:cs="Times New Roman"/>
                <w:color w:val="000000" w:themeColor="text1"/>
                <w:kern w:val="0"/>
                <w:szCs w:val="22"/>
                <w:lang w:val="en-US"/>
                <w14:ligatures w14:val="none"/>
              </w:rPr>
              <w:t xml:space="preserve"> (</w:t>
            </w:r>
            <w:r w:rsidRPr="002F1DCC">
              <w:rPr>
                <w:rFonts w:ascii="Times New Roman" w:eastAsia="Times New Roman" w:hAnsi="Times New Roman" w:cs="Times New Roman"/>
                <w:color w:val="000000" w:themeColor="text1"/>
                <w:kern w:val="0"/>
                <w:szCs w:val="22"/>
                <w:lang w:val="en-US"/>
                <w14:ligatures w14:val="none"/>
              </w:rPr>
              <w:t>POISE-3</w:t>
            </w:r>
            <w:r w:rsidRPr="002F1DCC">
              <w:rPr>
                <w:rFonts w:ascii="Times New Roman" w:hAnsi="Times New Roman" w:cs="Times New Roman"/>
                <w:color w:val="000000" w:themeColor="text1"/>
                <w:kern w:val="0"/>
                <w:szCs w:val="22"/>
                <w:lang w:val="en-US"/>
                <w14:ligatures w14:val="none"/>
              </w:rPr>
              <w:t xml:space="preserve"> definition)</w:t>
            </w:r>
            <w:r w:rsidRPr="002F1DCC">
              <w:rPr>
                <w:rFonts w:ascii="Times New Roman" w:eastAsia="Times New Roman" w:hAnsi="Times New Roman" w:cs="Times New Roman"/>
                <w:color w:val="000000" w:themeColor="text1"/>
                <w:kern w:val="0"/>
                <w:szCs w:val="22"/>
                <w:lang w:val="en-US"/>
                <w14:ligatures w14:val="none"/>
              </w:rPr>
              <w:t xml:space="preserve"> plus any elevated troponin judged ischaemic without a non-ischaemic cause; thresholds TnT ≥ 30 ng/L, hsTnT 20 to &lt; 65 ng/L with an absolute change ≥ 5 ng/L, or hsTnT ≥ 65 ng/L.</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7828CB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57E48517"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1BD1AB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2024-Nicklas</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EB6BE3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bookmarkStart w:id="2" w:name="OLE_LINK7"/>
            <w:r w:rsidRPr="002F1DCC">
              <w:rPr>
                <w:rFonts w:ascii="Times New Roman" w:eastAsia="Times New Roman" w:hAnsi="Times New Roman" w:cs="Times New Roman"/>
                <w:color w:val="000000" w:themeColor="text1"/>
                <w:kern w:val="0"/>
                <w:szCs w:val="22"/>
                <w:lang w:val="en-US"/>
                <w14:ligatures w14:val="none"/>
              </w:rPr>
              <w:t xml:space="preserve">TnT </w:t>
            </w:r>
            <w:r w:rsidRPr="002F1DCC">
              <w:rPr>
                <w:rFonts w:ascii="Times New Roman" w:hAnsi="Times New Roman" w:cs="Times New Roman"/>
                <w:color w:val="000000" w:themeColor="text1"/>
                <w:kern w:val="0"/>
                <w:szCs w:val="22"/>
                <w:lang w:val="en-US"/>
                <w14:ligatures w14:val="none"/>
              </w:rPr>
              <w:t xml:space="preserve">above the </w:t>
            </w:r>
            <w:r w:rsidRPr="002F1DCC">
              <w:rPr>
                <w:rFonts w:ascii="Times New Roman" w:eastAsia="Times New Roman" w:hAnsi="Times New Roman" w:cs="Times New Roman"/>
                <w:color w:val="000000" w:themeColor="text1"/>
                <w:kern w:val="0"/>
                <w:szCs w:val="22"/>
                <w:lang w:val="en-US"/>
                <w14:ligatures w14:val="none"/>
              </w:rPr>
              <w:t>99th percentile plus relative rise</w:t>
            </w:r>
            <w:bookmarkEnd w:id="2"/>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3AD093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TnT &gt; 99th-percentile URL (14 ng/L) with a ≥ 60% rise if baseline ≤ 14 ng/L, or a ≥ 20% rise if baseline &gt; 14 ng/L.</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0487CB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 days after surgery</w:t>
            </w:r>
          </w:p>
        </w:tc>
      </w:tr>
      <w:tr w:rsidR="0005713D" w:rsidRPr="002F1DCC" w14:paraId="4CBB8A2D"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4D2A7A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2024-Bergholz (IMPROVE-PILOT)</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077C6B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TnT </w:t>
            </w:r>
            <w:r w:rsidRPr="002F1DCC">
              <w:rPr>
                <w:rFonts w:ascii="Times New Roman" w:hAnsi="Times New Roman" w:cs="Times New Roman"/>
                <w:color w:val="000000" w:themeColor="text1"/>
                <w:kern w:val="0"/>
                <w:szCs w:val="22"/>
                <w:lang w:val="en-US"/>
                <w14:ligatures w14:val="none"/>
              </w:rPr>
              <w:t xml:space="preserve">above the </w:t>
            </w:r>
            <w:r w:rsidRPr="002F1DCC">
              <w:rPr>
                <w:rFonts w:ascii="Times New Roman" w:eastAsia="Times New Roman" w:hAnsi="Times New Roman" w:cs="Times New Roman"/>
                <w:color w:val="000000" w:themeColor="text1"/>
                <w:kern w:val="0"/>
                <w:szCs w:val="22"/>
                <w:lang w:val="en-US"/>
                <w14:ligatures w14:val="none"/>
              </w:rPr>
              <w:t>99th percentile plus relative rise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E0FCBD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Troponin &gt; 99th-percentile URL (14 ng/L) with a ≥ 50% rise if baseline below the URL, or a ≥ 20% rise if baseline above the URL.</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F0B39F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 days after surgery</w:t>
            </w:r>
          </w:p>
        </w:tc>
      </w:tr>
      <w:tr w:rsidR="0005713D" w:rsidRPr="002F1DCC" w14:paraId="2B2498A6"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1B0CB3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2025-Zhao</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67017C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Troponin rise plus absolute peak</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54C11B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hs-TnT: rise ≥ 5 ng/L from baseline with a peak ≥ 20 ng/L; other assays: ≥ 20% rise with a peak above the URL.</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2517C9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1FEC0E09"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600E73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2025-Kant</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BB299F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ICD-10 coding</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DCA98E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Myocardial infarction defined from ICD-10 registrations.</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05820B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r>
      <w:tr w:rsidR="0005713D" w:rsidRPr="002F1DCC" w14:paraId="6956EB55"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DE324E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2025-Saugel (IMPROVE-MULTI)</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E0C274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Fourth Universal Definition of MI (2018)</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34CD6A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Rise in high-sensitivity troponin meeting the Fourth Universal Definition of myocardial injury or infarction associated with non-cardiac procedures, or a myocardial infarction.</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5D4373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7</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r w:rsidR="0005713D" w:rsidRPr="002F1DCC" w14:paraId="6705BDAB"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68EF81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2025-Wang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5D1616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cTn 99th percentile (MINS)</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C918ED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At least one postoperative cTn concentration above the 99th-percentile URL of the assay.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721CEC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48 h</w:t>
            </w:r>
          </w:p>
        </w:tc>
      </w:tr>
      <w:tr w:rsidR="0005713D" w:rsidRPr="002F1DCC" w14:paraId="5434261F" w14:textId="77777777" w:rsidTr="002F1DCC">
        <w:tc>
          <w:tcPr>
            <w:tcW w:w="5000" w:type="pct"/>
            <w:gridSpan w:val="4"/>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24A373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Postoperative delirium (POD)</w:t>
            </w:r>
          </w:p>
        </w:tc>
      </w:tr>
      <w:tr w:rsidR="0005713D" w:rsidRPr="002F1DCC" w14:paraId="587E860B"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FA74C8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2018-Langer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02EB12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CAM-ICU plus clinical diagnosis</w:t>
            </w:r>
          </w:p>
          <w:p w14:paraId="1A4EF92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lastRenderedPageBreak/>
              <w:t>once daily</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2B98B7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lastRenderedPageBreak/>
              <w:t>CAM-ICU once daily; clinically documented delirium also counted as positive.</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3290A5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7</w:t>
            </w:r>
            <w:r w:rsidRPr="002F1DCC">
              <w:rPr>
                <w:rFonts w:ascii="Times New Roman" w:eastAsia="Times New Roman" w:hAnsi="Times New Roman" w:cs="Times New Roman"/>
                <w:color w:val="000000" w:themeColor="text1"/>
                <w:kern w:val="0"/>
                <w:szCs w:val="22"/>
                <w:lang w:val="en-US"/>
                <w14:ligatures w14:val="none"/>
              </w:rPr>
              <w:t xml:space="preserve"> days after surgery</w:t>
            </w:r>
            <w:r w:rsidRPr="002F1DCC">
              <w:rPr>
                <w:rFonts w:ascii="Times New Roman" w:hAnsi="Times New Roman" w:cs="Times New Roman"/>
                <w:color w:val="000000" w:themeColor="text1"/>
                <w:kern w:val="0"/>
                <w:szCs w:val="22"/>
                <w:lang w:val="en-US"/>
                <w14:ligatures w14:val="none"/>
              </w:rPr>
              <w:t xml:space="preserve"> </w:t>
            </w:r>
            <w:r w:rsidRPr="002F1DCC">
              <w:rPr>
                <w:rFonts w:ascii="Times New Roman" w:eastAsia="Times New Roman" w:hAnsi="Times New Roman" w:cs="Times New Roman"/>
                <w:color w:val="000000" w:themeColor="text1"/>
                <w:kern w:val="0"/>
                <w:szCs w:val="22"/>
                <w:lang w:val="en-US"/>
                <w14:ligatures w14:val="none"/>
              </w:rPr>
              <w:t>or until discharge</w:t>
            </w:r>
          </w:p>
        </w:tc>
      </w:tr>
      <w:tr w:rsidR="0005713D" w:rsidRPr="002F1DCC" w14:paraId="02A361CA"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8E9370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2020-Xu</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5F1E38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CAM-CR (cut-off &gt; 22)</w:t>
            </w:r>
          </w:p>
          <w:p w14:paraId="5BB1E0B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once daily</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207D63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CAM-CR (11 items, 0–4 each); &lt; 19 no delirium, 20–22 suspected, &gt; 22 delirium.</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1B25CE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 days after surgery</w:t>
            </w:r>
          </w:p>
        </w:tc>
      </w:tr>
      <w:tr w:rsidR="0005713D" w:rsidRPr="002F1DCC" w14:paraId="43B40221"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0EB419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2021-Hu</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C41564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CAM-ICU</w:t>
            </w:r>
          </w:p>
          <w:p w14:paraId="21984A7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twice daily</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A6CD11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CAM-ICU twice daily (08:00–10:00 and 18:00–20:00).</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B9EBC8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7</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r w:rsidR="0005713D" w:rsidRPr="002F1DCC" w14:paraId="634EAD9D"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BC2798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2022-Zhang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EBD7CE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CAM-CR (cut-off &gt; 22)</w:t>
            </w:r>
          </w:p>
          <w:p w14:paraId="666D4E4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twice daily</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A60177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CAM-CR twice daily by a trained researcher; 11 items, 0–4 each (maximum 44); &gt; 22 indicates delirium.</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371E44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5</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r w:rsidR="0005713D" w:rsidRPr="002F1DCC" w14:paraId="63C87620"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C67409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2024-Nicklas</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026CC6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CAM-ICU or ICDSC</w:t>
            </w:r>
          </w:p>
          <w:p w14:paraId="6B7C97E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 xml:space="preserve">once </w:t>
            </w:r>
            <w:r w:rsidRPr="002F1DCC">
              <w:rPr>
                <w:rFonts w:ascii="Times New Roman" w:eastAsia="Times New Roman" w:hAnsi="Times New Roman" w:cs="Times New Roman"/>
                <w:color w:val="000000" w:themeColor="text1"/>
                <w:kern w:val="0"/>
                <w:szCs w:val="22"/>
                <w:lang w:val="en-US"/>
                <w14:ligatures w14:val="none"/>
              </w:rPr>
              <w:t>between POD 3 and 7</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5DC8F3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CAM-ICU assessed once; ICDSC used while the patient remained in the ICU.</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96F742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Once between 3 and 7</w:t>
            </w:r>
            <w:r w:rsidRPr="002F1DCC">
              <w:rPr>
                <w:rFonts w:ascii="Times New Roman" w:hAnsi="Times New Roman" w:cs="Times New Roman"/>
                <w:color w:val="000000" w:themeColor="text1"/>
                <w:kern w:val="0"/>
                <w:szCs w:val="22"/>
                <w:lang w:val="en-US"/>
                <w14:ligatures w14:val="none"/>
              </w:rPr>
              <w:t xml:space="preserve"> days after surgery</w:t>
            </w:r>
          </w:p>
        </w:tc>
      </w:tr>
      <w:tr w:rsidR="0005713D" w:rsidRPr="002F1DCC" w14:paraId="6DC3E246"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C68A80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2025-Pang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602FEC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CAM-ICU (Chinese version)</w:t>
            </w:r>
          </w:p>
          <w:p w14:paraId="6BF57AF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daily frequency unknown</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37AA7F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Chinese version of CAM-ICU; assessment timing not specified in the report.</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389EFD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r>
      <w:tr w:rsidR="0005713D" w:rsidRPr="002F1DCC" w14:paraId="1748A578"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ECC945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2023-Marcucci (POISE-3)</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963794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w:t>
            </w:r>
          </w:p>
          <w:p w14:paraId="5830E1C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daily frequency unknown</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65162B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Delirium considered present if ≥ 1 CAM assessment met the diagnostic criteria.</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B4593E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 days after surgery</w:t>
            </w:r>
          </w:p>
        </w:tc>
      </w:tr>
      <w:tr w:rsidR="0005713D" w:rsidRPr="002F1DCC" w14:paraId="349602D0"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900B32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2025-Zhao</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AE6A33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 or CAM-ICU, or specialist diagnosis</w:t>
            </w:r>
          </w:p>
          <w:p w14:paraId="4D10FF2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daily frequency unknown</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0184FA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Diagnosis by a neurologist or psychiatrist, or by researchers using CAM or CAM-ICU.</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FB4C27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5AF63C0F"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9F6B16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2025-Huang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8001C4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w:t>
            </w:r>
          </w:p>
          <w:p w14:paraId="0749864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twice daily</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AB0BA9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CAM twice daily (08:00–10:00 and 18:00–20:00).</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8F21AA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Until hospital discharge</w:t>
            </w:r>
          </w:p>
        </w:tc>
      </w:tr>
      <w:tr w:rsidR="0005713D" w:rsidRPr="002F1DCC" w14:paraId="72035862"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36AE3C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2024-Bergholz (IMPROVE-PILOT)</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6B19C2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3D-CAM or CAM-ICU</w:t>
            </w:r>
          </w:p>
          <w:p w14:paraId="06BFF02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once daily</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C6D41F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3D-CAM or CAM-ICU assessed daily.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68972B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 days after surgery</w:t>
            </w:r>
          </w:p>
        </w:tc>
      </w:tr>
      <w:tr w:rsidR="0005713D" w:rsidRPr="002F1DCC" w14:paraId="303D5017" w14:textId="77777777" w:rsidTr="002F1DCC">
        <w:tc>
          <w:tcPr>
            <w:tcW w:w="5000" w:type="pct"/>
            <w:gridSpan w:val="4"/>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562896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Acute kidney injury (AKI)</w:t>
            </w:r>
          </w:p>
        </w:tc>
      </w:tr>
      <w:tr w:rsidR="0005713D" w:rsidRPr="002F1DCC" w14:paraId="46504F8F"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B3653E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2017-Futier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E3CAA3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RIFLE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859F04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RIFLE class Risk or higher.</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D63521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7</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r w:rsidR="0005713D" w:rsidRPr="002F1DCC" w14:paraId="0FC24031"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20904A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2017-Wu</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F0557F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 (creatinine)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B0D310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SCr increase &gt; 50% or &gt; 0.3 mg/dL from baseline.</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41F4C6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7</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r w:rsidR="0005713D" w:rsidRPr="002F1DCC" w14:paraId="2203C817"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A25638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2021-Wanner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7690A8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AKIN</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3C7173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Cs w:val="22"/>
                <w:lang w:val="en-US"/>
                <w14:ligatures w14:val="none"/>
              </w:rPr>
              <w:t>an abrupt (within 48 hours) reduction in kidney defined as fulfillment of a</w:t>
            </w:r>
            <w:r w:rsidRPr="002F1DCC">
              <w:rPr>
                <w:rFonts w:ascii="Times New Roman" w:eastAsia="Times New Roman" w:hAnsi="Times New Roman" w:cs="Times New Roman"/>
                <w:color w:val="000000" w:themeColor="text1"/>
                <w:kern w:val="0"/>
                <w:szCs w:val="22"/>
                <w:lang w:val="en-US"/>
                <w14:ligatures w14:val="none"/>
              </w:rPr>
              <w:t xml:space="preserve">ny of: absolute </w:t>
            </w:r>
            <w:r w:rsidRPr="002F1DCC">
              <w:rPr>
                <w:rFonts w:ascii="Times New Roman" w:eastAsia="Times New Roman" w:hAnsi="Times New Roman" w:cs="Times New Roman"/>
                <w:color w:val="000000" w:themeColor="text1"/>
                <w:kern w:val="0"/>
                <w:szCs w:val="22"/>
                <w:lang w:val="en-US"/>
                <w14:ligatures w14:val="none"/>
              </w:rPr>
              <w:lastRenderedPageBreak/>
              <w:t>SCr rise &gt; 26.4 µmol/L; &gt; 50% rise; or oliguria &lt; 0.5 mL/kg/h over 6 h.</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7D1ADC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lastRenderedPageBreak/>
              <w:t>within 30 days after surgery</w:t>
            </w:r>
          </w:p>
        </w:tc>
      </w:tr>
      <w:tr w:rsidR="0005713D" w:rsidRPr="002F1DCC" w14:paraId="4496C888"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61FE15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2023-Marcucci (POISE-3)</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013946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KDIGO-type (creatinine)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A31F5A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SCr rise ≥ 26.5 µmol/L (≥ 0.3 mg/dL) within 48 h, or ≥ 50% within 7 days.</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9AB1D7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48 h / 7 days</w:t>
            </w:r>
          </w:p>
        </w:tc>
      </w:tr>
      <w:tr w:rsidR="0005713D" w:rsidRPr="002F1DCC" w14:paraId="1DFEF95D"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797E2D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2024-Nicklas</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8E75A3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Creatinine only (≥ 50%) or RRT</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E7C6AE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SCr ≥ 50% rise from baseline, or need for renal replacement therapy; no urine-output criterion.</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61D52D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 days after surgery</w:t>
            </w:r>
          </w:p>
        </w:tc>
      </w:tr>
      <w:tr w:rsidR="0005713D" w:rsidRPr="002F1DCC" w14:paraId="4145F70B"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9B12BA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2024-Bergholz (IMPROVE-PILOT)</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CE5128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Creatinine only (≥ 50%)</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B04322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Postoperative creatinine ≥ 50% rise from baseline; no urine-output criterion.</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B05316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 days after surgery</w:t>
            </w:r>
          </w:p>
        </w:tc>
      </w:tr>
      <w:tr w:rsidR="0005713D" w:rsidRPr="002F1DCC" w14:paraId="5E86EECC"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4232FB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2025-Pang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4EB888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 (creatinine and urine output)</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AE2851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SCr &gt; 0.3 mg/dL within 48 h, or &gt; 1.5× baseline within 7 days, or urine output &lt; 0.5 mL/kg/h for &gt; 6 h.</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F1833C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48 h / 7 days</w:t>
            </w:r>
          </w:p>
        </w:tc>
      </w:tr>
      <w:tr w:rsidR="0005713D" w:rsidRPr="002F1DCC" w14:paraId="2781C02E"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983E70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2025-Zhao</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443702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 (creatinine, staged)</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A327C3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 creatinine criteria with full staging (Stage 1–3, including renal replacement therapy).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DD4CB2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1EBF40A9"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7B65C9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2025-Fang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A0B937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KDIGO-type (creatinine)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925A21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SCr increase &gt; 50% or &gt; 0.3 mg/dL from baseline.</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3C8F08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7</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r w:rsidR="0005713D" w:rsidRPr="002F1DCC" w14:paraId="083C042B"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A2044E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2025-Kant</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300EE0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 (creatinine only) plus ICD-10</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5B913C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 using serum creatinine only (urine output unavailable) plus ICD-10 coding;</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839B0A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7</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r w:rsidR="0005713D" w:rsidRPr="002F1DCC" w14:paraId="2130CF64"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17889E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2025-Saugel (IMPROVE-MULTI)</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84EA00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Creatinine only (≥ 50%) or KRT</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B5D3EB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SCr ≥ 50% rise from baseline, or need for kidney replacement therapy.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33B336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7</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r w:rsidR="0005713D" w:rsidRPr="002F1DCC" w14:paraId="7A942289"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890ED4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2025-Wang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AEC386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 (creatinine)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33C9F4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SCr ≥ 0.3 mg/dL within 48 h, or ≥ 50% from baseline within 7 days; peak-to-valley difference applied.</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7B8760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48 h / 7 days</w:t>
            </w:r>
          </w:p>
        </w:tc>
      </w:tr>
      <w:tr w:rsidR="0005713D" w:rsidRPr="002F1DCC" w14:paraId="21025D65"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FFDCCB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2026-Li</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6A283E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KDIGO-type (creatinine)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3AC354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Absolute SCr rise ≥ 26.5 µmol/L (0.3 mg/dL) within 48 h, or 50% relative rise within 7 days.</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0859DC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48 h / 7 days</w:t>
            </w:r>
          </w:p>
        </w:tc>
      </w:tr>
      <w:tr w:rsidR="0005713D" w:rsidRPr="002F1DCC" w14:paraId="22F68C1B" w14:textId="77777777" w:rsidTr="002F1DCC">
        <w:tc>
          <w:tcPr>
            <w:tcW w:w="5000" w:type="pct"/>
            <w:gridSpan w:val="4"/>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2C5A27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Mortality</w:t>
            </w:r>
          </w:p>
        </w:tc>
      </w:tr>
      <w:tr w:rsidR="0005713D" w:rsidRPr="002F1DCC" w14:paraId="7BFC1410"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769B40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2017-Futier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D2BA68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E9FDE1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 mortality.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618AEF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30 days</w:t>
            </w:r>
          </w:p>
        </w:tc>
      </w:tr>
      <w:tr w:rsidR="0005713D" w:rsidRPr="002F1DCC" w14:paraId="7E1B1434"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09A92B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2017-Wu</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4FB355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43A5A0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 mortality.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D9C3E9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30 days</w:t>
            </w:r>
          </w:p>
        </w:tc>
      </w:tr>
      <w:tr w:rsidR="0005713D" w:rsidRPr="002F1DCC" w14:paraId="3551EABE"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FE302C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lastRenderedPageBreak/>
              <w:t>2018-Langer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2EF72A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70F289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B952FA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t>
            </w:r>
          </w:p>
        </w:tc>
      </w:tr>
      <w:tr w:rsidR="0005713D" w:rsidRPr="002F1DCC" w14:paraId="56AD484D"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2A7430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2021-Hu</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5C352B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149E56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 mortality.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AF2FBA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7 days</w:t>
            </w:r>
          </w:p>
        </w:tc>
      </w:tr>
      <w:tr w:rsidR="0005713D" w:rsidRPr="002F1DCC" w14:paraId="24BDBACF"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0BB9DF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2021-Wanner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8A71CF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E0DFCB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 mortality.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9A547B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30 days</w:t>
            </w:r>
          </w:p>
        </w:tc>
      </w:tr>
      <w:tr w:rsidR="0005713D" w:rsidRPr="002F1DCC" w14:paraId="086C644B"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DB463E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2023-Marcucci (POISE-3)</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C6A54F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6494CD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 death.</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5166D5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30 days</w:t>
            </w:r>
          </w:p>
        </w:tc>
      </w:tr>
      <w:tr w:rsidR="0005713D" w:rsidRPr="002F1DCC" w14:paraId="2C04AF5D"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15036A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2024-Nicklas</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D4CD73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7E853A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 mortality.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6DF351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90 days</w:t>
            </w:r>
          </w:p>
        </w:tc>
      </w:tr>
      <w:tr w:rsidR="0005713D" w:rsidRPr="002F1DCC" w14:paraId="15669D19"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AC84DD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2025-Pang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15FF14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8B7EA0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Mortality.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29A52C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90 days</w:t>
            </w:r>
          </w:p>
        </w:tc>
      </w:tr>
      <w:tr w:rsidR="0005713D" w:rsidRPr="002F1DCC" w14:paraId="68CC31E7"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CA584C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2025-Zhao</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4E37EB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68103B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 death.</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E77E65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30 days</w:t>
            </w:r>
          </w:p>
        </w:tc>
      </w:tr>
      <w:tr w:rsidR="0005713D" w:rsidRPr="002F1DCC" w14:paraId="2EF57CC6"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CA361C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2025-Kant</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2EA061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6F8D6F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 mortality.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35B41B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6 months</w:t>
            </w:r>
          </w:p>
        </w:tc>
      </w:tr>
      <w:tr w:rsidR="0005713D" w:rsidRPr="002F1DCC" w14:paraId="32D5E04F"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AC0899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2025-Saugel (IMPROVE-MULTI)</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76BB25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9A55B7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 mortality.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7B2D65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7 </w:t>
            </w:r>
            <w:r w:rsidRPr="002F1DCC">
              <w:rPr>
                <w:rFonts w:ascii="Times New Roman" w:hAnsi="Times New Roman" w:cs="Times New Roman"/>
                <w:color w:val="000000" w:themeColor="text1"/>
                <w:kern w:val="0"/>
                <w:szCs w:val="22"/>
                <w:lang w:val="en-US"/>
                <w14:ligatures w14:val="none"/>
              </w:rPr>
              <w:t>days</w:t>
            </w:r>
          </w:p>
        </w:tc>
      </w:tr>
      <w:tr w:rsidR="0005713D" w:rsidRPr="002F1DCC" w14:paraId="44536A0C"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20B179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2025-Wang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E9483A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All-cause</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28B4CF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Mortality.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513D15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1 year</w:t>
            </w:r>
          </w:p>
        </w:tc>
      </w:tr>
      <w:tr w:rsidR="0005713D" w:rsidRPr="002F1DCC" w14:paraId="517A6CD2"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F182DF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2025-Huang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DA8543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DB49D7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50AFC3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t>
            </w:r>
          </w:p>
        </w:tc>
      </w:tr>
      <w:tr w:rsidR="0005713D" w:rsidRPr="002F1DCC" w14:paraId="7FDB9B02" w14:textId="77777777" w:rsidTr="002F1DCC">
        <w:tc>
          <w:tcPr>
            <w:tcW w:w="5000" w:type="pct"/>
            <w:gridSpan w:val="4"/>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0AD9FE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Stroke</w:t>
            </w:r>
          </w:p>
        </w:tc>
      </w:tr>
      <w:tr w:rsidR="0005713D" w:rsidRPr="002F1DCC" w14:paraId="359B9E27"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6D689D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2017-Futier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F740A4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Imaging-confirmed focal neurological deficit</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1BC011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Acute new focal neurological deficit confirmed by CT and/or MRI.</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482B66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w:t>
            </w:r>
          </w:p>
        </w:tc>
      </w:tr>
      <w:tr w:rsidR="0005713D" w:rsidRPr="002F1DCC" w14:paraId="3BB28C38"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E0EFBC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2017-Wu</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FDD272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ISOS</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233EFA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Per the International Surgical Outcome Study definitions.</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D7E273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r>
      <w:tr w:rsidR="0005713D" w:rsidRPr="002F1DCC" w14:paraId="4EA41E6C"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BBA1F2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2021-Wanner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E49063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focal neurological deficit &gt; 24 h</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2801B9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New embolic, thrombotic or haemorrhagic cerebrovascular event with motor, sensory or cognitive dysfunction persisting &gt; 24 h.</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7AE23E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w:t>
            </w:r>
          </w:p>
        </w:tc>
      </w:tr>
      <w:tr w:rsidR="0005713D" w:rsidRPr="002F1DCC" w14:paraId="2078BD14"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92FF65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2023-Marcucci (POISE-3)</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00A510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focal neurological deficit &gt; 24 h, sub-classified</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6D3692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New focal neurological deficit of vascular origin lasting &gt; 24 h or leading to death, sub-classified into haemorrhagic and non-haemorrhagic types with neuroimaging or autopsy confirmation.</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77722A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r>
      <w:tr w:rsidR="0005713D" w:rsidRPr="002F1DCC" w14:paraId="4E39160C"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2FA776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2025-Zhao</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DC309F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focal neurological deficit &gt; 24 h</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E627CB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New-onset focal neurological deficit of suspected vascular origin, with symptoms or signs lasting &gt; 24 h.</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357112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w:t>
            </w:r>
          </w:p>
        </w:tc>
      </w:tr>
      <w:tr w:rsidR="0005713D" w:rsidRPr="002F1DCC" w14:paraId="4CFE58AC"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F0FBC3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lastRenderedPageBreak/>
              <w:t>2026-Li</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9B5C0B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CADE6E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67FB98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t>
            </w:r>
          </w:p>
        </w:tc>
      </w:tr>
      <w:tr w:rsidR="0005713D" w:rsidRPr="002F1DCC" w14:paraId="17E84A2E" w14:textId="77777777" w:rsidTr="002F1DCC">
        <w:tc>
          <w:tcPr>
            <w:tcW w:w="5000" w:type="pct"/>
            <w:gridSpan w:val="4"/>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49CA16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Heart failure</w:t>
            </w:r>
          </w:p>
        </w:tc>
      </w:tr>
      <w:tr w:rsidR="0005713D" w:rsidRPr="002F1DCC" w14:paraId="1ECF2B0B"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57279D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2017-Futier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3B7F5C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Clinical plus imaging</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35BDB1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Acute heart failure on clinical history and examination, with consistent cardiac ultrasonography.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5F18D8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r>
      <w:tr w:rsidR="0005713D" w:rsidRPr="002F1DCC" w14:paraId="70557FBC"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CB304E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2021-Hu</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AD0362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Clinical (unspecified)</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0BAA2B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Heart failure; specific criteria not stated.</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3019FA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7</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r w:rsidR="0005713D" w:rsidRPr="002F1DCC" w14:paraId="4FBAF4CC"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B123B8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2021-Wanner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5814CA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Discharge-letter diagnosis</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C659FF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Diagnosis recorded on the discharge letter (e.g. pulmonary oedema, congestive heart failure).</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1B7B58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50F5D448"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24E154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2025-Zhao</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892C5C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Clinical plus radiographic</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1B9D7E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1 clinical sign (raised jugular venous pressure, rales, or a third heart sound) plus ≥ 1 radiographic finding (vascular redistribution, interstitial or alveolar pulmonary oedema).</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19CA1B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326851F2" w14:textId="77777777" w:rsidTr="002F1DCC">
        <w:tc>
          <w:tcPr>
            <w:tcW w:w="5000" w:type="pct"/>
            <w:gridSpan w:val="4"/>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1DDBB5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Acute respiratory distress syndrome (ARDS)</w:t>
            </w:r>
          </w:p>
        </w:tc>
      </w:tr>
      <w:tr w:rsidR="0005713D" w:rsidRPr="002F1DCC" w14:paraId="6DE07652"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71C6EE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2017-Futier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8D6A6E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AECC criteria</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DCD946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American–European Consensus Conference criteria.</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2C22A6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4F1C4106"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72812A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2025-Zhao</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75FE8B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Berlin-type criteria</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5702EE3"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Bilateral opacities not fully explained by effusion, cardiac cause or fluid overload, with PaO₂/FiO₂ severity staging and PEEP/CPAP ≥ 5 cmH₂O.</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BC3BC5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5B44B07D"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9F755A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2026-Li</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09EA72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17FBD8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C9640E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t>
            </w:r>
          </w:p>
        </w:tc>
      </w:tr>
      <w:tr w:rsidR="0005713D" w:rsidRPr="002F1DCC" w14:paraId="5582EECC" w14:textId="77777777" w:rsidTr="002F1DCC">
        <w:tc>
          <w:tcPr>
            <w:tcW w:w="5000" w:type="pct"/>
            <w:gridSpan w:val="4"/>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5338BB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Pneumonia</w:t>
            </w:r>
          </w:p>
        </w:tc>
      </w:tr>
      <w:tr w:rsidR="0005713D" w:rsidRPr="002F1DCC" w14:paraId="0D5798C8"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B0FFEB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2017-Futier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FABC74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Radiographic plus clinical</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C0931A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New or progressive infiltrates on chest radiograph plus ≥ 2 of: fever ≥ 38.5 °C or hypothermia &lt; 36 °C; leukocytosis ≥ 12 000/mm³ or leukopenia &lt; 4 000/mm³.</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7C3CB3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51B210C7"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48CF30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2017-Wu</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E54C44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ISOS</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4FB15E2"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Per the International Surgical Outcome Study definitions.</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F83787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r>
      <w:tr w:rsidR="0005713D" w:rsidRPr="002F1DCC" w14:paraId="623F88CE"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73A7311"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2025-Zhao</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85D25A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Radiographic plus clinical, four-criterion</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87B10C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Chest-radiograph requirement; radiographic infiltrate, consolidation or cavitation; ≥ 1 clinical sign (fever, leukocytosis/leukopenia, or new mental change if &gt; 70 y); plus respiratory criteria (purulent sputum, worsening cough or dyspnoea, abnormal auscultation, or deteriorating ventilation).</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4404FB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6D765BB2"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A7038C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2025-Fang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E3FF4E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ISOS</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6A21E7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Per the International Surgical Outcome Study definitions.</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4478E858"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r>
      <w:tr w:rsidR="0005713D" w:rsidRPr="002F1DCC" w14:paraId="04AC9F30"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0A8B2C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2026-Li</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2E034F9"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E5CE77C"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D294E4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t>
            </w:r>
          </w:p>
        </w:tc>
      </w:tr>
      <w:tr w:rsidR="0005713D" w:rsidRPr="002F1DCC" w14:paraId="2119C59B" w14:textId="77777777" w:rsidTr="002F1DCC">
        <w:tc>
          <w:tcPr>
            <w:tcW w:w="5000" w:type="pct"/>
            <w:gridSpan w:val="4"/>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D639A0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color w:val="000000" w:themeColor="text1"/>
                <w:kern w:val="0"/>
                <w:szCs w:val="22"/>
                <w:lang w:val="en-US"/>
                <w14:ligatures w14:val="none"/>
              </w:rPr>
              <w:t>Surgical site infection (SSI)</w:t>
            </w:r>
          </w:p>
        </w:tc>
      </w:tr>
      <w:tr w:rsidR="0005713D" w:rsidRPr="002F1DCC" w14:paraId="1C3088E5"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74BE9FE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lastRenderedPageBreak/>
              <w:t>2017-Futier</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50093D8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CDC criteria</w:t>
            </w:r>
            <w:r w:rsidRPr="002F1DCC">
              <w:rPr>
                <w:rFonts w:ascii="Times New Roman" w:hAnsi="Times New Roman" w:cs="Times New Roman"/>
                <w:color w:val="000000" w:themeColor="text1"/>
                <w:kern w:val="0"/>
                <w:szCs w:val="22"/>
                <w:lang w:val="en-US"/>
                <w14:ligatures w14:val="none"/>
              </w:rPr>
              <w:t xml:space="preserve">, </w:t>
            </w:r>
            <w:r w:rsidRPr="002F1DCC">
              <w:rPr>
                <w:rFonts w:ascii="Times New Roman" w:eastAsia="Times New Roman" w:hAnsi="Times New Roman" w:cs="Times New Roman"/>
                <w:color w:val="000000" w:themeColor="text1"/>
                <w:kern w:val="0"/>
                <w:szCs w:val="22"/>
                <w:lang w:val="en-US"/>
                <w14:ligatures w14:val="none"/>
              </w:rPr>
              <w:t>superficial, deep, and organ-space infections</w:t>
            </w:r>
            <w:r w:rsidRPr="002F1DCC">
              <w:rPr>
                <w:rFonts w:ascii="Times New Roman" w:hAnsi="Times New Roman" w:cs="Times New Roman"/>
                <w:color w:val="000000" w:themeColor="text1"/>
                <w:kern w:val="0"/>
                <w:szCs w:val="22"/>
                <w:lang w:val="en-US"/>
                <w14:ligatures w14:val="none"/>
              </w:rPr>
              <w:t xml:space="preserve"> included</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D8A515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CDC criteria; superficial, deep and organ/space infections implicitly encompassed but not reported separately.</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E60372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7E4B9EF3"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0D0075B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2017-Wu</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5B17E24"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ISOS</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5412AE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Per the International Surgical Outcome Study definitions; subtypes not specified.</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017DB7A"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r>
      <w:tr w:rsidR="0005713D" w:rsidRPr="002F1DCC" w14:paraId="7CA1E1E5"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61DC2FE"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2025-Zhao</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ECE67B6"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CDC-type, superficial, deep, and organ-space infections defined</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F6D780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Superficial, deep and organ/space surgical site infections each explicitly defined.</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5A16B6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within 30 days after surgery</w:t>
            </w:r>
          </w:p>
        </w:tc>
      </w:tr>
      <w:tr w:rsidR="0005713D" w:rsidRPr="002F1DCC" w14:paraId="681C9929" w14:textId="77777777" w:rsidTr="002F1DCC">
        <w:tc>
          <w:tcPr>
            <w:tcW w:w="621"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69641715"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2025-Fang</w:t>
            </w:r>
          </w:p>
        </w:tc>
        <w:tc>
          <w:tcPr>
            <w:tcW w:w="882"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3FD67B70"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ISOS</w:t>
            </w:r>
          </w:p>
        </w:tc>
        <w:tc>
          <w:tcPr>
            <w:tcW w:w="2618"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224A465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Per the International Surgical Outcome Study definitions; subtypes not specified.</w:t>
            </w:r>
          </w:p>
        </w:tc>
        <w:tc>
          <w:tcPr>
            <w:tcW w:w="880" w:type="pct"/>
            <w:tcBorders>
              <w:top w:val="none" w:sz="0" w:space="0" w:color="FFFFFF"/>
              <w:left w:val="none" w:sz="0" w:space="0" w:color="FFFFFF"/>
              <w:bottom w:val="none" w:sz="0" w:space="0" w:color="FFFFFF"/>
              <w:right w:val="none" w:sz="0" w:space="0" w:color="FFFFFF"/>
            </w:tcBorders>
            <w:tcMar>
              <w:top w:w="50" w:type="dxa"/>
              <w:left w:w="90" w:type="dxa"/>
              <w:bottom w:w="50" w:type="dxa"/>
              <w:right w:w="90" w:type="dxa"/>
            </w:tcMar>
          </w:tcPr>
          <w:p w14:paraId="167A2CF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Not reported</w:t>
            </w:r>
          </w:p>
        </w:tc>
      </w:tr>
      <w:tr w:rsidR="0005713D" w:rsidRPr="002F1DCC" w14:paraId="4B91E0F0" w14:textId="77777777" w:rsidTr="002F1DCC">
        <w:tc>
          <w:tcPr>
            <w:tcW w:w="621" w:type="pct"/>
            <w:tcBorders>
              <w:top w:val="none" w:sz="0" w:space="0" w:color="FFFFFF"/>
              <w:left w:val="none" w:sz="0" w:space="0" w:color="FFFFFF"/>
              <w:bottom w:val="single" w:sz="18" w:space="0" w:color="auto"/>
              <w:right w:val="none" w:sz="0" w:space="0" w:color="FFFFFF"/>
            </w:tcBorders>
            <w:tcMar>
              <w:top w:w="50" w:type="dxa"/>
              <w:left w:w="90" w:type="dxa"/>
              <w:bottom w:w="50" w:type="dxa"/>
              <w:right w:w="90" w:type="dxa"/>
            </w:tcMar>
          </w:tcPr>
          <w:p w14:paraId="2C2C9D07"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2025-Saugel (IMPROVE-MULTI)</w:t>
            </w:r>
          </w:p>
        </w:tc>
        <w:tc>
          <w:tcPr>
            <w:tcW w:w="882" w:type="pct"/>
            <w:tcBorders>
              <w:top w:val="none" w:sz="0" w:space="0" w:color="FFFFFF"/>
              <w:left w:val="none" w:sz="0" w:space="0" w:color="FFFFFF"/>
              <w:bottom w:val="single" w:sz="18" w:space="0" w:color="auto"/>
              <w:right w:val="none" w:sz="0" w:space="0" w:color="FFFFFF"/>
            </w:tcBorders>
            <w:tcMar>
              <w:top w:w="50" w:type="dxa"/>
              <w:left w:w="90" w:type="dxa"/>
              <w:bottom w:w="50" w:type="dxa"/>
              <w:right w:w="90" w:type="dxa"/>
            </w:tcMar>
          </w:tcPr>
          <w:p w14:paraId="4690D4EF"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StEP initiative</w:t>
            </w:r>
            <w:r w:rsidRPr="002F1DCC">
              <w:rPr>
                <w:rFonts w:ascii="Times New Roman" w:hAnsi="Times New Roman" w:cs="Times New Roman"/>
                <w:color w:val="000000" w:themeColor="text1"/>
                <w:kern w:val="0"/>
                <w:szCs w:val="22"/>
                <w:lang w:val="en-US"/>
                <w14:ligatures w14:val="none"/>
              </w:rPr>
              <w:t xml:space="preserve"> (</w:t>
            </w:r>
            <w:r w:rsidRPr="002F1DCC">
              <w:rPr>
                <w:rFonts w:ascii="Times New Roman" w:eastAsia="Times New Roman" w:hAnsi="Times New Roman" w:cs="Times New Roman"/>
                <w:color w:val="000000" w:themeColor="text1"/>
                <w:kern w:val="0"/>
                <w:szCs w:val="22"/>
                <w:lang w:val="en-US"/>
                <w14:ligatures w14:val="none"/>
              </w:rPr>
              <w:t xml:space="preserve">CDC-type, superficial, deep, and organ-space infections </w:t>
            </w:r>
            <w:r w:rsidRPr="002F1DCC">
              <w:rPr>
                <w:rFonts w:ascii="Times New Roman" w:hAnsi="Times New Roman" w:cs="Times New Roman"/>
                <w:color w:val="000000" w:themeColor="text1"/>
                <w:kern w:val="0"/>
                <w:szCs w:val="22"/>
                <w:lang w:val="en-US"/>
                <w14:ligatures w14:val="none"/>
              </w:rPr>
              <w:t>included)</w:t>
            </w:r>
          </w:p>
        </w:tc>
        <w:tc>
          <w:tcPr>
            <w:tcW w:w="2618" w:type="pct"/>
            <w:tcBorders>
              <w:top w:val="none" w:sz="0" w:space="0" w:color="FFFFFF"/>
              <w:left w:val="none" w:sz="0" w:space="0" w:color="FFFFFF"/>
              <w:bottom w:val="single" w:sz="18" w:space="0" w:color="auto"/>
              <w:right w:val="none" w:sz="0" w:space="0" w:color="FFFFFF"/>
            </w:tcBorders>
            <w:tcMar>
              <w:top w:w="50" w:type="dxa"/>
              <w:left w:w="90" w:type="dxa"/>
              <w:bottom w:w="50" w:type="dxa"/>
              <w:right w:w="90" w:type="dxa"/>
            </w:tcMar>
          </w:tcPr>
          <w:p w14:paraId="3D45A1ED"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Defined per the Standardised Endpoints in Perioperative Medicine (StEP) initiative; subtypes not specified.</w:t>
            </w:r>
          </w:p>
        </w:tc>
        <w:tc>
          <w:tcPr>
            <w:tcW w:w="880" w:type="pct"/>
            <w:tcBorders>
              <w:top w:val="none" w:sz="0" w:space="0" w:color="FFFFFF"/>
              <w:left w:val="none" w:sz="0" w:space="0" w:color="FFFFFF"/>
              <w:bottom w:val="single" w:sz="18" w:space="0" w:color="auto"/>
              <w:right w:val="none" w:sz="0" w:space="0" w:color="FFFFFF"/>
            </w:tcBorders>
            <w:tcMar>
              <w:top w:w="50" w:type="dxa"/>
              <w:left w:w="90" w:type="dxa"/>
              <w:bottom w:w="50" w:type="dxa"/>
              <w:right w:w="90" w:type="dxa"/>
            </w:tcMar>
          </w:tcPr>
          <w:p w14:paraId="3361D76B" w14:textId="77777777" w:rsidR="0005713D" w:rsidRPr="002F1DCC" w:rsidRDefault="0005713D" w:rsidP="0005713D">
            <w:pPr>
              <w:spacing w:after="0" w:line="24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 xml:space="preserve">within </w:t>
            </w:r>
            <w:r w:rsidRPr="002F1DCC">
              <w:rPr>
                <w:rFonts w:ascii="Times New Roman" w:hAnsi="Times New Roman" w:cs="Times New Roman"/>
                <w:color w:val="000000" w:themeColor="text1"/>
                <w:kern w:val="0"/>
                <w:szCs w:val="22"/>
                <w:lang w:val="en-US"/>
                <w14:ligatures w14:val="none"/>
              </w:rPr>
              <w:t>7</w:t>
            </w:r>
            <w:r w:rsidRPr="002F1DCC">
              <w:rPr>
                <w:rFonts w:ascii="Times New Roman" w:eastAsia="Times New Roman" w:hAnsi="Times New Roman" w:cs="Times New Roman"/>
                <w:color w:val="000000" w:themeColor="text1"/>
                <w:kern w:val="0"/>
                <w:szCs w:val="22"/>
                <w:lang w:val="en-US"/>
                <w14:ligatures w14:val="none"/>
              </w:rPr>
              <w:t xml:space="preserve"> days after surgery</w:t>
            </w:r>
          </w:p>
        </w:tc>
      </w:tr>
    </w:tbl>
    <w:p w14:paraId="366F3273" w14:textId="77777777" w:rsidR="0005713D" w:rsidRPr="002F1DCC" w:rsidRDefault="0005713D" w:rsidP="0005713D">
      <w:pPr>
        <w:spacing w:before="70" w:after="40" w:line="22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color w:val="000000" w:themeColor="text1"/>
          <w:kern w:val="0"/>
          <w:szCs w:val="22"/>
          <w:lang w:val="en-US"/>
          <w14:ligatures w14:val="none"/>
        </w:rPr>
        <w:t>Values are reported as stated in each trial; “Not reported” or “—” indicates the item was not specified in the source.</w:t>
      </w:r>
    </w:p>
    <w:p w14:paraId="62EF48C1" w14:textId="77777777" w:rsidR="0005713D" w:rsidRPr="002F1DCC" w:rsidRDefault="0005713D" w:rsidP="0005713D">
      <w:pPr>
        <w:spacing w:before="70" w:after="40" w:line="220" w:lineRule="auto"/>
        <w:rPr>
          <w:rFonts w:ascii="Times New Roman" w:hAnsi="Times New Roman" w:cs="Times New Roman"/>
          <w:color w:val="000000" w:themeColor="text1"/>
          <w:kern w:val="0"/>
          <w:szCs w:val="22"/>
          <w:lang w:val="en-US"/>
          <w14:ligatures w14:val="none"/>
        </w:rPr>
      </w:pPr>
      <w:r w:rsidRPr="002F1DCC">
        <w:rPr>
          <w:rFonts w:ascii="Times New Roman" w:eastAsia="Times New Roman" w:hAnsi="Times New Roman" w:cs="Times New Roman"/>
          <w:b/>
          <w:bCs/>
          <w:i/>
          <w:iCs/>
          <w:color w:val="000000" w:themeColor="text1"/>
          <w:kern w:val="0"/>
          <w:szCs w:val="22"/>
          <w:lang w:val="en-US"/>
          <w14:ligatures w14:val="none"/>
        </w:rPr>
        <w:t xml:space="preserve">Abbreviations: </w:t>
      </w:r>
      <w:r w:rsidRPr="002F1DCC">
        <w:rPr>
          <w:rFonts w:ascii="Times New Roman" w:eastAsia="Times New Roman" w:hAnsi="Times New Roman" w:cs="Times New Roman"/>
          <w:color w:val="000000" w:themeColor="text1"/>
          <w:kern w:val="0"/>
          <w:szCs w:val="22"/>
          <w:lang w:val="en-US"/>
          <w14:ligatures w14:val="none"/>
        </w:rPr>
        <w:t>CAM, Confusion Assessment Method; CAM-CR, Chinese-revised CAM; CAM-ICU, CAM for the intensive care unit; 3D-CAM, three-dimensional CAM; CPAP, continuous positive airway pressure; CT, computed tomography; cTn, cardiac troponin; ECG, electrocardiogram; FiO₂, fraction of inspired oxygen; hs-cTnI, high-sensitivity cardiac troponin I; hsTnT/hs-TnT, high-sensitivity troponin T; ICD-10, International Classification of Diseases, 10th revision; ICDSC, Intensive Care Delirium Screening Checklist; KDIGO, Kidney Disease: Improving Global Outcomes; KRT, kidney replacement therapy; MI, myocardial infarction; MINS, myocardial injury after non-cardiac surgery; MRI, magnetic resonance imaging; PaO₂, arterial partial pressure of oxygen; PEEP, positive end-expiratory pressure;RIFLE, Risk, Injury, Failure, Loss, End-stage; RRT, renal replacement therapy; SCr, serum creatinine; StEP, Standardised Endpoints in Perioperative Medicine; TnT, troponin T; URL, upper reference limit.</w:t>
      </w:r>
    </w:p>
    <w:p w14:paraId="10C7124C" w14:textId="2556552F" w:rsidR="0005713D" w:rsidRPr="002F1DCC" w:rsidRDefault="0005713D">
      <w:pPr>
        <w:widowControl/>
        <w:rPr>
          <w:rFonts w:ascii="Times New Roman" w:hAnsi="Times New Roman" w:cs="Times New Roman"/>
          <w:b/>
          <w:color w:val="000000" w:themeColor="text1"/>
          <w:szCs w:val="22"/>
          <w:lang w:val="en-US"/>
        </w:rPr>
      </w:pPr>
      <w:r w:rsidRPr="002F1DCC">
        <w:rPr>
          <w:rFonts w:ascii="Times New Roman" w:hAnsi="Times New Roman" w:cs="Times New Roman"/>
          <w:b/>
          <w:color w:val="000000" w:themeColor="text1"/>
          <w:szCs w:val="22"/>
          <w:lang w:val="en-US"/>
        </w:rPr>
        <w:br w:type="page"/>
      </w:r>
    </w:p>
    <w:p w14:paraId="5D1C1B91" w14:textId="4BA3890B" w:rsidR="0005713D" w:rsidRPr="002F1DCC" w:rsidRDefault="0005713D" w:rsidP="0005713D">
      <w:pPr>
        <w:spacing w:after="100" w:line="240" w:lineRule="auto"/>
        <w:rPr>
          <w:rFonts w:ascii="Times New Roman" w:eastAsia="DengXian" w:hAnsi="Times New Roman" w:cs="Times New Roman"/>
          <w:color w:val="000000" w:themeColor="text1"/>
          <w:kern w:val="0"/>
          <w:sz w:val="24"/>
          <w:lang w:val="en-US"/>
          <w14:ligatures w14:val="none"/>
        </w:rPr>
      </w:pPr>
      <w:r w:rsidRPr="002F1DCC">
        <w:rPr>
          <w:rFonts w:ascii="Times New Roman" w:eastAsia="DengXian" w:hAnsi="Times New Roman" w:cs="Times New Roman"/>
          <w:b/>
          <w:bCs/>
          <w:color w:val="000000" w:themeColor="text1"/>
          <w:kern w:val="0"/>
          <w:sz w:val="24"/>
          <w:lang w:val="en-US"/>
          <w14:ligatures w14:val="none"/>
        </w:rPr>
        <w:lastRenderedPageBreak/>
        <w:t xml:space="preserve">Supplementary Table </w:t>
      </w:r>
      <w:r w:rsidR="002F1DCC">
        <w:rPr>
          <w:rFonts w:ascii="Times New Roman" w:eastAsia="DengXian" w:hAnsi="Times New Roman" w:cs="Times New Roman" w:hint="eastAsia"/>
          <w:b/>
          <w:bCs/>
          <w:color w:val="000000" w:themeColor="text1"/>
          <w:kern w:val="0"/>
          <w:sz w:val="24"/>
          <w:lang w:val="en-US"/>
          <w14:ligatures w14:val="none"/>
        </w:rPr>
        <w:t>S</w:t>
      </w:r>
      <w:r w:rsidR="00364334">
        <w:rPr>
          <w:rFonts w:ascii="Times New Roman" w:eastAsia="DengXian" w:hAnsi="Times New Roman" w:cs="Times New Roman" w:hint="eastAsia"/>
          <w:b/>
          <w:bCs/>
          <w:color w:val="000000" w:themeColor="text1"/>
          <w:kern w:val="0"/>
          <w:sz w:val="24"/>
          <w:lang w:val="en-US"/>
          <w14:ligatures w14:val="none"/>
        </w:rPr>
        <w:t>3</w:t>
      </w:r>
      <w:r w:rsidRPr="002F1DCC">
        <w:rPr>
          <w:rFonts w:ascii="Times New Roman" w:eastAsia="DengXian" w:hAnsi="Times New Roman" w:cs="Times New Roman"/>
          <w:b/>
          <w:bCs/>
          <w:color w:val="000000" w:themeColor="text1"/>
          <w:kern w:val="0"/>
          <w:sz w:val="24"/>
          <w:lang w:val="en-US"/>
          <w14:ligatures w14:val="none"/>
        </w:rPr>
        <w:t>. Trial sequential analysis: primary and sensitivity results.</w:t>
      </w:r>
    </w:p>
    <w:p w14:paraId="1A5A7859" w14:textId="77777777" w:rsidR="0005713D" w:rsidRPr="002F1DCC" w:rsidRDefault="0005713D" w:rsidP="0005713D">
      <w:pPr>
        <w:spacing w:after="140" w:line="240" w:lineRule="auto"/>
        <w:rPr>
          <w:rFonts w:ascii="Times New Roman" w:hAnsi="Times New Roman" w:cs="Times New Roman"/>
          <w:color w:val="000000" w:themeColor="text1"/>
          <w:kern w:val="0"/>
          <w:szCs w:val="22"/>
          <w:lang w:val="en-US"/>
          <w14:ligatures w14:val="none"/>
        </w:rPr>
      </w:pPr>
      <w:r w:rsidRPr="002F1DCC">
        <w:rPr>
          <w:rFonts w:ascii="Times New Roman" w:hAnsi="Times New Roman" w:cs="Times New Roman"/>
          <w:color w:val="000000" w:themeColor="text1"/>
          <w:kern w:val="0"/>
          <w:sz w:val="18"/>
          <w:szCs w:val="18"/>
          <w:lang w:val="en-US"/>
          <w14:ligatures w14:val="none"/>
        </w:rPr>
        <w:t>P</w:t>
      </w:r>
      <w:r w:rsidRPr="002F1DCC">
        <w:rPr>
          <w:rFonts w:ascii="Times New Roman" w:hAnsi="Times New Roman" w:cs="Times New Roman"/>
          <w:color w:val="000000" w:themeColor="text1"/>
          <w:kern w:val="0"/>
          <w:szCs w:val="22"/>
          <w:lang w:val="en-US"/>
          <w14:ligatures w14:val="none"/>
        </w:rPr>
        <w:t>rimary analyses applied the prespecified anticipated relative risk reduction (RRR) of 20% for non-delirium outcomes and 30% for postoperative delirium (POD); sensitivity analyses applied smaller, clinically meaningful RRRs.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75"/>
        <w:gridCol w:w="1688"/>
        <w:gridCol w:w="1139"/>
        <w:gridCol w:w="1176"/>
        <w:gridCol w:w="1152"/>
        <w:gridCol w:w="902"/>
        <w:gridCol w:w="1216"/>
        <w:gridCol w:w="1050"/>
        <w:gridCol w:w="1555"/>
        <w:gridCol w:w="4145"/>
      </w:tblGrid>
      <w:tr w:rsidR="0005713D" w:rsidRPr="002F1DCC" w14:paraId="06BA6701" w14:textId="77777777" w:rsidTr="002F1DCC">
        <w:trPr>
          <w:trHeight w:val="585"/>
          <w:tblHeader/>
        </w:trPr>
        <w:tc>
          <w:tcPr>
            <w:tcW w:w="446" w:type="pct"/>
            <w:tcBorders>
              <w:top w:val="single" w:sz="18" w:space="0" w:color="auto"/>
              <w:left w:val="none" w:sz="0" w:space="0" w:color="FFFFFF"/>
              <w:bottom w:val="single" w:sz="18" w:space="0" w:color="auto"/>
              <w:right w:val="none" w:sz="0" w:space="0" w:color="FFFFFF"/>
            </w:tcBorders>
            <w:tcMar>
              <w:top w:w="60" w:type="dxa"/>
              <w:left w:w="100" w:type="dxa"/>
              <w:bottom w:w="60" w:type="dxa"/>
              <w:right w:w="100" w:type="dxa"/>
            </w:tcMar>
            <w:vAlign w:val="center"/>
          </w:tcPr>
          <w:p w14:paraId="1BC7ACAD"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Outcome</w:t>
            </w:r>
          </w:p>
        </w:tc>
        <w:tc>
          <w:tcPr>
            <w:tcW w:w="548" w:type="pct"/>
            <w:tcBorders>
              <w:top w:val="single" w:sz="18" w:space="0" w:color="auto"/>
              <w:left w:val="none" w:sz="0" w:space="0" w:color="FFFFFF"/>
              <w:bottom w:val="single" w:sz="18" w:space="0" w:color="auto"/>
              <w:right w:val="none" w:sz="0" w:space="0" w:color="FFFFFF"/>
            </w:tcBorders>
            <w:tcMar>
              <w:top w:w="60" w:type="dxa"/>
              <w:left w:w="100" w:type="dxa"/>
              <w:bottom w:w="60" w:type="dxa"/>
              <w:right w:w="100" w:type="dxa"/>
            </w:tcMar>
            <w:vAlign w:val="center"/>
          </w:tcPr>
          <w:p w14:paraId="5638211E"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Analysis (assumed RRR)</w:t>
            </w:r>
          </w:p>
        </w:tc>
        <w:tc>
          <w:tcPr>
            <w:tcW w:w="370" w:type="pct"/>
            <w:tcBorders>
              <w:top w:val="single" w:sz="18" w:space="0" w:color="auto"/>
              <w:left w:val="none" w:sz="0" w:space="0" w:color="FFFFFF"/>
              <w:bottom w:val="single" w:sz="18" w:space="0" w:color="auto"/>
              <w:right w:val="none" w:sz="0" w:space="0" w:color="FFFFFF"/>
            </w:tcBorders>
            <w:tcMar>
              <w:top w:w="60" w:type="dxa"/>
              <w:left w:w="100" w:type="dxa"/>
              <w:bottom w:w="60" w:type="dxa"/>
              <w:right w:w="100" w:type="dxa"/>
            </w:tcMar>
            <w:vAlign w:val="center"/>
          </w:tcPr>
          <w:p w14:paraId="425B658C"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Control event rate (pc)</w:t>
            </w:r>
          </w:p>
        </w:tc>
        <w:tc>
          <w:tcPr>
            <w:tcW w:w="382" w:type="pct"/>
            <w:tcBorders>
              <w:top w:val="single" w:sz="18" w:space="0" w:color="auto"/>
              <w:left w:val="none" w:sz="0" w:space="0" w:color="FFFFFF"/>
              <w:bottom w:val="single" w:sz="18" w:space="0" w:color="auto"/>
              <w:right w:val="none" w:sz="0" w:space="0" w:color="FFFFFF"/>
            </w:tcBorders>
            <w:tcMar>
              <w:top w:w="60" w:type="dxa"/>
              <w:left w:w="100" w:type="dxa"/>
              <w:bottom w:w="60" w:type="dxa"/>
              <w:right w:w="100" w:type="dxa"/>
            </w:tcMar>
            <w:vAlign w:val="center"/>
          </w:tcPr>
          <w:p w14:paraId="47538A0B"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Model</w:t>
            </w:r>
          </w:p>
        </w:tc>
        <w:tc>
          <w:tcPr>
            <w:tcW w:w="374" w:type="pct"/>
            <w:tcBorders>
              <w:top w:val="single" w:sz="18" w:space="0" w:color="auto"/>
              <w:left w:val="none" w:sz="0" w:space="0" w:color="FFFFFF"/>
              <w:bottom w:val="single" w:sz="18" w:space="0" w:color="auto"/>
              <w:right w:val="none" w:sz="0" w:space="0" w:color="FFFFFF"/>
            </w:tcBorders>
            <w:tcMar>
              <w:top w:w="60" w:type="dxa"/>
              <w:left w:w="100" w:type="dxa"/>
              <w:bottom w:w="60" w:type="dxa"/>
              <w:right w:w="100" w:type="dxa"/>
            </w:tcMar>
            <w:vAlign w:val="center"/>
          </w:tcPr>
          <w:p w14:paraId="6AE3AE32"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I² / D²</w:t>
            </w:r>
          </w:p>
        </w:tc>
        <w:tc>
          <w:tcPr>
            <w:tcW w:w="293" w:type="pct"/>
            <w:tcBorders>
              <w:top w:val="single" w:sz="18" w:space="0" w:color="auto"/>
              <w:left w:val="none" w:sz="0" w:space="0" w:color="FFFFFF"/>
              <w:bottom w:val="single" w:sz="18" w:space="0" w:color="auto"/>
              <w:right w:val="none" w:sz="0" w:space="0" w:color="FFFFFF"/>
            </w:tcBorders>
            <w:tcMar>
              <w:top w:w="60" w:type="dxa"/>
              <w:left w:w="100" w:type="dxa"/>
              <w:bottom w:w="60" w:type="dxa"/>
              <w:right w:w="100" w:type="dxa"/>
            </w:tcMar>
            <w:vAlign w:val="center"/>
          </w:tcPr>
          <w:p w14:paraId="3B9EAB13"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AIS</w:t>
            </w:r>
          </w:p>
        </w:tc>
        <w:tc>
          <w:tcPr>
            <w:tcW w:w="395" w:type="pct"/>
            <w:tcBorders>
              <w:top w:val="single" w:sz="18" w:space="0" w:color="auto"/>
              <w:left w:val="none" w:sz="0" w:space="0" w:color="FFFFFF"/>
              <w:bottom w:val="single" w:sz="18" w:space="0" w:color="auto"/>
              <w:right w:val="none" w:sz="0" w:space="0" w:color="FFFFFF"/>
            </w:tcBorders>
            <w:tcMar>
              <w:top w:w="60" w:type="dxa"/>
              <w:left w:w="100" w:type="dxa"/>
              <w:bottom w:w="60" w:type="dxa"/>
              <w:right w:w="100" w:type="dxa"/>
            </w:tcMar>
            <w:vAlign w:val="center"/>
          </w:tcPr>
          <w:p w14:paraId="5115DBEE"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HARIS / RIS</w:t>
            </w:r>
          </w:p>
        </w:tc>
        <w:tc>
          <w:tcPr>
            <w:tcW w:w="341" w:type="pct"/>
            <w:tcBorders>
              <w:top w:val="single" w:sz="18" w:space="0" w:color="auto"/>
              <w:left w:val="none" w:sz="0" w:space="0" w:color="FFFFFF"/>
              <w:bottom w:val="single" w:sz="18" w:space="0" w:color="auto"/>
              <w:right w:val="none" w:sz="0" w:space="0" w:color="FFFFFF"/>
            </w:tcBorders>
            <w:tcMar>
              <w:top w:w="60" w:type="dxa"/>
              <w:left w:w="100" w:type="dxa"/>
              <w:bottom w:w="60" w:type="dxa"/>
              <w:right w:w="100" w:type="dxa"/>
            </w:tcMar>
            <w:vAlign w:val="center"/>
          </w:tcPr>
          <w:p w14:paraId="4EA3261B"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AIS (% of HARIS)</w:t>
            </w:r>
          </w:p>
        </w:tc>
        <w:tc>
          <w:tcPr>
            <w:tcW w:w="505" w:type="pct"/>
            <w:tcBorders>
              <w:top w:val="single" w:sz="18" w:space="0" w:color="auto"/>
              <w:left w:val="none" w:sz="0" w:space="0" w:color="FFFFFF"/>
              <w:bottom w:val="single" w:sz="18" w:space="0" w:color="auto"/>
              <w:right w:val="none" w:sz="0" w:space="0" w:color="FFFFFF"/>
            </w:tcBorders>
            <w:tcMar>
              <w:top w:w="60" w:type="dxa"/>
              <w:left w:w="100" w:type="dxa"/>
              <w:bottom w:w="60" w:type="dxa"/>
              <w:right w:w="100" w:type="dxa"/>
            </w:tcMar>
            <w:vAlign w:val="center"/>
          </w:tcPr>
          <w:p w14:paraId="63F9C22F"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 xml:space="preserve">Pooled RR (95% CI) </w:t>
            </w:r>
            <w:r w:rsidRPr="002F1DCC">
              <w:rPr>
                <w:rFonts w:ascii="Times New Roman" w:eastAsia="DengXian" w:hAnsi="Times New Roman" w:cs="Times New Roman"/>
                <w:b/>
                <w:bCs/>
                <w:color w:val="000000" w:themeColor="text1"/>
                <w:kern w:val="0"/>
                <w:szCs w:val="22"/>
                <w:vertAlign w:val="superscript"/>
                <w:lang w:val="en-US"/>
                <w14:ligatures w14:val="none"/>
              </w:rPr>
              <w:t>†</w:t>
            </w:r>
          </w:p>
        </w:tc>
        <w:tc>
          <w:tcPr>
            <w:tcW w:w="1347" w:type="pct"/>
            <w:tcBorders>
              <w:top w:val="single" w:sz="18" w:space="0" w:color="auto"/>
              <w:left w:val="none" w:sz="0" w:space="0" w:color="FFFFFF"/>
              <w:bottom w:val="single" w:sz="18" w:space="0" w:color="auto"/>
              <w:right w:val="none" w:sz="0" w:space="0" w:color="FFFFFF"/>
            </w:tcBorders>
            <w:tcMar>
              <w:top w:w="60" w:type="dxa"/>
              <w:left w:w="100" w:type="dxa"/>
              <w:bottom w:w="60" w:type="dxa"/>
              <w:right w:w="100" w:type="dxa"/>
            </w:tcMar>
            <w:vAlign w:val="center"/>
          </w:tcPr>
          <w:p w14:paraId="7F9B5FE2"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Monitoring boundary / status</w:t>
            </w:r>
          </w:p>
        </w:tc>
      </w:tr>
      <w:tr w:rsidR="0005713D" w:rsidRPr="002F1DCC" w14:paraId="1CC54ABF" w14:textId="77777777" w:rsidTr="002F1DCC">
        <w:tc>
          <w:tcPr>
            <w:tcW w:w="446" w:type="pct"/>
            <w:vMerge w:val="restart"/>
            <w:tcBorders>
              <w:top w:val="single" w:sz="18" w:space="0" w:color="auto"/>
              <w:left w:val="none" w:sz="0" w:space="0" w:color="FFFFFF"/>
              <w:bottom w:val="none" w:sz="0" w:space="0" w:color="FFFFFF"/>
              <w:right w:val="none" w:sz="0" w:space="0" w:color="FFFFFF"/>
            </w:tcBorders>
            <w:tcMar>
              <w:top w:w="60" w:type="dxa"/>
              <w:left w:w="100" w:type="dxa"/>
              <w:bottom w:w="60" w:type="dxa"/>
              <w:right w:w="100" w:type="dxa"/>
            </w:tcMar>
            <w:vAlign w:val="center"/>
          </w:tcPr>
          <w:p w14:paraId="380E3541"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Myocardial injury</w:t>
            </w:r>
          </w:p>
        </w:tc>
        <w:tc>
          <w:tcPr>
            <w:tcW w:w="548" w:type="pct"/>
            <w:tcBorders>
              <w:top w:val="single" w:sz="18" w:space="0" w:color="auto"/>
              <w:left w:val="none" w:sz="0" w:space="0" w:color="FFFFFF"/>
              <w:bottom w:val="none" w:sz="0" w:space="0" w:color="FFFFFF"/>
              <w:right w:val="none" w:sz="0" w:space="0" w:color="FFFFFF"/>
            </w:tcBorders>
            <w:tcMar>
              <w:top w:w="60" w:type="dxa"/>
              <w:left w:w="100" w:type="dxa"/>
              <w:bottom w:w="60" w:type="dxa"/>
              <w:right w:w="100" w:type="dxa"/>
            </w:tcMar>
            <w:vAlign w:val="center"/>
          </w:tcPr>
          <w:p w14:paraId="141DD8AE"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Primary (20%)</w:t>
            </w:r>
          </w:p>
        </w:tc>
        <w:tc>
          <w:tcPr>
            <w:tcW w:w="370" w:type="pct"/>
            <w:tcBorders>
              <w:top w:val="single" w:sz="18" w:space="0" w:color="auto"/>
              <w:left w:val="none" w:sz="0" w:space="0" w:color="FFFFFF"/>
              <w:bottom w:val="none" w:sz="0" w:space="0" w:color="FFFFFF"/>
              <w:right w:val="none" w:sz="0" w:space="0" w:color="FFFFFF"/>
            </w:tcBorders>
            <w:tcMar>
              <w:top w:w="60" w:type="dxa"/>
              <w:left w:w="100" w:type="dxa"/>
              <w:bottom w:w="60" w:type="dxa"/>
              <w:right w:w="100" w:type="dxa"/>
            </w:tcMar>
            <w:vAlign w:val="center"/>
          </w:tcPr>
          <w:p w14:paraId="580E4B6C"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11.1%</w:t>
            </w:r>
          </w:p>
        </w:tc>
        <w:tc>
          <w:tcPr>
            <w:tcW w:w="382" w:type="pct"/>
            <w:tcBorders>
              <w:top w:val="single" w:sz="18" w:space="0" w:color="auto"/>
              <w:left w:val="none" w:sz="0" w:space="0" w:color="FFFFFF"/>
              <w:bottom w:val="none" w:sz="0" w:space="0" w:color="FFFFFF"/>
              <w:right w:val="none" w:sz="0" w:space="0" w:color="FFFFFF"/>
            </w:tcBorders>
            <w:tcMar>
              <w:top w:w="60" w:type="dxa"/>
              <w:left w:w="100" w:type="dxa"/>
              <w:bottom w:w="60" w:type="dxa"/>
              <w:right w:w="100" w:type="dxa"/>
            </w:tcMar>
            <w:vAlign w:val="center"/>
          </w:tcPr>
          <w:p w14:paraId="377061A0"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Fixed (MH)</w:t>
            </w:r>
          </w:p>
        </w:tc>
        <w:tc>
          <w:tcPr>
            <w:tcW w:w="374" w:type="pct"/>
            <w:tcBorders>
              <w:top w:val="single" w:sz="18" w:space="0" w:color="auto"/>
              <w:left w:val="none" w:sz="0" w:space="0" w:color="FFFFFF"/>
              <w:bottom w:val="none" w:sz="0" w:space="0" w:color="FFFFFF"/>
              <w:right w:val="none" w:sz="0" w:space="0" w:color="FFFFFF"/>
            </w:tcBorders>
            <w:tcMar>
              <w:top w:w="60" w:type="dxa"/>
              <w:left w:w="100" w:type="dxa"/>
              <w:bottom w:w="60" w:type="dxa"/>
              <w:right w:w="100" w:type="dxa"/>
            </w:tcMar>
            <w:vAlign w:val="center"/>
          </w:tcPr>
          <w:p w14:paraId="6D5E0679"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0% / 0%</w:t>
            </w:r>
          </w:p>
        </w:tc>
        <w:tc>
          <w:tcPr>
            <w:tcW w:w="293" w:type="pct"/>
            <w:tcBorders>
              <w:top w:val="single" w:sz="18" w:space="0" w:color="auto"/>
              <w:left w:val="none" w:sz="0" w:space="0" w:color="FFFFFF"/>
              <w:bottom w:val="none" w:sz="0" w:space="0" w:color="FFFFFF"/>
              <w:right w:val="none" w:sz="0" w:space="0" w:color="FFFFFF"/>
            </w:tcBorders>
            <w:tcMar>
              <w:top w:w="60" w:type="dxa"/>
              <w:left w:w="100" w:type="dxa"/>
              <w:bottom w:w="60" w:type="dxa"/>
              <w:right w:w="100" w:type="dxa"/>
            </w:tcMar>
            <w:vAlign w:val="center"/>
          </w:tcPr>
          <w:p w14:paraId="4B2B3782"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14,606</w:t>
            </w:r>
          </w:p>
        </w:tc>
        <w:tc>
          <w:tcPr>
            <w:tcW w:w="395" w:type="pct"/>
            <w:tcBorders>
              <w:top w:val="single" w:sz="18" w:space="0" w:color="auto"/>
              <w:left w:val="none" w:sz="0" w:space="0" w:color="FFFFFF"/>
              <w:bottom w:val="none" w:sz="0" w:space="0" w:color="FFFFFF"/>
              <w:right w:val="none" w:sz="0" w:space="0" w:color="FFFFFF"/>
            </w:tcBorders>
            <w:tcMar>
              <w:top w:w="60" w:type="dxa"/>
              <w:left w:w="100" w:type="dxa"/>
              <w:bottom w:w="60" w:type="dxa"/>
              <w:right w:w="100" w:type="dxa"/>
            </w:tcMar>
            <w:vAlign w:val="center"/>
          </w:tcPr>
          <w:p w14:paraId="53FD511D"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5,715</w:t>
            </w:r>
          </w:p>
        </w:tc>
        <w:tc>
          <w:tcPr>
            <w:tcW w:w="341" w:type="pct"/>
            <w:tcBorders>
              <w:top w:val="single" w:sz="18" w:space="0" w:color="auto"/>
              <w:left w:val="none" w:sz="0" w:space="0" w:color="FFFFFF"/>
              <w:bottom w:val="none" w:sz="0" w:space="0" w:color="FFFFFF"/>
              <w:right w:val="none" w:sz="0" w:space="0" w:color="FFFFFF"/>
            </w:tcBorders>
            <w:tcMar>
              <w:top w:w="60" w:type="dxa"/>
              <w:left w:w="100" w:type="dxa"/>
              <w:bottom w:w="60" w:type="dxa"/>
              <w:right w:w="100" w:type="dxa"/>
            </w:tcMar>
            <w:vAlign w:val="center"/>
          </w:tcPr>
          <w:p w14:paraId="381DAC0A"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256%</w:t>
            </w:r>
          </w:p>
        </w:tc>
        <w:tc>
          <w:tcPr>
            <w:tcW w:w="505" w:type="pct"/>
            <w:tcBorders>
              <w:top w:val="single" w:sz="18" w:space="0" w:color="auto"/>
              <w:left w:val="none" w:sz="0" w:space="0" w:color="FFFFFF"/>
              <w:bottom w:val="none" w:sz="0" w:space="0" w:color="FFFFFF"/>
              <w:right w:val="none" w:sz="0" w:space="0" w:color="FFFFFF"/>
            </w:tcBorders>
            <w:tcMar>
              <w:top w:w="60" w:type="dxa"/>
              <w:left w:w="100" w:type="dxa"/>
              <w:bottom w:w="60" w:type="dxa"/>
              <w:right w:w="100" w:type="dxa"/>
            </w:tcMar>
            <w:vAlign w:val="center"/>
          </w:tcPr>
          <w:p w14:paraId="655DC1B0"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1.01 (0.93–1.11)</w:t>
            </w:r>
          </w:p>
        </w:tc>
        <w:tc>
          <w:tcPr>
            <w:tcW w:w="1347" w:type="pct"/>
            <w:tcBorders>
              <w:top w:val="single" w:sz="18" w:space="0" w:color="auto"/>
              <w:left w:val="none" w:sz="0" w:space="0" w:color="FFFFFF"/>
              <w:bottom w:val="none" w:sz="0" w:space="0" w:color="FFFFFF"/>
              <w:right w:val="none" w:sz="0" w:space="0" w:color="FFFFFF"/>
            </w:tcBorders>
            <w:tcMar>
              <w:top w:w="60" w:type="dxa"/>
              <w:left w:w="100" w:type="dxa"/>
              <w:bottom w:w="60" w:type="dxa"/>
              <w:right w:w="100" w:type="dxa"/>
            </w:tcMar>
            <w:vAlign w:val="center"/>
          </w:tcPr>
          <w:p w14:paraId="58DC76C5"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RIS surpassed; monitoring boundary not crossed → anticipated 20% RRR excluded (CI 0.93–1.11)</w:t>
            </w:r>
          </w:p>
        </w:tc>
      </w:tr>
      <w:tr w:rsidR="0005713D" w:rsidRPr="002F1DCC" w14:paraId="2C13F5DB" w14:textId="77777777" w:rsidTr="002F1DCC">
        <w:tc>
          <w:tcPr>
            <w:tcW w:w="446" w:type="pct"/>
            <w:vMerge/>
            <w:tcBorders>
              <w:top w:val="none" w:sz="0" w:space="0" w:color="FFFFFF"/>
              <w:left w:val="none" w:sz="0" w:space="0" w:color="FFFFFF"/>
              <w:bottom w:val="none" w:sz="0" w:space="0" w:color="FFFFFF"/>
              <w:right w:val="none" w:sz="0" w:space="0" w:color="FFFFFF"/>
            </w:tcBorders>
          </w:tcPr>
          <w:p w14:paraId="57D1396F"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p>
        </w:tc>
        <w:tc>
          <w:tcPr>
            <w:tcW w:w="548"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0952C12"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Sensitivity (15%)</w:t>
            </w:r>
          </w:p>
        </w:tc>
        <w:tc>
          <w:tcPr>
            <w:tcW w:w="37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5C872B9"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11.1%</w:t>
            </w:r>
          </w:p>
        </w:tc>
        <w:tc>
          <w:tcPr>
            <w:tcW w:w="382"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5E60849"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Fixed (MH)</w:t>
            </w:r>
          </w:p>
        </w:tc>
        <w:tc>
          <w:tcPr>
            <w:tcW w:w="374"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4D8B3A2"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0% / 0%</w:t>
            </w:r>
          </w:p>
        </w:tc>
        <w:tc>
          <w:tcPr>
            <w:tcW w:w="293"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87022E6"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14,606</w:t>
            </w:r>
          </w:p>
        </w:tc>
        <w:tc>
          <w:tcPr>
            <w:tcW w:w="395"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0F78B40"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10,761</w:t>
            </w:r>
          </w:p>
        </w:tc>
        <w:tc>
          <w:tcPr>
            <w:tcW w:w="341"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3A5EAD8"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140%</w:t>
            </w:r>
          </w:p>
        </w:tc>
        <w:tc>
          <w:tcPr>
            <w:tcW w:w="505"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F2F3D15"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1.01 (0.93–1.11)</w:t>
            </w:r>
          </w:p>
        </w:tc>
        <w:tc>
          <w:tcPr>
            <w:tcW w:w="1347"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2471595"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RIS surpassed; monitoring boundary not crossed → anticipated 15% RRR excluded</w:t>
            </w:r>
          </w:p>
        </w:tc>
      </w:tr>
      <w:tr w:rsidR="0005713D" w:rsidRPr="002F1DCC" w14:paraId="176640DC" w14:textId="77777777" w:rsidTr="002F1DCC">
        <w:tc>
          <w:tcPr>
            <w:tcW w:w="446" w:type="pct"/>
            <w:vMerge/>
            <w:tcBorders>
              <w:top w:val="none" w:sz="0" w:space="0" w:color="FFFFFF"/>
              <w:left w:val="none" w:sz="0" w:space="0" w:color="FFFFFF"/>
              <w:bottom w:val="none" w:sz="0" w:space="0" w:color="FFFFFF"/>
              <w:right w:val="none" w:sz="0" w:space="0" w:color="FFFFFF"/>
            </w:tcBorders>
          </w:tcPr>
          <w:p w14:paraId="14CBAEA6"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p>
        </w:tc>
        <w:tc>
          <w:tcPr>
            <w:tcW w:w="548"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4F7D2D8"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Sensitivity (10%)</w:t>
            </w:r>
          </w:p>
        </w:tc>
        <w:tc>
          <w:tcPr>
            <w:tcW w:w="37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2609FAF"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11.1%</w:t>
            </w:r>
          </w:p>
        </w:tc>
        <w:tc>
          <w:tcPr>
            <w:tcW w:w="382"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FDAAFAD"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Fixed (MH)</w:t>
            </w:r>
          </w:p>
        </w:tc>
        <w:tc>
          <w:tcPr>
            <w:tcW w:w="374"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392550B"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0% / 0%</w:t>
            </w:r>
          </w:p>
        </w:tc>
        <w:tc>
          <w:tcPr>
            <w:tcW w:w="293"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FD54EA1"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14,606</w:t>
            </w:r>
          </w:p>
        </w:tc>
        <w:tc>
          <w:tcPr>
            <w:tcW w:w="395"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53642D6"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24,212</w:t>
            </w:r>
          </w:p>
        </w:tc>
        <w:tc>
          <w:tcPr>
            <w:tcW w:w="341"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DAF0F77"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61%</w:t>
            </w:r>
          </w:p>
        </w:tc>
        <w:tc>
          <w:tcPr>
            <w:tcW w:w="505"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FF12E81"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1.01 (0.90–1.15)</w:t>
            </w:r>
          </w:p>
        </w:tc>
        <w:tc>
          <w:tcPr>
            <w:tcW w:w="1347"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29208BE"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RIS not reached; monitoring boundary not crossed → inconclusive</w:t>
            </w:r>
          </w:p>
        </w:tc>
      </w:tr>
      <w:tr w:rsidR="0005713D" w:rsidRPr="002F1DCC" w14:paraId="14D955AD" w14:textId="77777777" w:rsidTr="002F1DCC">
        <w:tc>
          <w:tcPr>
            <w:tcW w:w="446" w:type="pct"/>
            <w:vMerge w:val="restar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48D2F79C"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AKI</w:t>
            </w:r>
          </w:p>
        </w:tc>
        <w:tc>
          <w:tcPr>
            <w:tcW w:w="548"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607204A5"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Primary (20%)</w:t>
            </w:r>
          </w:p>
        </w:tc>
        <w:tc>
          <w:tcPr>
            <w:tcW w:w="370"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1291A24"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12.6%</w:t>
            </w:r>
          </w:p>
        </w:tc>
        <w:tc>
          <w:tcPr>
            <w:tcW w:w="382"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70DC95A4"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Random (DL-HKSJ)</w:t>
            </w:r>
          </w:p>
        </w:tc>
        <w:tc>
          <w:tcPr>
            <w:tcW w:w="374"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5965A81E"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35.5% / 61.6%</w:t>
            </w:r>
          </w:p>
        </w:tc>
        <w:tc>
          <w:tcPr>
            <w:tcW w:w="293"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2BEF6430"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15,143</w:t>
            </w:r>
          </w:p>
        </w:tc>
        <w:tc>
          <w:tcPr>
            <w:tcW w:w="395"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9E33E63"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13,912</w:t>
            </w:r>
          </w:p>
        </w:tc>
        <w:tc>
          <w:tcPr>
            <w:tcW w:w="341"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3DDD113D"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111%</w:t>
            </w:r>
          </w:p>
        </w:tc>
        <w:tc>
          <w:tcPr>
            <w:tcW w:w="505"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64EB309E"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0.92 (0.79–1.06)</w:t>
            </w:r>
          </w:p>
        </w:tc>
        <w:tc>
          <w:tcPr>
            <w:tcW w:w="1347"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2DB506F9"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RIS surpassed; monitoring boundary not crossed → anticipated effect not demonstrated; CI (≈0.78–1.07) does not exclude a smaller benefit</w:t>
            </w:r>
          </w:p>
        </w:tc>
      </w:tr>
      <w:tr w:rsidR="0005713D" w:rsidRPr="002F1DCC" w14:paraId="18054C38" w14:textId="77777777" w:rsidTr="002F1DCC">
        <w:tc>
          <w:tcPr>
            <w:tcW w:w="446" w:type="pct"/>
            <w:vMerge/>
            <w:tcBorders>
              <w:top w:val="single" w:sz="6" w:space="0" w:color="000000"/>
              <w:left w:val="none" w:sz="0" w:space="0" w:color="FFFFFF"/>
              <w:bottom w:val="none" w:sz="0" w:space="0" w:color="FFFFFF"/>
              <w:right w:val="none" w:sz="0" w:space="0" w:color="FFFFFF"/>
            </w:tcBorders>
          </w:tcPr>
          <w:p w14:paraId="70B891CE"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p>
        </w:tc>
        <w:tc>
          <w:tcPr>
            <w:tcW w:w="548"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3BE825F"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Sensitivity (15%)</w:t>
            </w:r>
          </w:p>
        </w:tc>
        <w:tc>
          <w:tcPr>
            <w:tcW w:w="37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E9C5DFC"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12.6%</w:t>
            </w:r>
          </w:p>
        </w:tc>
        <w:tc>
          <w:tcPr>
            <w:tcW w:w="382"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FCE86E7"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Random (DL-HKSJ)</w:t>
            </w:r>
          </w:p>
        </w:tc>
        <w:tc>
          <w:tcPr>
            <w:tcW w:w="374"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11A3D96"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35.5% / 61.6%</w:t>
            </w:r>
          </w:p>
        </w:tc>
        <w:tc>
          <w:tcPr>
            <w:tcW w:w="293"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6B96C19"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15,143</w:t>
            </w:r>
          </w:p>
        </w:tc>
        <w:tc>
          <w:tcPr>
            <w:tcW w:w="395"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274D54C"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21,222</w:t>
            </w:r>
          </w:p>
        </w:tc>
        <w:tc>
          <w:tcPr>
            <w:tcW w:w="341"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72792C2"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73%</w:t>
            </w:r>
          </w:p>
        </w:tc>
        <w:tc>
          <w:tcPr>
            <w:tcW w:w="505"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43607A0"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0.92 (0.75–1.10)</w:t>
            </w:r>
          </w:p>
        </w:tc>
        <w:tc>
          <w:tcPr>
            <w:tcW w:w="1347"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7CF5539"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RIS not reached; monitoring boundary not crossed → inconclusive</w:t>
            </w:r>
          </w:p>
        </w:tc>
      </w:tr>
      <w:tr w:rsidR="0005713D" w:rsidRPr="002F1DCC" w14:paraId="746E09D2" w14:textId="77777777" w:rsidTr="002F1DCC">
        <w:tc>
          <w:tcPr>
            <w:tcW w:w="446" w:type="pct"/>
            <w:vMerge/>
            <w:tcBorders>
              <w:top w:val="single" w:sz="6" w:space="0" w:color="000000"/>
              <w:left w:val="none" w:sz="0" w:space="0" w:color="FFFFFF"/>
              <w:bottom w:val="none" w:sz="0" w:space="0" w:color="FFFFFF"/>
              <w:right w:val="none" w:sz="0" w:space="0" w:color="FFFFFF"/>
            </w:tcBorders>
          </w:tcPr>
          <w:p w14:paraId="1E49B206"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p>
        </w:tc>
        <w:tc>
          <w:tcPr>
            <w:tcW w:w="548"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C3F5411"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Sensitivity (10%)</w:t>
            </w:r>
          </w:p>
        </w:tc>
        <w:tc>
          <w:tcPr>
            <w:tcW w:w="37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488D961"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12.6%</w:t>
            </w:r>
          </w:p>
        </w:tc>
        <w:tc>
          <w:tcPr>
            <w:tcW w:w="382"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10849D6"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Random (DL-HKSJ)</w:t>
            </w:r>
          </w:p>
        </w:tc>
        <w:tc>
          <w:tcPr>
            <w:tcW w:w="374"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6056A49"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35.5% / 61.6%</w:t>
            </w:r>
          </w:p>
        </w:tc>
        <w:tc>
          <w:tcPr>
            <w:tcW w:w="293"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8CB60AA"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15,143</w:t>
            </w:r>
          </w:p>
        </w:tc>
        <w:tc>
          <w:tcPr>
            <w:tcW w:w="395"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D48340C"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Not estimable</w:t>
            </w:r>
          </w:p>
        </w:tc>
        <w:tc>
          <w:tcPr>
            <w:tcW w:w="341"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601857B"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&lt;1%</w:t>
            </w:r>
          </w:p>
        </w:tc>
        <w:tc>
          <w:tcPr>
            <w:tcW w:w="505"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36A8059"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w:t>
            </w:r>
          </w:p>
        </w:tc>
        <w:tc>
          <w:tcPr>
            <w:tcW w:w="1347"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7CAA6CE"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Not estimable; &lt;1% of required information available</w:t>
            </w:r>
          </w:p>
        </w:tc>
      </w:tr>
      <w:tr w:rsidR="0005713D" w:rsidRPr="002F1DCC" w14:paraId="6C19A8AD" w14:textId="77777777" w:rsidTr="002F1DCC">
        <w:tc>
          <w:tcPr>
            <w:tcW w:w="446" w:type="pct"/>
            <w:vMerge w:val="restart"/>
            <w:tcBorders>
              <w:top w:val="single" w:sz="6" w:space="0" w:color="000000"/>
              <w:left w:val="none" w:sz="0" w:space="0" w:color="FFFFFF"/>
              <w:bottom w:val="single" w:sz="12" w:space="0" w:color="000000"/>
              <w:right w:val="none" w:sz="0" w:space="0" w:color="FFFFFF"/>
            </w:tcBorders>
            <w:tcMar>
              <w:top w:w="60" w:type="dxa"/>
              <w:left w:w="100" w:type="dxa"/>
              <w:bottom w:w="60" w:type="dxa"/>
              <w:right w:w="100" w:type="dxa"/>
            </w:tcMar>
            <w:vAlign w:val="center"/>
          </w:tcPr>
          <w:p w14:paraId="3C7BA717"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POD</w:t>
            </w:r>
          </w:p>
        </w:tc>
        <w:tc>
          <w:tcPr>
            <w:tcW w:w="548"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6EC5E31C"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Primary (30%)</w:t>
            </w:r>
          </w:p>
        </w:tc>
        <w:tc>
          <w:tcPr>
            <w:tcW w:w="370"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38A6AD7F"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7.9%</w:t>
            </w:r>
          </w:p>
        </w:tc>
        <w:tc>
          <w:tcPr>
            <w:tcW w:w="382"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6D5AB26E"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Random (DL-HKSJ)</w:t>
            </w:r>
          </w:p>
        </w:tc>
        <w:tc>
          <w:tcPr>
            <w:tcW w:w="374"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4B7C293C"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27.7% / 34.9%</w:t>
            </w:r>
          </w:p>
        </w:tc>
        <w:tc>
          <w:tcPr>
            <w:tcW w:w="293"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7546C5A0"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5,478</w:t>
            </w:r>
          </w:p>
        </w:tc>
        <w:tc>
          <w:tcPr>
            <w:tcW w:w="395"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37187B5E"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5,020</w:t>
            </w:r>
          </w:p>
        </w:tc>
        <w:tc>
          <w:tcPr>
            <w:tcW w:w="341"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4141A2BC"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111%</w:t>
            </w:r>
          </w:p>
        </w:tc>
        <w:tc>
          <w:tcPr>
            <w:tcW w:w="505"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0E0CDB1E"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0.72 (0.55–0.93)</w:t>
            </w:r>
          </w:p>
        </w:tc>
        <w:tc>
          <w:tcPr>
            <w:tcW w:w="1347" w:type="pct"/>
            <w:tcBorders>
              <w:top w:val="single" w:sz="6" w:space="0" w:color="000000"/>
              <w:left w:val="none" w:sz="0" w:space="0" w:color="FFFFFF"/>
              <w:bottom w:val="none" w:sz="0" w:space="0" w:color="FFFFFF"/>
              <w:right w:val="none" w:sz="0" w:space="0" w:color="FFFFFF"/>
            </w:tcBorders>
            <w:tcMar>
              <w:top w:w="60" w:type="dxa"/>
              <w:left w:w="100" w:type="dxa"/>
              <w:bottom w:w="60" w:type="dxa"/>
              <w:right w:w="100" w:type="dxa"/>
            </w:tcMar>
            <w:vAlign w:val="center"/>
          </w:tcPr>
          <w:p w14:paraId="1E3ED90E"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Monitoring boundary crossed (favours intensive) + RIS surpassed → evidence of benefit</w:t>
            </w:r>
          </w:p>
        </w:tc>
      </w:tr>
      <w:tr w:rsidR="0005713D" w:rsidRPr="002F1DCC" w14:paraId="3C4896DB" w14:textId="77777777" w:rsidTr="002F1DCC">
        <w:tc>
          <w:tcPr>
            <w:tcW w:w="446" w:type="pct"/>
            <w:vMerge/>
            <w:tcBorders>
              <w:top w:val="single" w:sz="6" w:space="0" w:color="000000"/>
              <w:left w:val="none" w:sz="0" w:space="0" w:color="FFFFFF"/>
              <w:bottom w:val="single" w:sz="12" w:space="0" w:color="000000"/>
              <w:right w:val="none" w:sz="0" w:space="0" w:color="FFFFFF"/>
            </w:tcBorders>
          </w:tcPr>
          <w:p w14:paraId="2F68F6B3"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p>
        </w:tc>
        <w:tc>
          <w:tcPr>
            <w:tcW w:w="548"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8CD029F"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Sensitivity (25%)</w:t>
            </w:r>
          </w:p>
        </w:tc>
        <w:tc>
          <w:tcPr>
            <w:tcW w:w="37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BEA868C"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7.9%</w:t>
            </w:r>
          </w:p>
        </w:tc>
        <w:tc>
          <w:tcPr>
            <w:tcW w:w="382"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F387B35"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Random (DL-</w:t>
            </w:r>
            <w:r w:rsidRPr="002F1DCC">
              <w:rPr>
                <w:rFonts w:ascii="Times New Roman" w:eastAsia="DengXian" w:hAnsi="Times New Roman" w:cs="Times New Roman"/>
                <w:color w:val="000000" w:themeColor="text1"/>
                <w:kern w:val="0"/>
                <w:szCs w:val="22"/>
                <w:lang w:val="en-US"/>
                <w14:ligatures w14:val="none"/>
              </w:rPr>
              <w:lastRenderedPageBreak/>
              <w:t>HKSJ)</w:t>
            </w:r>
          </w:p>
        </w:tc>
        <w:tc>
          <w:tcPr>
            <w:tcW w:w="374"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4DB6BA3"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lastRenderedPageBreak/>
              <w:t>27.7% / 34.9%</w:t>
            </w:r>
          </w:p>
        </w:tc>
        <w:tc>
          <w:tcPr>
            <w:tcW w:w="293"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0BCF559"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5,478</w:t>
            </w:r>
          </w:p>
        </w:tc>
        <w:tc>
          <w:tcPr>
            <w:tcW w:w="395"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C1D4CD2"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20,359</w:t>
            </w:r>
          </w:p>
        </w:tc>
        <w:tc>
          <w:tcPr>
            <w:tcW w:w="341"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B18E6F0"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27%</w:t>
            </w:r>
          </w:p>
        </w:tc>
        <w:tc>
          <w:tcPr>
            <w:tcW w:w="505"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5604613"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0.72 (0.37–1.24)</w:t>
            </w:r>
          </w:p>
        </w:tc>
        <w:tc>
          <w:tcPr>
            <w:tcW w:w="1347"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96D2C49"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RIS not reached; monitoring boundary not crossed → inconclusive</w:t>
            </w:r>
          </w:p>
        </w:tc>
      </w:tr>
      <w:tr w:rsidR="0005713D" w:rsidRPr="002F1DCC" w14:paraId="6CB18C0E" w14:textId="77777777" w:rsidTr="002F1DCC">
        <w:tc>
          <w:tcPr>
            <w:tcW w:w="446" w:type="pct"/>
            <w:vMerge/>
            <w:tcBorders>
              <w:top w:val="single" w:sz="6" w:space="0" w:color="000000"/>
              <w:left w:val="none" w:sz="0" w:space="0" w:color="FFFFFF"/>
              <w:bottom w:val="single" w:sz="18" w:space="0" w:color="auto"/>
              <w:right w:val="none" w:sz="0" w:space="0" w:color="FFFFFF"/>
            </w:tcBorders>
          </w:tcPr>
          <w:p w14:paraId="47D01B16"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p>
        </w:tc>
        <w:tc>
          <w:tcPr>
            <w:tcW w:w="548" w:type="pct"/>
            <w:tcBorders>
              <w:top w:val="none" w:sz="0" w:space="0" w:color="FFFFFF"/>
              <w:left w:val="none" w:sz="0" w:space="0" w:color="FFFFFF"/>
              <w:bottom w:val="single" w:sz="18" w:space="0" w:color="auto"/>
              <w:right w:val="none" w:sz="0" w:space="0" w:color="FFFFFF"/>
            </w:tcBorders>
            <w:tcMar>
              <w:top w:w="60" w:type="dxa"/>
              <w:left w:w="100" w:type="dxa"/>
              <w:bottom w:w="60" w:type="dxa"/>
              <w:right w:w="100" w:type="dxa"/>
            </w:tcMar>
            <w:vAlign w:val="center"/>
          </w:tcPr>
          <w:p w14:paraId="15ABF86E"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Sensitivity (20%)</w:t>
            </w:r>
          </w:p>
        </w:tc>
        <w:tc>
          <w:tcPr>
            <w:tcW w:w="370" w:type="pct"/>
            <w:tcBorders>
              <w:top w:val="none" w:sz="0" w:space="0" w:color="FFFFFF"/>
              <w:left w:val="none" w:sz="0" w:space="0" w:color="FFFFFF"/>
              <w:bottom w:val="single" w:sz="18" w:space="0" w:color="auto"/>
              <w:right w:val="none" w:sz="0" w:space="0" w:color="FFFFFF"/>
            </w:tcBorders>
            <w:tcMar>
              <w:top w:w="60" w:type="dxa"/>
              <w:left w:w="100" w:type="dxa"/>
              <w:bottom w:w="60" w:type="dxa"/>
              <w:right w:w="100" w:type="dxa"/>
            </w:tcMar>
            <w:vAlign w:val="center"/>
          </w:tcPr>
          <w:p w14:paraId="01665AD9"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7.9%</w:t>
            </w:r>
          </w:p>
        </w:tc>
        <w:tc>
          <w:tcPr>
            <w:tcW w:w="382" w:type="pct"/>
            <w:tcBorders>
              <w:top w:val="none" w:sz="0" w:space="0" w:color="FFFFFF"/>
              <w:left w:val="none" w:sz="0" w:space="0" w:color="FFFFFF"/>
              <w:bottom w:val="single" w:sz="18" w:space="0" w:color="auto"/>
              <w:right w:val="none" w:sz="0" w:space="0" w:color="FFFFFF"/>
            </w:tcBorders>
            <w:tcMar>
              <w:top w:w="60" w:type="dxa"/>
              <w:left w:w="100" w:type="dxa"/>
              <w:bottom w:w="60" w:type="dxa"/>
              <w:right w:w="100" w:type="dxa"/>
            </w:tcMar>
            <w:vAlign w:val="center"/>
          </w:tcPr>
          <w:p w14:paraId="4EB7E3DD"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Random (DL-HKSJ)</w:t>
            </w:r>
          </w:p>
        </w:tc>
        <w:tc>
          <w:tcPr>
            <w:tcW w:w="374" w:type="pct"/>
            <w:tcBorders>
              <w:top w:val="none" w:sz="0" w:space="0" w:color="FFFFFF"/>
              <w:left w:val="none" w:sz="0" w:space="0" w:color="FFFFFF"/>
              <w:bottom w:val="single" w:sz="18" w:space="0" w:color="auto"/>
              <w:right w:val="none" w:sz="0" w:space="0" w:color="FFFFFF"/>
            </w:tcBorders>
            <w:tcMar>
              <w:top w:w="60" w:type="dxa"/>
              <w:left w:w="100" w:type="dxa"/>
              <w:bottom w:w="60" w:type="dxa"/>
              <w:right w:w="100" w:type="dxa"/>
            </w:tcMar>
            <w:vAlign w:val="center"/>
          </w:tcPr>
          <w:p w14:paraId="7FAD757E"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27.7% / 34.9%</w:t>
            </w:r>
          </w:p>
        </w:tc>
        <w:tc>
          <w:tcPr>
            <w:tcW w:w="293" w:type="pct"/>
            <w:tcBorders>
              <w:top w:val="none" w:sz="0" w:space="0" w:color="FFFFFF"/>
              <w:left w:val="none" w:sz="0" w:space="0" w:color="FFFFFF"/>
              <w:bottom w:val="single" w:sz="18" w:space="0" w:color="auto"/>
              <w:right w:val="none" w:sz="0" w:space="0" w:color="FFFFFF"/>
            </w:tcBorders>
            <w:tcMar>
              <w:top w:w="60" w:type="dxa"/>
              <w:left w:w="100" w:type="dxa"/>
              <w:bottom w:w="60" w:type="dxa"/>
              <w:right w:w="100" w:type="dxa"/>
            </w:tcMar>
            <w:vAlign w:val="center"/>
          </w:tcPr>
          <w:p w14:paraId="3C8150C5"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5,478</w:t>
            </w:r>
          </w:p>
        </w:tc>
        <w:tc>
          <w:tcPr>
            <w:tcW w:w="395" w:type="pct"/>
            <w:tcBorders>
              <w:top w:val="none" w:sz="0" w:space="0" w:color="FFFFFF"/>
              <w:left w:val="none" w:sz="0" w:space="0" w:color="FFFFFF"/>
              <w:bottom w:val="single" w:sz="18" w:space="0" w:color="auto"/>
              <w:right w:val="none" w:sz="0" w:space="0" w:color="FFFFFF"/>
            </w:tcBorders>
            <w:tcMar>
              <w:top w:w="60" w:type="dxa"/>
              <w:left w:w="100" w:type="dxa"/>
              <w:bottom w:w="60" w:type="dxa"/>
              <w:right w:w="100" w:type="dxa"/>
            </w:tcMar>
            <w:vAlign w:val="center"/>
          </w:tcPr>
          <w:p w14:paraId="480461EB"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44,622</w:t>
            </w:r>
          </w:p>
        </w:tc>
        <w:tc>
          <w:tcPr>
            <w:tcW w:w="341" w:type="pct"/>
            <w:tcBorders>
              <w:top w:val="none" w:sz="0" w:space="0" w:color="FFFFFF"/>
              <w:left w:val="none" w:sz="0" w:space="0" w:color="FFFFFF"/>
              <w:bottom w:val="single" w:sz="18" w:space="0" w:color="auto"/>
              <w:right w:val="none" w:sz="0" w:space="0" w:color="FFFFFF"/>
            </w:tcBorders>
            <w:tcMar>
              <w:top w:w="60" w:type="dxa"/>
              <w:left w:w="100" w:type="dxa"/>
              <w:bottom w:w="60" w:type="dxa"/>
              <w:right w:w="100" w:type="dxa"/>
            </w:tcMar>
            <w:vAlign w:val="center"/>
          </w:tcPr>
          <w:p w14:paraId="6B2D51BB"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12%</w:t>
            </w:r>
          </w:p>
        </w:tc>
        <w:tc>
          <w:tcPr>
            <w:tcW w:w="505" w:type="pct"/>
            <w:tcBorders>
              <w:top w:val="none" w:sz="0" w:space="0" w:color="FFFFFF"/>
              <w:left w:val="none" w:sz="0" w:space="0" w:color="FFFFFF"/>
              <w:bottom w:val="single" w:sz="18" w:space="0" w:color="auto"/>
              <w:right w:val="none" w:sz="0" w:space="0" w:color="FFFFFF"/>
            </w:tcBorders>
            <w:tcMar>
              <w:top w:w="60" w:type="dxa"/>
              <w:left w:w="100" w:type="dxa"/>
              <w:bottom w:w="60" w:type="dxa"/>
              <w:right w:w="100" w:type="dxa"/>
            </w:tcMar>
            <w:vAlign w:val="center"/>
          </w:tcPr>
          <w:p w14:paraId="44A55936" w14:textId="77777777" w:rsidR="0005713D" w:rsidRPr="002F1DCC" w:rsidRDefault="0005713D" w:rsidP="00494540">
            <w:pPr>
              <w:spacing w:after="0" w:line="240" w:lineRule="auto"/>
              <w:jc w:val="center"/>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0.72 (0.04–11.57)</w:t>
            </w:r>
          </w:p>
        </w:tc>
        <w:tc>
          <w:tcPr>
            <w:tcW w:w="1347" w:type="pct"/>
            <w:tcBorders>
              <w:top w:val="none" w:sz="0" w:space="0" w:color="FFFFFF"/>
              <w:left w:val="none" w:sz="0" w:space="0" w:color="FFFFFF"/>
              <w:bottom w:val="single" w:sz="18" w:space="0" w:color="auto"/>
              <w:right w:val="none" w:sz="0" w:space="0" w:color="FFFFFF"/>
            </w:tcBorders>
            <w:tcMar>
              <w:top w:w="60" w:type="dxa"/>
              <w:left w:w="100" w:type="dxa"/>
              <w:bottom w:w="60" w:type="dxa"/>
              <w:right w:w="100" w:type="dxa"/>
            </w:tcMar>
            <w:vAlign w:val="center"/>
          </w:tcPr>
          <w:p w14:paraId="165C4436" w14:textId="77777777" w:rsidR="0005713D" w:rsidRPr="002F1DCC" w:rsidRDefault="0005713D" w:rsidP="00494540">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color w:val="000000" w:themeColor="text1"/>
                <w:kern w:val="0"/>
                <w:szCs w:val="22"/>
                <w:lang w:val="en-US"/>
                <w14:ligatures w14:val="none"/>
              </w:rPr>
              <w:t>RIS not reached; monitoring boundary not crossed → inconclusive</w:t>
            </w:r>
          </w:p>
        </w:tc>
      </w:tr>
    </w:tbl>
    <w:p w14:paraId="7256D704" w14:textId="77777777" w:rsidR="0005713D" w:rsidRPr="002F1DCC" w:rsidRDefault="0005713D" w:rsidP="0005713D">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 xml:space="preserve">Abbreviations: </w:t>
      </w:r>
      <w:r w:rsidRPr="002F1DCC">
        <w:rPr>
          <w:rFonts w:ascii="Times New Roman" w:eastAsia="DengXian" w:hAnsi="Times New Roman" w:cs="Times New Roman"/>
          <w:color w:val="000000" w:themeColor="text1"/>
          <w:kern w:val="0"/>
          <w:szCs w:val="22"/>
          <w:lang w:val="en-US"/>
          <w14:ligatures w14:val="none"/>
        </w:rPr>
        <w:t>AIS, accrued (acquired) information size; HARIS, heterogeneity-adjusted required information size (equals the RIS when D² = 0); RIS, required information size; pc, control event rate; RR, risk ratio; MH, Mantel–Haenszel; DL-HKSJ, DerSimonian–Laird with Hartung–Knapp–Sidik–Jonkman adjustment.</w:t>
      </w:r>
    </w:p>
    <w:p w14:paraId="05D70C98" w14:textId="77777777" w:rsidR="002F1DCC" w:rsidRDefault="0005713D" w:rsidP="0005713D">
      <w:pPr>
        <w:spacing w:after="0" w:line="240" w:lineRule="auto"/>
        <w:rPr>
          <w:rFonts w:ascii="Times New Roman" w:eastAsia="DengXian" w:hAnsi="Times New Roman" w:cs="Times New Roman"/>
          <w:color w:val="000000" w:themeColor="text1"/>
          <w:kern w:val="0"/>
          <w:szCs w:val="22"/>
          <w:lang w:val="en-US"/>
          <w14:ligatures w14:val="none"/>
        </w:rPr>
      </w:pPr>
      <w:r w:rsidRPr="002F1DCC">
        <w:rPr>
          <w:rFonts w:ascii="Times New Roman" w:eastAsia="DengXian" w:hAnsi="Times New Roman" w:cs="Times New Roman"/>
          <w:b/>
          <w:bCs/>
          <w:color w:val="000000" w:themeColor="text1"/>
          <w:kern w:val="0"/>
          <w:szCs w:val="22"/>
          <w:lang w:val="en-US"/>
          <w14:ligatures w14:val="none"/>
        </w:rPr>
        <w:t>†</w:t>
      </w:r>
      <w:r w:rsidRPr="002F1DCC">
        <w:rPr>
          <w:rFonts w:ascii="Times New Roman" w:eastAsia="DengXian" w:hAnsi="Times New Roman" w:cs="Times New Roman"/>
          <w:color w:val="000000" w:themeColor="text1"/>
          <w:kern w:val="0"/>
          <w:szCs w:val="22"/>
          <w:lang w:val="en-US"/>
          <w14:ligatures w14:val="none"/>
        </w:rPr>
        <w:t xml:space="preserve"> Confidence intervals are TSA-adjusted, except where the required information size was surpassed (primary myocardial injury, primary AKI, primary POD, and the 15% myocardial injury analysis), for which the naive CI is reported.</w:t>
      </w:r>
    </w:p>
    <w:p w14:paraId="08839DE2" w14:textId="558FB9C8" w:rsidR="0005713D" w:rsidRDefault="0005713D" w:rsidP="0005713D">
      <w:pPr>
        <w:spacing w:after="0" w:line="240" w:lineRule="auto"/>
        <w:rPr>
          <w:rFonts w:ascii="Times New Roman" w:eastAsia="DengXian" w:hAnsi="Times New Roman" w:cs="Times New Roman"/>
          <w:color w:val="000000" w:themeColor="text1"/>
          <w:kern w:val="0"/>
          <w:sz w:val="16"/>
          <w:szCs w:val="16"/>
          <w:lang w:val="en-US"/>
          <w14:ligatures w14:val="none"/>
        </w:rPr>
      </w:pPr>
      <w:r w:rsidRPr="002F1DCC">
        <w:rPr>
          <w:rFonts w:ascii="Times New Roman" w:eastAsia="DengXian" w:hAnsi="Times New Roman" w:cs="Times New Roman"/>
          <w:color w:val="000000" w:themeColor="text1"/>
          <w:kern w:val="0"/>
          <w:sz w:val="16"/>
          <w:szCs w:val="16"/>
          <w:lang w:val="en-US"/>
          <w14:ligatures w14:val="none"/>
        </w:rPr>
        <w:br w:type="page"/>
      </w:r>
    </w:p>
    <w:p w14:paraId="2C202071" w14:textId="6CD69769" w:rsidR="00364334" w:rsidRPr="002F1DCC" w:rsidRDefault="00364334" w:rsidP="00364334">
      <w:pPr>
        <w:rPr>
          <w:rFonts w:ascii="Times New Roman" w:hAnsi="Times New Roman" w:cs="Times New Roman"/>
          <w:b/>
          <w:bCs/>
          <w:color w:val="000000" w:themeColor="text1"/>
          <w:sz w:val="24"/>
        </w:rPr>
      </w:pPr>
      <w:bookmarkStart w:id="3" w:name="_Hlk228307561"/>
      <w:r w:rsidRPr="002F1DCC">
        <w:rPr>
          <w:rFonts w:ascii="Times New Roman" w:hAnsi="Times New Roman" w:cs="Times New Roman" w:hint="eastAsia"/>
          <w:b/>
          <w:bCs/>
          <w:color w:val="000000" w:themeColor="text1"/>
          <w:sz w:val="24"/>
        </w:rPr>
        <w:lastRenderedPageBreak/>
        <w:t xml:space="preserve">Supplementary Table </w:t>
      </w:r>
      <w:r>
        <w:rPr>
          <w:rFonts w:ascii="Times New Roman" w:hAnsi="Times New Roman" w:cs="Times New Roman" w:hint="eastAsia"/>
          <w:b/>
          <w:bCs/>
          <w:color w:val="000000" w:themeColor="text1"/>
          <w:sz w:val="24"/>
        </w:rPr>
        <w:t>S</w:t>
      </w:r>
      <w:r>
        <w:rPr>
          <w:rFonts w:ascii="Times New Roman" w:hAnsi="Times New Roman" w:cs="Times New Roman" w:hint="eastAsia"/>
          <w:b/>
          <w:bCs/>
          <w:color w:val="000000" w:themeColor="text1"/>
          <w:sz w:val="24"/>
        </w:rPr>
        <w:t>4</w:t>
      </w:r>
      <w:r w:rsidRPr="002F1DCC">
        <w:rPr>
          <w:rFonts w:ascii="Times New Roman" w:hAnsi="Times New Roman" w:cs="Times New Roman"/>
          <w:b/>
          <w:bCs/>
          <w:color w:val="000000" w:themeColor="text1"/>
          <w:sz w:val="24"/>
        </w:rPr>
        <w:t>.</w:t>
      </w:r>
      <w:r w:rsidRPr="002F1DCC">
        <w:rPr>
          <w:rFonts w:ascii="Times New Roman" w:hAnsi="Times New Roman" w:cs="Times New Roman" w:hint="eastAsia"/>
          <w:b/>
          <w:bCs/>
          <w:color w:val="000000" w:themeColor="text1"/>
          <w:sz w:val="24"/>
        </w:rPr>
        <w:t xml:space="preserve"> P</w:t>
      </w:r>
      <w:r w:rsidRPr="002F1DCC">
        <w:rPr>
          <w:rFonts w:ascii="Times New Roman" w:hAnsi="Times New Roman" w:cs="Times New Roman"/>
          <w:b/>
          <w:bCs/>
          <w:color w:val="000000" w:themeColor="text1"/>
          <w:sz w:val="24"/>
        </w:rPr>
        <w:t>reoperative comorbidities</w:t>
      </w:r>
      <w:r w:rsidRPr="002F1DCC">
        <w:rPr>
          <w:rFonts w:ascii="Times New Roman" w:hAnsi="Times New Roman" w:cs="Times New Roman" w:hint="eastAsia"/>
          <w:b/>
          <w:bCs/>
          <w:color w:val="000000" w:themeColor="text1"/>
          <w:sz w:val="24"/>
        </w:rPr>
        <w:t xml:space="preserve"> </w:t>
      </w:r>
      <w:r w:rsidRPr="002F1DCC">
        <w:rPr>
          <w:rFonts w:ascii="Times New Roman" w:hAnsi="Times New Roman" w:cs="Times New Roman"/>
          <w:b/>
          <w:bCs/>
          <w:color w:val="000000" w:themeColor="text1"/>
          <w:sz w:val="24"/>
        </w:rPr>
        <w:t>of the included studies.</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1008"/>
        <w:gridCol w:w="1064"/>
        <w:gridCol w:w="6"/>
        <w:gridCol w:w="855"/>
        <w:gridCol w:w="6"/>
        <w:gridCol w:w="1055"/>
        <w:gridCol w:w="15"/>
        <w:gridCol w:w="806"/>
        <w:gridCol w:w="11"/>
        <w:gridCol w:w="1049"/>
        <w:gridCol w:w="21"/>
        <w:gridCol w:w="800"/>
        <w:gridCol w:w="17"/>
        <w:gridCol w:w="144"/>
        <w:gridCol w:w="892"/>
        <w:gridCol w:w="34"/>
        <w:gridCol w:w="794"/>
        <w:gridCol w:w="27"/>
        <w:gridCol w:w="1024"/>
        <w:gridCol w:w="46"/>
        <w:gridCol w:w="787"/>
        <w:gridCol w:w="33"/>
        <w:gridCol w:w="1015"/>
        <w:gridCol w:w="55"/>
        <w:gridCol w:w="779"/>
        <w:gridCol w:w="43"/>
        <w:gridCol w:w="1072"/>
        <w:gridCol w:w="46"/>
        <w:gridCol w:w="724"/>
        <w:gridCol w:w="74"/>
      </w:tblGrid>
      <w:tr w:rsidR="00364334" w:rsidRPr="002F1DCC" w14:paraId="07C39DB5" w14:textId="77777777" w:rsidTr="00364334">
        <w:trPr>
          <w:gridAfter w:val="1"/>
          <w:wAfter w:w="24" w:type="pct"/>
          <w:trHeight w:val="276"/>
        </w:trPr>
        <w:tc>
          <w:tcPr>
            <w:tcW w:w="356" w:type="pct"/>
            <w:vMerge w:val="restart"/>
            <w:tcBorders>
              <w:top w:val="single" w:sz="18" w:space="0" w:color="000000"/>
            </w:tcBorders>
            <w:vAlign w:val="center"/>
          </w:tcPr>
          <w:bookmarkEnd w:id="3"/>
          <w:p w14:paraId="67895BED"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References</w:t>
            </w:r>
          </w:p>
        </w:tc>
        <w:tc>
          <w:tcPr>
            <w:tcW w:w="327" w:type="pct"/>
            <w:vMerge w:val="restart"/>
            <w:tcBorders>
              <w:top w:val="single" w:sz="18" w:space="0" w:color="000000"/>
            </w:tcBorders>
            <w:vAlign w:val="center"/>
          </w:tcPr>
          <w:p w14:paraId="1B987AE0"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Sample size(M/F)</w:t>
            </w:r>
          </w:p>
        </w:tc>
        <w:tc>
          <w:tcPr>
            <w:tcW w:w="625" w:type="pct"/>
            <w:gridSpan w:val="3"/>
            <w:tcBorders>
              <w:top w:val="single" w:sz="18" w:space="0" w:color="000000"/>
              <w:bottom w:val="single" w:sz="18" w:space="0" w:color="000000"/>
            </w:tcBorders>
            <w:vAlign w:val="center"/>
          </w:tcPr>
          <w:p w14:paraId="43AEACCE"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Hypertension</w:t>
            </w:r>
            <w:r w:rsidRPr="002F1DCC">
              <w:rPr>
                <w:rFonts w:ascii="Times New Roman" w:hAnsi="Times New Roman" w:cs="Times New Roman" w:hint="eastAsia"/>
                <w:b/>
                <w:color w:val="000000" w:themeColor="text1"/>
                <w:sz w:val="16"/>
                <w:szCs w:val="18"/>
              </w:rPr>
              <w:t xml:space="preserve"> </w:t>
            </w:r>
            <w:r w:rsidRPr="002F1DCC">
              <w:rPr>
                <w:rFonts w:ascii="Times New Roman" w:hAnsi="Times New Roman" w:cs="Times New Roman"/>
                <w:b/>
                <w:color w:val="000000" w:themeColor="text1"/>
                <w:sz w:val="16"/>
                <w:szCs w:val="18"/>
              </w:rPr>
              <w:t>(n, %)</w:t>
            </w:r>
          </w:p>
        </w:tc>
        <w:tc>
          <w:tcPr>
            <w:tcW w:w="611" w:type="pct"/>
            <w:gridSpan w:val="4"/>
            <w:tcBorders>
              <w:top w:val="single" w:sz="18" w:space="0" w:color="000000"/>
              <w:bottom w:val="single" w:sz="18" w:space="0" w:color="000000"/>
            </w:tcBorders>
            <w:vAlign w:val="center"/>
          </w:tcPr>
          <w:p w14:paraId="1F2834FA"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Diabetes (n, %)</w:t>
            </w:r>
          </w:p>
        </w:tc>
        <w:tc>
          <w:tcPr>
            <w:tcW w:w="664" w:type="pct"/>
            <w:gridSpan w:val="6"/>
            <w:tcBorders>
              <w:top w:val="single" w:sz="18" w:space="0" w:color="000000"/>
              <w:bottom w:val="single" w:sz="18" w:space="0" w:color="000000"/>
            </w:tcBorders>
            <w:vAlign w:val="center"/>
          </w:tcPr>
          <w:p w14:paraId="64852200"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Renal impairment (n, %)</w:t>
            </w:r>
          </w:p>
        </w:tc>
        <w:tc>
          <w:tcPr>
            <w:tcW w:w="558" w:type="pct"/>
            <w:gridSpan w:val="3"/>
            <w:tcBorders>
              <w:top w:val="single" w:sz="18" w:space="0" w:color="000000"/>
              <w:bottom w:val="single" w:sz="18" w:space="0" w:color="000000"/>
            </w:tcBorders>
            <w:vAlign w:val="center"/>
          </w:tcPr>
          <w:p w14:paraId="62764944"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Chronic heart failure (n, %)</w:t>
            </w:r>
          </w:p>
        </w:tc>
        <w:tc>
          <w:tcPr>
            <w:tcW w:w="612" w:type="pct"/>
            <w:gridSpan w:val="4"/>
            <w:tcBorders>
              <w:top w:val="single" w:sz="18" w:space="0" w:color="000000"/>
              <w:bottom w:val="single" w:sz="18" w:space="0" w:color="000000"/>
            </w:tcBorders>
            <w:vAlign w:val="center"/>
          </w:tcPr>
          <w:p w14:paraId="6EE5ABCA"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TIA (n, %)</w:t>
            </w:r>
          </w:p>
        </w:tc>
        <w:tc>
          <w:tcPr>
            <w:tcW w:w="611" w:type="pct"/>
            <w:gridSpan w:val="4"/>
            <w:tcBorders>
              <w:top w:val="single" w:sz="18" w:space="0" w:color="000000"/>
              <w:bottom w:val="single" w:sz="18" w:space="0" w:color="000000"/>
            </w:tcBorders>
            <w:vAlign w:val="center"/>
          </w:tcPr>
          <w:p w14:paraId="7BFC4869"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Stroke (n, %)</w:t>
            </w:r>
          </w:p>
        </w:tc>
        <w:tc>
          <w:tcPr>
            <w:tcW w:w="612" w:type="pct"/>
            <w:gridSpan w:val="4"/>
            <w:tcBorders>
              <w:top w:val="single" w:sz="18" w:space="0" w:color="000000"/>
              <w:bottom w:val="single" w:sz="18" w:space="0" w:color="000000"/>
            </w:tcBorders>
            <w:vAlign w:val="center"/>
          </w:tcPr>
          <w:p w14:paraId="1872D0DE"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Ischemic heart disease (n, %)</w:t>
            </w:r>
          </w:p>
        </w:tc>
      </w:tr>
      <w:tr w:rsidR="00364334" w:rsidRPr="002F1DCC" w14:paraId="21AD4327" w14:textId="77777777" w:rsidTr="00364334">
        <w:trPr>
          <w:trHeight w:val="276"/>
        </w:trPr>
        <w:tc>
          <w:tcPr>
            <w:tcW w:w="356" w:type="pct"/>
            <w:vMerge/>
            <w:tcBorders>
              <w:bottom w:val="single" w:sz="18" w:space="0" w:color="000000"/>
            </w:tcBorders>
            <w:vAlign w:val="center"/>
          </w:tcPr>
          <w:p w14:paraId="7685E00C"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p>
        </w:tc>
        <w:tc>
          <w:tcPr>
            <w:tcW w:w="327" w:type="pct"/>
            <w:vMerge/>
            <w:tcBorders>
              <w:bottom w:val="single" w:sz="18" w:space="0" w:color="000000"/>
            </w:tcBorders>
            <w:vAlign w:val="center"/>
          </w:tcPr>
          <w:p w14:paraId="08F12E83"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p>
        </w:tc>
        <w:tc>
          <w:tcPr>
            <w:tcW w:w="347" w:type="pct"/>
            <w:gridSpan w:val="2"/>
            <w:tcBorders>
              <w:top w:val="single" w:sz="18" w:space="0" w:color="000000"/>
              <w:bottom w:val="single" w:sz="18" w:space="0" w:color="000000"/>
            </w:tcBorders>
            <w:vAlign w:val="center"/>
          </w:tcPr>
          <w:p w14:paraId="27921EB3"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Intervention</w:t>
            </w:r>
          </w:p>
        </w:tc>
        <w:tc>
          <w:tcPr>
            <w:tcW w:w="280" w:type="pct"/>
            <w:gridSpan w:val="2"/>
            <w:tcBorders>
              <w:top w:val="single" w:sz="18" w:space="0" w:color="000000"/>
              <w:bottom w:val="single" w:sz="18" w:space="0" w:color="000000"/>
            </w:tcBorders>
            <w:vAlign w:val="center"/>
          </w:tcPr>
          <w:p w14:paraId="2BB07AF7"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Control</w:t>
            </w:r>
          </w:p>
        </w:tc>
        <w:tc>
          <w:tcPr>
            <w:tcW w:w="347" w:type="pct"/>
            <w:gridSpan w:val="2"/>
            <w:tcBorders>
              <w:top w:val="single" w:sz="18" w:space="0" w:color="000000"/>
              <w:bottom w:val="single" w:sz="18" w:space="0" w:color="000000"/>
            </w:tcBorders>
            <w:vAlign w:val="center"/>
          </w:tcPr>
          <w:p w14:paraId="2C6A2994"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Intervention</w:t>
            </w:r>
          </w:p>
        </w:tc>
        <w:tc>
          <w:tcPr>
            <w:tcW w:w="266" w:type="pct"/>
            <w:gridSpan w:val="2"/>
            <w:tcBorders>
              <w:top w:val="single" w:sz="18" w:space="0" w:color="000000"/>
              <w:bottom w:val="single" w:sz="18" w:space="0" w:color="000000"/>
            </w:tcBorders>
            <w:vAlign w:val="center"/>
          </w:tcPr>
          <w:p w14:paraId="7FC9D00E"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Control</w:t>
            </w:r>
          </w:p>
        </w:tc>
        <w:tc>
          <w:tcPr>
            <w:tcW w:w="347" w:type="pct"/>
            <w:gridSpan w:val="2"/>
            <w:tcBorders>
              <w:top w:val="single" w:sz="18" w:space="0" w:color="000000"/>
              <w:bottom w:val="single" w:sz="18" w:space="0" w:color="000000"/>
            </w:tcBorders>
            <w:vAlign w:val="center"/>
          </w:tcPr>
          <w:p w14:paraId="7C3F9940"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Intervention</w:t>
            </w:r>
          </w:p>
        </w:tc>
        <w:tc>
          <w:tcPr>
            <w:tcW w:w="266" w:type="pct"/>
            <w:gridSpan w:val="2"/>
            <w:tcBorders>
              <w:top w:val="single" w:sz="18" w:space="0" w:color="000000"/>
              <w:bottom w:val="single" w:sz="18" w:space="0" w:color="000000"/>
            </w:tcBorders>
            <w:vAlign w:val="center"/>
          </w:tcPr>
          <w:p w14:paraId="2EE7294F"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Control</w:t>
            </w:r>
          </w:p>
        </w:tc>
        <w:tc>
          <w:tcPr>
            <w:tcW w:w="347" w:type="pct"/>
            <w:gridSpan w:val="3"/>
            <w:tcBorders>
              <w:top w:val="single" w:sz="18" w:space="0" w:color="000000"/>
              <w:bottom w:val="single" w:sz="18" w:space="0" w:color="000000"/>
            </w:tcBorders>
            <w:vAlign w:val="center"/>
          </w:tcPr>
          <w:p w14:paraId="75287551"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Intervention</w:t>
            </w:r>
          </w:p>
        </w:tc>
        <w:tc>
          <w:tcPr>
            <w:tcW w:w="267" w:type="pct"/>
            <w:gridSpan w:val="2"/>
            <w:tcBorders>
              <w:top w:val="single" w:sz="18" w:space="0" w:color="000000"/>
              <w:bottom w:val="single" w:sz="18" w:space="0" w:color="000000"/>
            </w:tcBorders>
            <w:vAlign w:val="center"/>
          </w:tcPr>
          <w:p w14:paraId="2C29986B"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Control</w:t>
            </w:r>
          </w:p>
        </w:tc>
        <w:tc>
          <w:tcPr>
            <w:tcW w:w="347" w:type="pct"/>
            <w:gridSpan w:val="2"/>
            <w:tcBorders>
              <w:top w:val="single" w:sz="18" w:space="0" w:color="000000"/>
              <w:bottom w:val="single" w:sz="18" w:space="0" w:color="000000"/>
            </w:tcBorders>
            <w:vAlign w:val="center"/>
          </w:tcPr>
          <w:p w14:paraId="52C8FB3D"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Intervention</w:t>
            </w:r>
          </w:p>
        </w:tc>
        <w:tc>
          <w:tcPr>
            <w:tcW w:w="267" w:type="pct"/>
            <w:gridSpan w:val="2"/>
            <w:tcBorders>
              <w:top w:val="single" w:sz="18" w:space="0" w:color="000000"/>
              <w:bottom w:val="single" w:sz="18" w:space="0" w:color="000000"/>
            </w:tcBorders>
            <w:vAlign w:val="center"/>
          </w:tcPr>
          <w:p w14:paraId="035B401C"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Control</w:t>
            </w:r>
          </w:p>
        </w:tc>
        <w:tc>
          <w:tcPr>
            <w:tcW w:w="347" w:type="pct"/>
            <w:gridSpan w:val="2"/>
            <w:tcBorders>
              <w:top w:val="single" w:sz="18" w:space="0" w:color="000000"/>
              <w:bottom w:val="single" w:sz="18" w:space="0" w:color="000000"/>
            </w:tcBorders>
            <w:vAlign w:val="center"/>
          </w:tcPr>
          <w:p w14:paraId="5EB729B1"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Intervention</w:t>
            </w:r>
          </w:p>
        </w:tc>
        <w:tc>
          <w:tcPr>
            <w:tcW w:w="267" w:type="pct"/>
            <w:gridSpan w:val="2"/>
            <w:tcBorders>
              <w:top w:val="single" w:sz="18" w:space="0" w:color="000000"/>
              <w:bottom w:val="single" w:sz="18" w:space="0" w:color="000000"/>
            </w:tcBorders>
            <w:vAlign w:val="center"/>
          </w:tcPr>
          <w:p w14:paraId="33C75BFE"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Control</w:t>
            </w:r>
          </w:p>
        </w:tc>
        <w:tc>
          <w:tcPr>
            <w:tcW w:w="348" w:type="pct"/>
            <w:tcBorders>
              <w:top w:val="single" w:sz="18" w:space="0" w:color="000000"/>
              <w:bottom w:val="single" w:sz="18" w:space="0" w:color="000000"/>
            </w:tcBorders>
            <w:vAlign w:val="center"/>
          </w:tcPr>
          <w:p w14:paraId="0221004F"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Intervention</w:t>
            </w:r>
          </w:p>
        </w:tc>
        <w:tc>
          <w:tcPr>
            <w:tcW w:w="273" w:type="pct"/>
            <w:gridSpan w:val="3"/>
            <w:tcBorders>
              <w:top w:val="single" w:sz="18" w:space="0" w:color="000000"/>
              <w:bottom w:val="single" w:sz="18" w:space="0" w:color="000000"/>
            </w:tcBorders>
            <w:vAlign w:val="center"/>
          </w:tcPr>
          <w:p w14:paraId="471592CB"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Control</w:t>
            </w:r>
          </w:p>
        </w:tc>
      </w:tr>
      <w:tr w:rsidR="00364334" w:rsidRPr="002F1DCC" w14:paraId="328106EB" w14:textId="77777777" w:rsidTr="00364334">
        <w:trPr>
          <w:trHeight w:val="1125"/>
        </w:trPr>
        <w:tc>
          <w:tcPr>
            <w:tcW w:w="356" w:type="pct"/>
            <w:tcBorders>
              <w:top w:val="single" w:sz="18" w:space="0" w:color="000000"/>
            </w:tcBorders>
            <w:vAlign w:val="center"/>
          </w:tcPr>
          <w:p w14:paraId="0EF5EBA3"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2017-Futier</w:t>
            </w:r>
          </w:p>
        </w:tc>
        <w:tc>
          <w:tcPr>
            <w:tcW w:w="327" w:type="pct"/>
            <w:tcBorders>
              <w:top w:val="single" w:sz="18" w:space="0" w:color="000000"/>
            </w:tcBorders>
            <w:vAlign w:val="center"/>
          </w:tcPr>
          <w:p w14:paraId="0B5D961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292 (248/44)</w:t>
            </w:r>
          </w:p>
        </w:tc>
        <w:tc>
          <w:tcPr>
            <w:tcW w:w="347" w:type="pct"/>
            <w:gridSpan w:val="2"/>
            <w:tcBorders>
              <w:top w:val="single" w:sz="18" w:space="0" w:color="000000"/>
            </w:tcBorders>
            <w:vAlign w:val="center"/>
          </w:tcPr>
          <w:p w14:paraId="2053F44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120</w:t>
            </w:r>
            <w:r w:rsidRPr="002F1DCC">
              <w:rPr>
                <w:rFonts w:ascii="Times New Roman" w:hAnsi="Times New Roman" w:cs="Times New Roman"/>
                <w:bCs/>
                <w:color w:val="000000" w:themeColor="text1"/>
                <w:sz w:val="16"/>
                <w:szCs w:val="18"/>
              </w:rPr>
              <w:t xml:space="preserve"> (81.5)</w:t>
            </w:r>
          </w:p>
        </w:tc>
        <w:tc>
          <w:tcPr>
            <w:tcW w:w="280" w:type="pct"/>
            <w:gridSpan w:val="2"/>
            <w:tcBorders>
              <w:top w:val="single" w:sz="18" w:space="0" w:color="000000"/>
            </w:tcBorders>
            <w:vAlign w:val="center"/>
          </w:tcPr>
          <w:p w14:paraId="4FD02927" w14:textId="77777777" w:rsidR="00364334" w:rsidRPr="002F1DCC" w:rsidRDefault="00364334" w:rsidP="00100DC8">
            <w:pPr>
              <w:ind w:firstLineChars="50" w:firstLine="80"/>
              <w:rPr>
                <w:rFonts w:ascii="Times New Roman" w:hAnsi="Times New Roman" w:cs="Times New Roman"/>
                <w:color w:val="000000" w:themeColor="text1"/>
                <w:sz w:val="16"/>
                <w:szCs w:val="18"/>
              </w:rPr>
            </w:pPr>
            <w:r w:rsidRPr="002F1DCC">
              <w:rPr>
                <w:rFonts w:ascii="Times New Roman" w:hAnsi="Times New Roman" w:cs="Times New Roman"/>
                <w:color w:val="000000" w:themeColor="text1"/>
                <w:sz w:val="16"/>
                <w:szCs w:val="18"/>
              </w:rPr>
              <w:t>120 (82.2)</w:t>
            </w:r>
          </w:p>
        </w:tc>
        <w:tc>
          <w:tcPr>
            <w:tcW w:w="347" w:type="pct"/>
            <w:gridSpan w:val="2"/>
            <w:tcBorders>
              <w:top w:val="single" w:sz="18" w:space="0" w:color="000000"/>
            </w:tcBorders>
            <w:vAlign w:val="center"/>
          </w:tcPr>
          <w:p w14:paraId="7FC7AEA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77 (52.4)</w:t>
            </w:r>
          </w:p>
        </w:tc>
        <w:tc>
          <w:tcPr>
            <w:tcW w:w="266" w:type="pct"/>
            <w:gridSpan w:val="2"/>
            <w:tcBorders>
              <w:top w:val="single" w:sz="18" w:space="0" w:color="000000"/>
            </w:tcBorders>
            <w:vAlign w:val="center"/>
          </w:tcPr>
          <w:p w14:paraId="2A85508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73 (50.3)</w:t>
            </w:r>
          </w:p>
        </w:tc>
        <w:tc>
          <w:tcPr>
            <w:tcW w:w="347" w:type="pct"/>
            <w:gridSpan w:val="2"/>
            <w:tcBorders>
              <w:top w:val="single" w:sz="18" w:space="0" w:color="000000"/>
            </w:tcBorders>
            <w:vAlign w:val="center"/>
          </w:tcPr>
          <w:p w14:paraId="576F4D0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28 (19.1)</w:t>
            </w:r>
          </w:p>
        </w:tc>
        <w:tc>
          <w:tcPr>
            <w:tcW w:w="266" w:type="pct"/>
            <w:gridSpan w:val="2"/>
            <w:tcBorders>
              <w:top w:val="single" w:sz="18" w:space="0" w:color="000000"/>
            </w:tcBorders>
            <w:vAlign w:val="center"/>
          </w:tcPr>
          <w:p w14:paraId="63EB7E7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17 (11.7)</w:t>
            </w:r>
          </w:p>
        </w:tc>
        <w:tc>
          <w:tcPr>
            <w:tcW w:w="347" w:type="pct"/>
            <w:gridSpan w:val="3"/>
            <w:tcBorders>
              <w:top w:val="single" w:sz="18" w:space="0" w:color="000000"/>
            </w:tcBorders>
            <w:vAlign w:val="center"/>
          </w:tcPr>
          <w:p w14:paraId="5C5F11B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26 (17.7)</w:t>
            </w:r>
          </w:p>
        </w:tc>
        <w:tc>
          <w:tcPr>
            <w:tcW w:w="267" w:type="pct"/>
            <w:gridSpan w:val="2"/>
            <w:tcBorders>
              <w:top w:val="single" w:sz="18" w:space="0" w:color="000000"/>
            </w:tcBorders>
            <w:vAlign w:val="center"/>
          </w:tcPr>
          <w:p w14:paraId="463770B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38 (26.2)</w:t>
            </w:r>
          </w:p>
        </w:tc>
        <w:tc>
          <w:tcPr>
            <w:tcW w:w="347" w:type="pct"/>
            <w:gridSpan w:val="2"/>
            <w:tcBorders>
              <w:top w:val="single" w:sz="18" w:space="0" w:color="000000"/>
            </w:tcBorders>
            <w:vAlign w:val="center"/>
          </w:tcPr>
          <w:p w14:paraId="57EB46F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7" w:type="pct"/>
            <w:gridSpan w:val="2"/>
            <w:tcBorders>
              <w:top w:val="single" w:sz="18" w:space="0" w:color="000000"/>
            </w:tcBorders>
            <w:vAlign w:val="center"/>
          </w:tcPr>
          <w:p w14:paraId="780F281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7" w:type="pct"/>
            <w:gridSpan w:val="2"/>
            <w:tcBorders>
              <w:top w:val="single" w:sz="18" w:space="0" w:color="000000"/>
            </w:tcBorders>
            <w:vAlign w:val="center"/>
          </w:tcPr>
          <w:p w14:paraId="7881951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7" w:type="pct"/>
            <w:gridSpan w:val="2"/>
            <w:tcBorders>
              <w:top w:val="single" w:sz="18" w:space="0" w:color="000000"/>
            </w:tcBorders>
            <w:vAlign w:val="center"/>
          </w:tcPr>
          <w:p w14:paraId="1E4200C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8" w:type="pct"/>
            <w:tcBorders>
              <w:top w:val="single" w:sz="18" w:space="0" w:color="000000"/>
            </w:tcBorders>
            <w:vAlign w:val="center"/>
          </w:tcPr>
          <w:p w14:paraId="6525AA2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20 (13.6)</w:t>
            </w:r>
          </w:p>
        </w:tc>
        <w:tc>
          <w:tcPr>
            <w:tcW w:w="273" w:type="pct"/>
            <w:gridSpan w:val="3"/>
            <w:tcBorders>
              <w:top w:val="single" w:sz="18" w:space="0" w:color="000000"/>
            </w:tcBorders>
            <w:vAlign w:val="center"/>
          </w:tcPr>
          <w:p w14:paraId="70FCEF9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32 (22.1)</w:t>
            </w:r>
          </w:p>
        </w:tc>
      </w:tr>
      <w:tr w:rsidR="00364334" w:rsidRPr="002F1DCC" w14:paraId="5C65B151" w14:textId="77777777" w:rsidTr="00364334">
        <w:trPr>
          <w:trHeight w:val="1125"/>
        </w:trPr>
        <w:tc>
          <w:tcPr>
            <w:tcW w:w="356" w:type="pct"/>
            <w:vAlign w:val="center"/>
          </w:tcPr>
          <w:p w14:paraId="1AF337B8"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2017-Wu</w:t>
            </w:r>
          </w:p>
        </w:tc>
        <w:tc>
          <w:tcPr>
            <w:tcW w:w="327" w:type="pct"/>
            <w:vAlign w:val="center"/>
          </w:tcPr>
          <w:p w14:paraId="7FAD593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646 (424/222)</w:t>
            </w:r>
          </w:p>
        </w:tc>
        <w:tc>
          <w:tcPr>
            <w:tcW w:w="347" w:type="pct"/>
            <w:gridSpan w:val="2"/>
            <w:vAlign w:val="center"/>
          </w:tcPr>
          <w:p w14:paraId="3844AF3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 xml:space="preserve">96 </w:t>
            </w:r>
            <w:r w:rsidRPr="002F1DCC">
              <w:rPr>
                <w:rFonts w:ascii="Times New Roman" w:hAnsi="Times New Roman" w:cs="Times New Roman"/>
                <w:bCs/>
                <w:color w:val="000000" w:themeColor="text1"/>
                <w:sz w:val="16"/>
                <w:szCs w:val="18"/>
              </w:rPr>
              <w:t>(100)</w:t>
            </w:r>
          </w:p>
        </w:tc>
        <w:tc>
          <w:tcPr>
            <w:tcW w:w="280" w:type="pct"/>
            <w:gridSpan w:val="2"/>
            <w:vAlign w:val="center"/>
          </w:tcPr>
          <w:p w14:paraId="3E02537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 xml:space="preserve">56 </w:t>
            </w:r>
            <w:r w:rsidRPr="002F1DCC">
              <w:rPr>
                <w:rFonts w:ascii="Times New Roman" w:hAnsi="Times New Roman" w:cs="Times New Roman"/>
                <w:bCs/>
                <w:color w:val="000000" w:themeColor="text1"/>
                <w:sz w:val="16"/>
                <w:szCs w:val="18"/>
              </w:rPr>
              <w:t>(100)</w:t>
            </w:r>
          </w:p>
        </w:tc>
        <w:tc>
          <w:tcPr>
            <w:tcW w:w="347" w:type="pct"/>
            <w:gridSpan w:val="2"/>
            <w:vAlign w:val="center"/>
          </w:tcPr>
          <w:p w14:paraId="7A4862C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II:48 (23.3)</w:t>
            </w:r>
          </w:p>
          <w:p w14:paraId="4601693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II:48 (23.3)</w:t>
            </w:r>
          </w:p>
        </w:tc>
        <w:tc>
          <w:tcPr>
            <w:tcW w:w="266" w:type="pct"/>
            <w:gridSpan w:val="2"/>
            <w:vAlign w:val="center"/>
          </w:tcPr>
          <w:p w14:paraId="3F2F555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I:56 (24.3)</w:t>
            </w:r>
          </w:p>
        </w:tc>
        <w:tc>
          <w:tcPr>
            <w:tcW w:w="347" w:type="pct"/>
            <w:gridSpan w:val="2"/>
            <w:vAlign w:val="center"/>
          </w:tcPr>
          <w:p w14:paraId="15EA31C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6" w:type="pct"/>
            <w:gridSpan w:val="2"/>
            <w:vAlign w:val="center"/>
          </w:tcPr>
          <w:p w14:paraId="5483FE6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7" w:type="pct"/>
            <w:gridSpan w:val="3"/>
            <w:vAlign w:val="center"/>
          </w:tcPr>
          <w:p w14:paraId="66C372D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7" w:type="pct"/>
            <w:gridSpan w:val="2"/>
            <w:vAlign w:val="center"/>
          </w:tcPr>
          <w:p w14:paraId="731A39A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7" w:type="pct"/>
            <w:gridSpan w:val="2"/>
            <w:vAlign w:val="center"/>
          </w:tcPr>
          <w:p w14:paraId="5022FD2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II:13 (6.3)</w:t>
            </w:r>
          </w:p>
          <w:p w14:paraId="6955DB3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II:7 (3.6)</w:t>
            </w:r>
          </w:p>
        </w:tc>
        <w:tc>
          <w:tcPr>
            <w:tcW w:w="267" w:type="pct"/>
            <w:gridSpan w:val="2"/>
            <w:vAlign w:val="center"/>
          </w:tcPr>
          <w:p w14:paraId="1DC6B87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I:11 (4.78)</w:t>
            </w:r>
          </w:p>
        </w:tc>
        <w:tc>
          <w:tcPr>
            <w:tcW w:w="347" w:type="pct"/>
            <w:gridSpan w:val="2"/>
            <w:vAlign w:val="center"/>
          </w:tcPr>
          <w:p w14:paraId="6B9FD35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II:6 (2.9)</w:t>
            </w:r>
          </w:p>
          <w:p w14:paraId="6D7BCB8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II:9 (4.3)</w:t>
            </w:r>
          </w:p>
        </w:tc>
        <w:tc>
          <w:tcPr>
            <w:tcW w:w="267" w:type="pct"/>
            <w:gridSpan w:val="2"/>
            <w:vAlign w:val="center"/>
          </w:tcPr>
          <w:p w14:paraId="413CF8B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I:8 (3.5)</w:t>
            </w:r>
          </w:p>
        </w:tc>
        <w:tc>
          <w:tcPr>
            <w:tcW w:w="348" w:type="pct"/>
            <w:vAlign w:val="center"/>
          </w:tcPr>
          <w:p w14:paraId="5B1DDD7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73" w:type="pct"/>
            <w:gridSpan w:val="3"/>
            <w:vAlign w:val="center"/>
          </w:tcPr>
          <w:p w14:paraId="23C51FE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r>
      <w:tr w:rsidR="00364334" w:rsidRPr="002F1DCC" w14:paraId="3340FB74" w14:textId="77777777" w:rsidTr="00364334">
        <w:trPr>
          <w:trHeight w:val="1125"/>
        </w:trPr>
        <w:tc>
          <w:tcPr>
            <w:tcW w:w="356" w:type="pct"/>
            <w:vAlign w:val="center"/>
          </w:tcPr>
          <w:p w14:paraId="44504672"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2019-Langer</w:t>
            </w:r>
          </w:p>
        </w:tc>
        <w:tc>
          <w:tcPr>
            <w:tcW w:w="327" w:type="pct"/>
            <w:vAlign w:val="center"/>
          </w:tcPr>
          <w:p w14:paraId="56AB4AF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101 (53/48)</w:t>
            </w:r>
          </w:p>
        </w:tc>
        <w:tc>
          <w:tcPr>
            <w:tcW w:w="347" w:type="pct"/>
            <w:gridSpan w:val="2"/>
            <w:vAlign w:val="center"/>
          </w:tcPr>
          <w:p w14:paraId="0467F7D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31 (62)</w:t>
            </w:r>
          </w:p>
        </w:tc>
        <w:tc>
          <w:tcPr>
            <w:tcW w:w="280" w:type="pct"/>
            <w:gridSpan w:val="2"/>
            <w:vAlign w:val="center"/>
          </w:tcPr>
          <w:p w14:paraId="239BD49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35 (68.6)</w:t>
            </w:r>
          </w:p>
        </w:tc>
        <w:tc>
          <w:tcPr>
            <w:tcW w:w="347" w:type="pct"/>
            <w:gridSpan w:val="2"/>
            <w:vAlign w:val="center"/>
          </w:tcPr>
          <w:p w14:paraId="2C37646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6 (12)</w:t>
            </w:r>
          </w:p>
        </w:tc>
        <w:tc>
          <w:tcPr>
            <w:tcW w:w="266" w:type="pct"/>
            <w:gridSpan w:val="2"/>
            <w:vAlign w:val="center"/>
          </w:tcPr>
          <w:p w14:paraId="641351B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11 (21.6)</w:t>
            </w:r>
          </w:p>
        </w:tc>
        <w:tc>
          <w:tcPr>
            <w:tcW w:w="347" w:type="pct"/>
            <w:gridSpan w:val="2"/>
            <w:vAlign w:val="center"/>
          </w:tcPr>
          <w:p w14:paraId="5433410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6" w:type="pct"/>
            <w:gridSpan w:val="2"/>
            <w:vAlign w:val="center"/>
          </w:tcPr>
          <w:p w14:paraId="4D51CDE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7" w:type="pct"/>
            <w:gridSpan w:val="3"/>
            <w:vAlign w:val="center"/>
          </w:tcPr>
          <w:p w14:paraId="5655118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7" w:type="pct"/>
            <w:gridSpan w:val="2"/>
            <w:vAlign w:val="center"/>
          </w:tcPr>
          <w:p w14:paraId="188D3BA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7" w:type="pct"/>
            <w:gridSpan w:val="2"/>
            <w:vAlign w:val="center"/>
          </w:tcPr>
          <w:p w14:paraId="7D35916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7" w:type="pct"/>
            <w:gridSpan w:val="2"/>
            <w:vAlign w:val="center"/>
          </w:tcPr>
          <w:p w14:paraId="0B18680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7" w:type="pct"/>
            <w:gridSpan w:val="2"/>
            <w:vAlign w:val="center"/>
          </w:tcPr>
          <w:p w14:paraId="425A8F6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7" w:type="pct"/>
            <w:gridSpan w:val="2"/>
            <w:vAlign w:val="center"/>
          </w:tcPr>
          <w:p w14:paraId="273C669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8" w:type="pct"/>
            <w:vAlign w:val="center"/>
          </w:tcPr>
          <w:p w14:paraId="5338989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73" w:type="pct"/>
            <w:gridSpan w:val="3"/>
            <w:vAlign w:val="center"/>
          </w:tcPr>
          <w:p w14:paraId="3D424AE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r>
      <w:tr w:rsidR="00364334" w:rsidRPr="002F1DCC" w14:paraId="6851CC8C" w14:textId="77777777" w:rsidTr="00364334">
        <w:trPr>
          <w:gridAfter w:val="1"/>
          <w:wAfter w:w="24" w:type="pct"/>
          <w:trHeight w:val="1125"/>
        </w:trPr>
        <w:tc>
          <w:tcPr>
            <w:tcW w:w="356" w:type="pct"/>
            <w:vAlign w:val="center"/>
          </w:tcPr>
          <w:p w14:paraId="5EFB6210"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2020-Xu</w:t>
            </w:r>
          </w:p>
        </w:tc>
        <w:tc>
          <w:tcPr>
            <w:tcW w:w="327" w:type="pct"/>
            <w:vAlign w:val="center"/>
          </w:tcPr>
          <w:p w14:paraId="6CEDE03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150 (60/90)</w:t>
            </w:r>
          </w:p>
        </w:tc>
        <w:tc>
          <w:tcPr>
            <w:tcW w:w="345" w:type="pct"/>
            <w:vAlign w:val="center"/>
          </w:tcPr>
          <w:p w14:paraId="7CC0A1F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M: 26 (52)</w:t>
            </w:r>
          </w:p>
          <w:p w14:paraId="0512228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H: 23(46)</w:t>
            </w:r>
          </w:p>
        </w:tc>
        <w:tc>
          <w:tcPr>
            <w:tcW w:w="279" w:type="pct"/>
            <w:gridSpan w:val="2"/>
            <w:vAlign w:val="center"/>
          </w:tcPr>
          <w:p w14:paraId="23C3458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D: 27 (54)</w:t>
            </w:r>
          </w:p>
          <w:p w14:paraId="154EED2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p>
        </w:tc>
        <w:tc>
          <w:tcPr>
            <w:tcW w:w="344" w:type="pct"/>
            <w:gridSpan w:val="2"/>
            <w:vAlign w:val="center"/>
          </w:tcPr>
          <w:p w14:paraId="0FED22A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M: 7 (14)</w:t>
            </w:r>
          </w:p>
          <w:p w14:paraId="1758061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H: 5 (10)</w:t>
            </w:r>
          </w:p>
        </w:tc>
        <w:tc>
          <w:tcPr>
            <w:tcW w:w="267" w:type="pct"/>
            <w:gridSpan w:val="2"/>
            <w:vAlign w:val="center"/>
          </w:tcPr>
          <w:p w14:paraId="26EE5F8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D: 8 (16)</w:t>
            </w:r>
          </w:p>
          <w:p w14:paraId="21D34FE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p>
        </w:tc>
        <w:tc>
          <w:tcPr>
            <w:tcW w:w="344" w:type="pct"/>
            <w:gridSpan w:val="2"/>
            <w:vAlign w:val="center"/>
          </w:tcPr>
          <w:p w14:paraId="42AC270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7" w:type="pct"/>
            <w:gridSpan w:val="2"/>
            <w:vAlign w:val="center"/>
          </w:tcPr>
          <w:p w14:paraId="6163266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2" w:type="pct"/>
            <w:gridSpan w:val="3"/>
            <w:vAlign w:val="center"/>
          </w:tcPr>
          <w:p w14:paraId="33C4B02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9" w:type="pct"/>
            <w:gridSpan w:val="2"/>
            <w:vAlign w:val="center"/>
          </w:tcPr>
          <w:p w14:paraId="1BA6C29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1" w:type="pct"/>
            <w:gridSpan w:val="2"/>
            <w:vAlign w:val="center"/>
          </w:tcPr>
          <w:p w14:paraId="6784602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71" w:type="pct"/>
            <w:gridSpan w:val="2"/>
            <w:vAlign w:val="center"/>
          </w:tcPr>
          <w:p w14:paraId="5C6928E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0" w:type="pct"/>
            <w:gridSpan w:val="2"/>
            <w:vAlign w:val="center"/>
          </w:tcPr>
          <w:p w14:paraId="49523DD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71" w:type="pct"/>
            <w:gridSpan w:val="2"/>
            <w:vAlign w:val="center"/>
          </w:tcPr>
          <w:p w14:paraId="731B55D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77" w:type="pct"/>
            <w:gridSpan w:val="3"/>
            <w:vAlign w:val="center"/>
          </w:tcPr>
          <w:p w14:paraId="7AB9192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M: 7 (14)</w:t>
            </w:r>
          </w:p>
          <w:p w14:paraId="2A06FDB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H: 5 (10)</w:t>
            </w:r>
          </w:p>
        </w:tc>
        <w:tc>
          <w:tcPr>
            <w:tcW w:w="235" w:type="pct"/>
            <w:vAlign w:val="center"/>
          </w:tcPr>
          <w:p w14:paraId="693FCB1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D: 4 (8)</w:t>
            </w:r>
          </w:p>
          <w:p w14:paraId="4F5E1B8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p>
        </w:tc>
      </w:tr>
      <w:tr w:rsidR="00364334" w:rsidRPr="002F1DCC" w14:paraId="7C15B960" w14:textId="77777777" w:rsidTr="00364334">
        <w:trPr>
          <w:gridAfter w:val="1"/>
          <w:wAfter w:w="24" w:type="pct"/>
          <w:trHeight w:val="1125"/>
        </w:trPr>
        <w:tc>
          <w:tcPr>
            <w:tcW w:w="356" w:type="pct"/>
            <w:vAlign w:val="center"/>
          </w:tcPr>
          <w:p w14:paraId="252108E7"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2021-Hu</w:t>
            </w:r>
          </w:p>
        </w:tc>
        <w:tc>
          <w:tcPr>
            <w:tcW w:w="327" w:type="pct"/>
            <w:vAlign w:val="center"/>
          </w:tcPr>
          <w:p w14:paraId="7F5F4AE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298 (124/174)</w:t>
            </w:r>
          </w:p>
        </w:tc>
        <w:tc>
          <w:tcPr>
            <w:tcW w:w="345" w:type="pct"/>
            <w:vAlign w:val="center"/>
          </w:tcPr>
          <w:p w14:paraId="05CA4B1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79" w:type="pct"/>
            <w:gridSpan w:val="2"/>
            <w:vAlign w:val="center"/>
          </w:tcPr>
          <w:p w14:paraId="3CAFF89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4" w:type="pct"/>
            <w:gridSpan w:val="2"/>
            <w:vAlign w:val="center"/>
          </w:tcPr>
          <w:p w14:paraId="45E0920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7" w:type="pct"/>
            <w:gridSpan w:val="2"/>
            <w:vAlign w:val="center"/>
          </w:tcPr>
          <w:p w14:paraId="534EA98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4" w:type="pct"/>
            <w:gridSpan w:val="2"/>
            <w:vAlign w:val="center"/>
          </w:tcPr>
          <w:p w14:paraId="0BC96B9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7" w:type="pct"/>
            <w:gridSpan w:val="2"/>
            <w:vAlign w:val="center"/>
          </w:tcPr>
          <w:p w14:paraId="4932574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2" w:type="pct"/>
            <w:gridSpan w:val="3"/>
            <w:vAlign w:val="center"/>
          </w:tcPr>
          <w:p w14:paraId="2B4A1DB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9" w:type="pct"/>
            <w:gridSpan w:val="2"/>
            <w:vAlign w:val="center"/>
          </w:tcPr>
          <w:p w14:paraId="556221A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1" w:type="pct"/>
            <w:gridSpan w:val="2"/>
            <w:vAlign w:val="center"/>
          </w:tcPr>
          <w:p w14:paraId="30B13A3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71" w:type="pct"/>
            <w:gridSpan w:val="2"/>
            <w:vAlign w:val="center"/>
          </w:tcPr>
          <w:p w14:paraId="1A140FB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0" w:type="pct"/>
            <w:gridSpan w:val="2"/>
            <w:vAlign w:val="center"/>
          </w:tcPr>
          <w:p w14:paraId="0EAB223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71" w:type="pct"/>
            <w:gridSpan w:val="2"/>
            <w:vAlign w:val="center"/>
          </w:tcPr>
          <w:p w14:paraId="564B754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77" w:type="pct"/>
            <w:gridSpan w:val="3"/>
            <w:vAlign w:val="center"/>
          </w:tcPr>
          <w:p w14:paraId="27E04AC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35" w:type="pct"/>
            <w:vAlign w:val="center"/>
          </w:tcPr>
          <w:p w14:paraId="62A2013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r>
      <w:tr w:rsidR="00364334" w:rsidRPr="002F1DCC" w14:paraId="71AC1850" w14:textId="77777777" w:rsidTr="00364334">
        <w:trPr>
          <w:gridAfter w:val="1"/>
          <w:wAfter w:w="24" w:type="pct"/>
          <w:trHeight w:val="1125"/>
        </w:trPr>
        <w:tc>
          <w:tcPr>
            <w:tcW w:w="356" w:type="pct"/>
            <w:vAlign w:val="center"/>
          </w:tcPr>
          <w:p w14:paraId="687597A0"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2021-Wanner</w:t>
            </w:r>
          </w:p>
        </w:tc>
        <w:tc>
          <w:tcPr>
            <w:tcW w:w="327" w:type="pct"/>
            <w:vAlign w:val="center"/>
          </w:tcPr>
          <w:p w14:paraId="0246C9C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451 (368/83)</w:t>
            </w:r>
          </w:p>
        </w:tc>
        <w:tc>
          <w:tcPr>
            <w:tcW w:w="345" w:type="pct"/>
            <w:vAlign w:val="center"/>
          </w:tcPr>
          <w:p w14:paraId="70B81D1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79" w:type="pct"/>
            <w:gridSpan w:val="2"/>
            <w:vAlign w:val="center"/>
          </w:tcPr>
          <w:p w14:paraId="62415CA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4" w:type="pct"/>
            <w:gridSpan w:val="2"/>
            <w:vAlign w:val="center"/>
          </w:tcPr>
          <w:p w14:paraId="008CDE0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19 (8</w:t>
            </w:r>
            <w:r w:rsidRPr="002F1DCC">
              <w:rPr>
                <w:rFonts w:ascii="Times New Roman" w:hAnsi="Times New Roman" w:cs="Times New Roman"/>
                <w:bCs/>
                <w:color w:val="000000" w:themeColor="text1"/>
                <w:sz w:val="16"/>
                <w:szCs w:val="18"/>
              </w:rPr>
              <w:t>.4</w:t>
            </w:r>
            <w:r w:rsidRPr="002F1DCC">
              <w:rPr>
                <w:rFonts w:ascii="Times New Roman" w:hAnsi="Times New Roman" w:cs="Times New Roman" w:hint="eastAsia"/>
                <w:bCs/>
                <w:color w:val="000000" w:themeColor="text1"/>
                <w:sz w:val="16"/>
                <w:szCs w:val="18"/>
              </w:rPr>
              <w:t>)</w:t>
            </w:r>
          </w:p>
        </w:tc>
        <w:tc>
          <w:tcPr>
            <w:tcW w:w="267" w:type="pct"/>
            <w:gridSpan w:val="2"/>
            <w:vAlign w:val="center"/>
          </w:tcPr>
          <w:p w14:paraId="372E2DC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24 (1</w:t>
            </w:r>
            <w:r w:rsidRPr="002F1DCC">
              <w:rPr>
                <w:rFonts w:ascii="Times New Roman" w:hAnsi="Times New Roman" w:cs="Times New Roman"/>
                <w:bCs/>
                <w:color w:val="000000" w:themeColor="text1"/>
                <w:sz w:val="16"/>
                <w:szCs w:val="18"/>
              </w:rPr>
              <w:t>0.6</w:t>
            </w:r>
            <w:r w:rsidRPr="002F1DCC">
              <w:rPr>
                <w:rFonts w:ascii="Times New Roman" w:hAnsi="Times New Roman" w:cs="Times New Roman" w:hint="eastAsia"/>
                <w:bCs/>
                <w:color w:val="000000" w:themeColor="text1"/>
                <w:sz w:val="16"/>
                <w:szCs w:val="18"/>
              </w:rPr>
              <w:t>)</w:t>
            </w:r>
          </w:p>
        </w:tc>
        <w:tc>
          <w:tcPr>
            <w:tcW w:w="344" w:type="pct"/>
            <w:gridSpan w:val="2"/>
            <w:vAlign w:val="center"/>
          </w:tcPr>
          <w:p w14:paraId="019DE09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34 (15</w:t>
            </w:r>
            <w:r w:rsidRPr="002F1DCC">
              <w:rPr>
                <w:rFonts w:ascii="Times New Roman" w:hAnsi="Times New Roman" w:cs="Times New Roman"/>
                <w:bCs/>
                <w:color w:val="000000" w:themeColor="text1"/>
                <w:sz w:val="16"/>
                <w:szCs w:val="18"/>
              </w:rPr>
              <w:t>.1</w:t>
            </w:r>
            <w:r w:rsidRPr="002F1DCC">
              <w:rPr>
                <w:rFonts w:ascii="Times New Roman" w:hAnsi="Times New Roman" w:cs="Times New Roman" w:hint="eastAsia"/>
                <w:bCs/>
                <w:color w:val="000000" w:themeColor="text1"/>
                <w:sz w:val="16"/>
                <w:szCs w:val="18"/>
              </w:rPr>
              <w:t>)</w:t>
            </w:r>
          </w:p>
        </w:tc>
        <w:tc>
          <w:tcPr>
            <w:tcW w:w="267" w:type="pct"/>
            <w:gridSpan w:val="2"/>
            <w:vAlign w:val="center"/>
          </w:tcPr>
          <w:p w14:paraId="20BEBF6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33 (1</w:t>
            </w:r>
            <w:r w:rsidRPr="002F1DCC">
              <w:rPr>
                <w:rFonts w:ascii="Times New Roman" w:hAnsi="Times New Roman" w:cs="Times New Roman"/>
                <w:bCs/>
                <w:color w:val="000000" w:themeColor="text1"/>
                <w:sz w:val="16"/>
                <w:szCs w:val="18"/>
              </w:rPr>
              <w:t>4.6</w:t>
            </w:r>
            <w:r w:rsidRPr="002F1DCC">
              <w:rPr>
                <w:rFonts w:ascii="Times New Roman" w:hAnsi="Times New Roman" w:cs="Times New Roman" w:hint="eastAsia"/>
                <w:bCs/>
                <w:color w:val="000000" w:themeColor="text1"/>
                <w:sz w:val="16"/>
                <w:szCs w:val="18"/>
              </w:rPr>
              <w:t>)</w:t>
            </w:r>
          </w:p>
        </w:tc>
        <w:tc>
          <w:tcPr>
            <w:tcW w:w="342" w:type="pct"/>
            <w:gridSpan w:val="3"/>
            <w:vAlign w:val="center"/>
          </w:tcPr>
          <w:p w14:paraId="50C0A5A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 (1)</w:t>
            </w:r>
          </w:p>
        </w:tc>
        <w:tc>
          <w:tcPr>
            <w:tcW w:w="269" w:type="pct"/>
            <w:gridSpan w:val="2"/>
            <w:vAlign w:val="center"/>
          </w:tcPr>
          <w:p w14:paraId="099F227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 (0)</w:t>
            </w:r>
          </w:p>
        </w:tc>
        <w:tc>
          <w:tcPr>
            <w:tcW w:w="341" w:type="pct"/>
            <w:gridSpan w:val="2"/>
            <w:vAlign w:val="center"/>
          </w:tcPr>
          <w:p w14:paraId="38F8F81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9 (4)</w:t>
            </w:r>
          </w:p>
        </w:tc>
        <w:tc>
          <w:tcPr>
            <w:tcW w:w="271" w:type="pct"/>
            <w:gridSpan w:val="2"/>
            <w:vAlign w:val="center"/>
          </w:tcPr>
          <w:p w14:paraId="4253005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7 (3</w:t>
            </w:r>
            <w:r w:rsidRPr="002F1DCC">
              <w:rPr>
                <w:rFonts w:ascii="Times New Roman" w:hAnsi="Times New Roman" w:cs="Times New Roman"/>
                <w:bCs/>
                <w:color w:val="000000" w:themeColor="text1"/>
                <w:sz w:val="16"/>
                <w:szCs w:val="18"/>
              </w:rPr>
              <w:t>.1</w:t>
            </w:r>
            <w:r w:rsidRPr="002F1DCC">
              <w:rPr>
                <w:rFonts w:ascii="Times New Roman" w:hAnsi="Times New Roman" w:cs="Times New Roman" w:hint="eastAsia"/>
                <w:bCs/>
                <w:color w:val="000000" w:themeColor="text1"/>
                <w:sz w:val="16"/>
                <w:szCs w:val="18"/>
              </w:rPr>
              <w:t>)</w:t>
            </w:r>
          </w:p>
        </w:tc>
        <w:tc>
          <w:tcPr>
            <w:tcW w:w="340" w:type="pct"/>
            <w:gridSpan w:val="2"/>
            <w:vAlign w:val="center"/>
          </w:tcPr>
          <w:p w14:paraId="0541165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11 (</w:t>
            </w:r>
            <w:r w:rsidRPr="002F1DCC">
              <w:rPr>
                <w:rFonts w:ascii="Times New Roman" w:hAnsi="Times New Roman" w:cs="Times New Roman"/>
                <w:bCs/>
                <w:color w:val="000000" w:themeColor="text1"/>
                <w:sz w:val="16"/>
                <w:szCs w:val="18"/>
              </w:rPr>
              <w:t>4.9</w:t>
            </w:r>
            <w:r w:rsidRPr="002F1DCC">
              <w:rPr>
                <w:rFonts w:ascii="Times New Roman" w:hAnsi="Times New Roman" w:cs="Times New Roman" w:hint="eastAsia"/>
                <w:bCs/>
                <w:color w:val="000000" w:themeColor="text1"/>
                <w:sz w:val="16"/>
                <w:szCs w:val="18"/>
              </w:rPr>
              <w:t>)</w:t>
            </w:r>
          </w:p>
        </w:tc>
        <w:tc>
          <w:tcPr>
            <w:tcW w:w="271" w:type="pct"/>
            <w:gridSpan w:val="2"/>
            <w:vAlign w:val="center"/>
          </w:tcPr>
          <w:p w14:paraId="2D02264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23 (10</w:t>
            </w:r>
            <w:r w:rsidRPr="002F1DCC">
              <w:rPr>
                <w:rFonts w:ascii="Times New Roman" w:hAnsi="Times New Roman" w:cs="Times New Roman"/>
                <w:bCs/>
                <w:color w:val="000000" w:themeColor="text1"/>
                <w:sz w:val="16"/>
                <w:szCs w:val="18"/>
              </w:rPr>
              <w:t>.1</w:t>
            </w:r>
            <w:r w:rsidRPr="002F1DCC">
              <w:rPr>
                <w:rFonts w:ascii="Times New Roman" w:hAnsi="Times New Roman" w:cs="Times New Roman" w:hint="eastAsia"/>
                <w:bCs/>
                <w:color w:val="000000" w:themeColor="text1"/>
                <w:sz w:val="16"/>
                <w:szCs w:val="18"/>
              </w:rPr>
              <w:t>)</w:t>
            </w:r>
          </w:p>
        </w:tc>
        <w:tc>
          <w:tcPr>
            <w:tcW w:w="377" w:type="pct"/>
            <w:gridSpan w:val="3"/>
            <w:vAlign w:val="center"/>
          </w:tcPr>
          <w:p w14:paraId="4683272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111 (49</w:t>
            </w:r>
            <w:r w:rsidRPr="002F1DCC">
              <w:rPr>
                <w:rFonts w:ascii="Times New Roman" w:hAnsi="Times New Roman" w:cs="Times New Roman"/>
                <w:bCs/>
                <w:color w:val="000000" w:themeColor="text1"/>
                <w:sz w:val="16"/>
                <w:szCs w:val="18"/>
              </w:rPr>
              <w:t>.3</w:t>
            </w:r>
            <w:r w:rsidRPr="002F1DCC">
              <w:rPr>
                <w:rFonts w:ascii="Times New Roman" w:hAnsi="Times New Roman" w:cs="Times New Roman" w:hint="eastAsia"/>
                <w:bCs/>
                <w:color w:val="000000" w:themeColor="text1"/>
                <w:sz w:val="16"/>
                <w:szCs w:val="18"/>
              </w:rPr>
              <w:t>)</w:t>
            </w:r>
          </w:p>
        </w:tc>
        <w:tc>
          <w:tcPr>
            <w:tcW w:w="235" w:type="pct"/>
            <w:vAlign w:val="center"/>
          </w:tcPr>
          <w:p w14:paraId="3081768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84 (37</w:t>
            </w:r>
            <w:r w:rsidRPr="002F1DCC">
              <w:rPr>
                <w:rFonts w:ascii="Times New Roman" w:hAnsi="Times New Roman" w:cs="Times New Roman"/>
                <w:bCs/>
                <w:color w:val="000000" w:themeColor="text1"/>
                <w:sz w:val="16"/>
                <w:szCs w:val="18"/>
              </w:rPr>
              <w:t>.1</w:t>
            </w:r>
            <w:r w:rsidRPr="002F1DCC">
              <w:rPr>
                <w:rFonts w:ascii="Times New Roman" w:hAnsi="Times New Roman" w:cs="Times New Roman" w:hint="eastAsia"/>
                <w:bCs/>
                <w:color w:val="000000" w:themeColor="text1"/>
                <w:sz w:val="16"/>
                <w:szCs w:val="18"/>
              </w:rPr>
              <w:t>)</w:t>
            </w:r>
          </w:p>
        </w:tc>
      </w:tr>
      <w:tr w:rsidR="00364334" w:rsidRPr="002F1DCC" w14:paraId="001DADC9" w14:textId="77777777" w:rsidTr="00364334">
        <w:trPr>
          <w:gridAfter w:val="1"/>
          <w:wAfter w:w="24" w:type="pct"/>
          <w:trHeight w:val="1125"/>
        </w:trPr>
        <w:tc>
          <w:tcPr>
            <w:tcW w:w="356" w:type="pct"/>
            <w:vAlign w:val="center"/>
          </w:tcPr>
          <w:p w14:paraId="722DB304"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2022-Zhang</w:t>
            </w:r>
          </w:p>
        </w:tc>
        <w:tc>
          <w:tcPr>
            <w:tcW w:w="327" w:type="pct"/>
            <w:vAlign w:val="center"/>
          </w:tcPr>
          <w:p w14:paraId="5E39875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108 (71/37)</w:t>
            </w:r>
          </w:p>
        </w:tc>
        <w:tc>
          <w:tcPr>
            <w:tcW w:w="345" w:type="pct"/>
            <w:vAlign w:val="center"/>
          </w:tcPr>
          <w:p w14:paraId="60098A7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21 (39.6)</w:t>
            </w:r>
          </w:p>
        </w:tc>
        <w:tc>
          <w:tcPr>
            <w:tcW w:w="279" w:type="pct"/>
            <w:gridSpan w:val="2"/>
            <w:vAlign w:val="center"/>
          </w:tcPr>
          <w:p w14:paraId="6912C99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25 (45.5)</w:t>
            </w:r>
          </w:p>
        </w:tc>
        <w:tc>
          <w:tcPr>
            <w:tcW w:w="344" w:type="pct"/>
            <w:gridSpan w:val="2"/>
            <w:vAlign w:val="center"/>
          </w:tcPr>
          <w:p w14:paraId="10CD243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11 (20.8)</w:t>
            </w:r>
          </w:p>
        </w:tc>
        <w:tc>
          <w:tcPr>
            <w:tcW w:w="267" w:type="pct"/>
            <w:gridSpan w:val="2"/>
            <w:vAlign w:val="center"/>
          </w:tcPr>
          <w:p w14:paraId="28F4055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10 (18.2)</w:t>
            </w:r>
          </w:p>
        </w:tc>
        <w:tc>
          <w:tcPr>
            <w:tcW w:w="344" w:type="pct"/>
            <w:gridSpan w:val="2"/>
            <w:vAlign w:val="center"/>
          </w:tcPr>
          <w:p w14:paraId="347D918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7" w:type="pct"/>
            <w:gridSpan w:val="2"/>
            <w:vAlign w:val="center"/>
          </w:tcPr>
          <w:p w14:paraId="5044C75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2" w:type="pct"/>
            <w:gridSpan w:val="3"/>
            <w:vAlign w:val="center"/>
          </w:tcPr>
          <w:p w14:paraId="79A0A35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69" w:type="pct"/>
            <w:gridSpan w:val="2"/>
            <w:vAlign w:val="center"/>
          </w:tcPr>
          <w:p w14:paraId="22A6D35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1" w:type="pct"/>
            <w:gridSpan w:val="2"/>
            <w:vAlign w:val="center"/>
          </w:tcPr>
          <w:p w14:paraId="750673F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71" w:type="pct"/>
            <w:gridSpan w:val="2"/>
            <w:vAlign w:val="center"/>
          </w:tcPr>
          <w:p w14:paraId="139BAFE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40" w:type="pct"/>
            <w:gridSpan w:val="2"/>
            <w:vAlign w:val="center"/>
          </w:tcPr>
          <w:p w14:paraId="56B7535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271" w:type="pct"/>
            <w:gridSpan w:val="2"/>
            <w:vAlign w:val="center"/>
          </w:tcPr>
          <w:p w14:paraId="5204C2B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NA</w:t>
            </w:r>
          </w:p>
        </w:tc>
        <w:tc>
          <w:tcPr>
            <w:tcW w:w="377" w:type="pct"/>
            <w:gridSpan w:val="3"/>
            <w:vAlign w:val="center"/>
          </w:tcPr>
          <w:p w14:paraId="1BAFA4D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4 (7.5)</w:t>
            </w:r>
          </w:p>
        </w:tc>
        <w:tc>
          <w:tcPr>
            <w:tcW w:w="235" w:type="pct"/>
            <w:vAlign w:val="center"/>
          </w:tcPr>
          <w:p w14:paraId="3C54110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5 (9.1)</w:t>
            </w:r>
          </w:p>
        </w:tc>
      </w:tr>
      <w:tr w:rsidR="00364334" w:rsidRPr="002F1DCC" w14:paraId="7B84C2C8" w14:textId="77777777" w:rsidTr="00364334">
        <w:trPr>
          <w:gridAfter w:val="1"/>
          <w:wAfter w:w="24" w:type="pct"/>
          <w:trHeight w:val="1125"/>
        </w:trPr>
        <w:tc>
          <w:tcPr>
            <w:tcW w:w="356" w:type="pct"/>
            <w:vAlign w:val="center"/>
          </w:tcPr>
          <w:p w14:paraId="0DA097A5"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eastAsia="SimSun" w:hAnsi="Times New Roman" w:cs="Times New Roman"/>
                <w:b/>
                <w:color w:val="000000" w:themeColor="text1"/>
                <w:kern w:val="0"/>
                <w:sz w:val="16"/>
                <w:szCs w:val="18"/>
                <w14:ligatures w14:val="none"/>
              </w:rPr>
              <w:t>2023-Marcucci* (POISE-3 trial)</w:t>
            </w:r>
          </w:p>
        </w:tc>
        <w:tc>
          <w:tcPr>
            <w:tcW w:w="327" w:type="pct"/>
            <w:vAlign w:val="center"/>
          </w:tcPr>
          <w:p w14:paraId="64E63B1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7490 (4171/3319)</w:t>
            </w:r>
          </w:p>
        </w:tc>
        <w:tc>
          <w:tcPr>
            <w:tcW w:w="345" w:type="pct"/>
            <w:vAlign w:val="center"/>
          </w:tcPr>
          <w:p w14:paraId="6F7567E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3656 (97.5)</w:t>
            </w:r>
          </w:p>
        </w:tc>
        <w:tc>
          <w:tcPr>
            <w:tcW w:w="279" w:type="pct"/>
            <w:gridSpan w:val="2"/>
            <w:vAlign w:val="center"/>
          </w:tcPr>
          <w:p w14:paraId="0620F69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3663 (9</w:t>
            </w:r>
            <w:r w:rsidRPr="002F1DCC">
              <w:rPr>
                <w:rFonts w:ascii="Times New Roman" w:hAnsi="Times New Roman" w:cs="Times New Roman"/>
                <w:bCs/>
                <w:color w:val="000000" w:themeColor="text1"/>
                <w:sz w:val="16"/>
                <w:szCs w:val="18"/>
              </w:rPr>
              <w:t>7.9</w:t>
            </w:r>
            <w:r w:rsidRPr="002F1DCC">
              <w:rPr>
                <w:rFonts w:ascii="Times New Roman" w:hAnsi="Times New Roman" w:cs="Times New Roman" w:hint="eastAsia"/>
                <w:bCs/>
                <w:color w:val="000000" w:themeColor="text1"/>
                <w:sz w:val="16"/>
                <w:szCs w:val="18"/>
              </w:rPr>
              <w:t>)</w:t>
            </w:r>
          </w:p>
        </w:tc>
        <w:tc>
          <w:tcPr>
            <w:tcW w:w="344" w:type="pct"/>
            <w:gridSpan w:val="2"/>
            <w:vAlign w:val="center"/>
          </w:tcPr>
          <w:p w14:paraId="39A0021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1470 (39</w:t>
            </w:r>
            <w:r w:rsidRPr="002F1DCC">
              <w:rPr>
                <w:rFonts w:ascii="Times New Roman" w:hAnsi="Times New Roman" w:cs="Times New Roman"/>
                <w:bCs/>
                <w:color w:val="000000" w:themeColor="text1"/>
                <w:sz w:val="16"/>
                <w:szCs w:val="18"/>
              </w:rPr>
              <w:t>.2</w:t>
            </w:r>
            <w:r w:rsidRPr="002F1DCC">
              <w:rPr>
                <w:rFonts w:ascii="Times New Roman" w:hAnsi="Times New Roman" w:cs="Times New Roman" w:hint="eastAsia"/>
                <w:bCs/>
                <w:color w:val="000000" w:themeColor="text1"/>
                <w:sz w:val="16"/>
                <w:szCs w:val="18"/>
              </w:rPr>
              <w:t>)</w:t>
            </w:r>
          </w:p>
        </w:tc>
        <w:tc>
          <w:tcPr>
            <w:tcW w:w="267" w:type="pct"/>
            <w:gridSpan w:val="2"/>
            <w:vAlign w:val="center"/>
          </w:tcPr>
          <w:p w14:paraId="4A7D68B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1392 (37</w:t>
            </w:r>
            <w:r w:rsidRPr="002F1DCC">
              <w:rPr>
                <w:rFonts w:ascii="Times New Roman" w:hAnsi="Times New Roman" w:cs="Times New Roman"/>
                <w:bCs/>
                <w:color w:val="000000" w:themeColor="text1"/>
                <w:sz w:val="16"/>
                <w:szCs w:val="18"/>
              </w:rPr>
              <w:t>.2</w:t>
            </w:r>
            <w:r w:rsidRPr="002F1DCC">
              <w:rPr>
                <w:rFonts w:ascii="Times New Roman" w:hAnsi="Times New Roman" w:cs="Times New Roman" w:hint="eastAsia"/>
                <w:bCs/>
                <w:color w:val="000000" w:themeColor="text1"/>
                <w:sz w:val="16"/>
                <w:szCs w:val="18"/>
              </w:rPr>
              <w:t>)</w:t>
            </w:r>
          </w:p>
        </w:tc>
        <w:tc>
          <w:tcPr>
            <w:tcW w:w="344" w:type="pct"/>
            <w:gridSpan w:val="2"/>
            <w:vAlign w:val="center"/>
          </w:tcPr>
          <w:p w14:paraId="482773C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7" w:type="pct"/>
            <w:gridSpan w:val="2"/>
            <w:vAlign w:val="center"/>
          </w:tcPr>
          <w:p w14:paraId="2C91425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2" w:type="pct"/>
            <w:gridSpan w:val="3"/>
            <w:vAlign w:val="center"/>
          </w:tcPr>
          <w:p w14:paraId="5BAB653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530 (14</w:t>
            </w:r>
            <w:r w:rsidRPr="002F1DCC">
              <w:rPr>
                <w:rFonts w:ascii="Times New Roman" w:hAnsi="Times New Roman" w:cs="Times New Roman"/>
                <w:bCs/>
                <w:color w:val="000000" w:themeColor="text1"/>
                <w:sz w:val="16"/>
                <w:szCs w:val="18"/>
              </w:rPr>
              <w:t>.1</w:t>
            </w:r>
            <w:r w:rsidRPr="002F1DCC">
              <w:rPr>
                <w:rFonts w:ascii="Times New Roman" w:hAnsi="Times New Roman" w:cs="Times New Roman" w:hint="eastAsia"/>
                <w:bCs/>
                <w:color w:val="000000" w:themeColor="text1"/>
                <w:sz w:val="16"/>
                <w:szCs w:val="18"/>
              </w:rPr>
              <w:t>)</w:t>
            </w:r>
          </w:p>
        </w:tc>
        <w:tc>
          <w:tcPr>
            <w:tcW w:w="269" w:type="pct"/>
            <w:gridSpan w:val="2"/>
            <w:vAlign w:val="center"/>
          </w:tcPr>
          <w:p w14:paraId="5956C5B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542 (14</w:t>
            </w:r>
            <w:r w:rsidRPr="002F1DCC">
              <w:rPr>
                <w:rFonts w:ascii="Times New Roman" w:hAnsi="Times New Roman" w:cs="Times New Roman"/>
                <w:bCs/>
                <w:color w:val="000000" w:themeColor="text1"/>
                <w:sz w:val="16"/>
                <w:szCs w:val="18"/>
              </w:rPr>
              <w:t>.5</w:t>
            </w:r>
            <w:r w:rsidRPr="002F1DCC">
              <w:rPr>
                <w:rFonts w:ascii="Times New Roman" w:hAnsi="Times New Roman" w:cs="Times New Roman" w:hint="eastAsia"/>
                <w:bCs/>
                <w:color w:val="000000" w:themeColor="text1"/>
                <w:sz w:val="16"/>
                <w:szCs w:val="18"/>
              </w:rPr>
              <w:t>)</w:t>
            </w:r>
          </w:p>
        </w:tc>
        <w:tc>
          <w:tcPr>
            <w:tcW w:w="341" w:type="pct"/>
            <w:gridSpan w:val="2"/>
            <w:vAlign w:val="center"/>
          </w:tcPr>
          <w:p w14:paraId="70ED174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202 (5</w:t>
            </w:r>
            <w:r w:rsidRPr="002F1DCC">
              <w:rPr>
                <w:rFonts w:ascii="Times New Roman" w:hAnsi="Times New Roman" w:cs="Times New Roman"/>
                <w:bCs/>
                <w:color w:val="000000" w:themeColor="text1"/>
                <w:sz w:val="16"/>
                <w:szCs w:val="18"/>
              </w:rPr>
              <w:t>.4</w:t>
            </w:r>
            <w:r w:rsidRPr="002F1DCC">
              <w:rPr>
                <w:rFonts w:ascii="Times New Roman" w:hAnsi="Times New Roman" w:cs="Times New Roman" w:hint="eastAsia"/>
                <w:bCs/>
                <w:color w:val="000000" w:themeColor="text1"/>
                <w:sz w:val="16"/>
                <w:szCs w:val="18"/>
              </w:rPr>
              <w:t>)</w:t>
            </w:r>
          </w:p>
        </w:tc>
        <w:tc>
          <w:tcPr>
            <w:tcW w:w="271" w:type="pct"/>
            <w:gridSpan w:val="2"/>
            <w:vAlign w:val="center"/>
          </w:tcPr>
          <w:p w14:paraId="52A24E3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205 (5</w:t>
            </w:r>
            <w:r w:rsidRPr="002F1DCC">
              <w:rPr>
                <w:rFonts w:ascii="Times New Roman" w:hAnsi="Times New Roman" w:cs="Times New Roman"/>
                <w:bCs/>
                <w:color w:val="000000" w:themeColor="text1"/>
                <w:sz w:val="16"/>
                <w:szCs w:val="18"/>
              </w:rPr>
              <w:t>.5</w:t>
            </w:r>
            <w:r w:rsidRPr="002F1DCC">
              <w:rPr>
                <w:rFonts w:ascii="Times New Roman" w:hAnsi="Times New Roman" w:cs="Times New Roman" w:hint="eastAsia"/>
                <w:bCs/>
                <w:color w:val="000000" w:themeColor="text1"/>
                <w:sz w:val="16"/>
                <w:szCs w:val="18"/>
              </w:rPr>
              <w:t>)</w:t>
            </w:r>
          </w:p>
        </w:tc>
        <w:tc>
          <w:tcPr>
            <w:tcW w:w="340" w:type="pct"/>
            <w:gridSpan w:val="2"/>
            <w:vAlign w:val="center"/>
          </w:tcPr>
          <w:p w14:paraId="37A05F6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309 (8</w:t>
            </w:r>
            <w:r w:rsidRPr="002F1DCC">
              <w:rPr>
                <w:rFonts w:ascii="Times New Roman" w:hAnsi="Times New Roman" w:cs="Times New Roman"/>
                <w:bCs/>
                <w:color w:val="000000" w:themeColor="text1"/>
                <w:sz w:val="16"/>
                <w:szCs w:val="18"/>
              </w:rPr>
              <w:t>.2</w:t>
            </w:r>
            <w:r w:rsidRPr="002F1DCC">
              <w:rPr>
                <w:rFonts w:ascii="Times New Roman" w:hAnsi="Times New Roman" w:cs="Times New Roman" w:hint="eastAsia"/>
                <w:bCs/>
                <w:color w:val="000000" w:themeColor="text1"/>
                <w:sz w:val="16"/>
                <w:szCs w:val="18"/>
              </w:rPr>
              <w:t>)</w:t>
            </w:r>
          </w:p>
        </w:tc>
        <w:tc>
          <w:tcPr>
            <w:tcW w:w="271" w:type="pct"/>
            <w:gridSpan w:val="2"/>
            <w:vAlign w:val="center"/>
          </w:tcPr>
          <w:p w14:paraId="1E78420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311 (8</w:t>
            </w:r>
            <w:r w:rsidRPr="002F1DCC">
              <w:rPr>
                <w:rFonts w:ascii="Times New Roman" w:hAnsi="Times New Roman" w:cs="Times New Roman"/>
                <w:bCs/>
                <w:color w:val="000000" w:themeColor="text1"/>
                <w:sz w:val="16"/>
                <w:szCs w:val="18"/>
              </w:rPr>
              <w:t>.3</w:t>
            </w:r>
            <w:r w:rsidRPr="002F1DCC">
              <w:rPr>
                <w:rFonts w:ascii="Times New Roman" w:hAnsi="Times New Roman" w:cs="Times New Roman" w:hint="eastAsia"/>
                <w:bCs/>
                <w:color w:val="000000" w:themeColor="text1"/>
                <w:sz w:val="16"/>
                <w:szCs w:val="18"/>
              </w:rPr>
              <w:t>)</w:t>
            </w:r>
          </w:p>
        </w:tc>
        <w:tc>
          <w:tcPr>
            <w:tcW w:w="377" w:type="pct"/>
            <w:gridSpan w:val="3"/>
            <w:vAlign w:val="center"/>
          </w:tcPr>
          <w:p w14:paraId="0689604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1116 (</w:t>
            </w:r>
            <w:r w:rsidRPr="002F1DCC">
              <w:rPr>
                <w:rFonts w:ascii="Times New Roman" w:hAnsi="Times New Roman" w:cs="Times New Roman"/>
                <w:bCs/>
                <w:color w:val="000000" w:themeColor="text1"/>
                <w:sz w:val="16"/>
                <w:szCs w:val="18"/>
              </w:rPr>
              <w:t>29.8)</w:t>
            </w:r>
          </w:p>
        </w:tc>
        <w:tc>
          <w:tcPr>
            <w:tcW w:w="235" w:type="pct"/>
            <w:vAlign w:val="center"/>
          </w:tcPr>
          <w:p w14:paraId="5F3E7E6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1149 (3</w:t>
            </w:r>
            <w:r w:rsidRPr="002F1DCC">
              <w:rPr>
                <w:rFonts w:ascii="Times New Roman" w:hAnsi="Times New Roman" w:cs="Times New Roman"/>
                <w:bCs/>
                <w:color w:val="000000" w:themeColor="text1"/>
                <w:sz w:val="16"/>
                <w:szCs w:val="18"/>
              </w:rPr>
              <w:t>0.7</w:t>
            </w:r>
            <w:r w:rsidRPr="002F1DCC">
              <w:rPr>
                <w:rFonts w:ascii="Times New Roman" w:hAnsi="Times New Roman" w:cs="Times New Roman" w:hint="eastAsia"/>
                <w:bCs/>
                <w:color w:val="000000" w:themeColor="text1"/>
                <w:sz w:val="16"/>
                <w:szCs w:val="18"/>
              </w:rPr>
              <w:t>)</w:t>
            </w:r>
          </w:p>
        </w:tc>
      </w:tr>
      <w:tr w:rsidR="00364334" w:rsidRPr="002F1DCC" w14:paraId="628A9EC7" w14:textId="77777777" w:rsidTr="00364334">
        <w:trPr>
          <w:gridAfter w:val="1"/>
          <w:wAfter w:w="24" w:type="pct"/>
          <w:trHeight w:val="1125"/>
        </w:trPr>
        <w:tc>
          <w:tcPr>
            <w:tcW w:w="356" w:type="pct"/>
            <w:vAlign w:val="center"/>
          </w:tcPr>
          <w:p w14:paraId="2F3172C9"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lastRenderedPageBreak/>
              <w:t>2024-Nicklas</w:t>
            </w:r>
          </w:p>
        </w:tc>
        <w:tc>
          <w:tcPr>
            <w:tcW w:w="327" w:type="pct"/>
            <w:vAlign w:val="center"/>
          </w:tcPr>
          <w:p w14:paraId="170D53E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328 (206/122)</w:t>
            </w:r>
          </w:p>
        </w:tc>
        <w:tc>
          <w:tcPr>
            <w:tcW w:w="345" w:type="pct"/>
            <w:vAlign w:val="center"/>
          </w:tcPr>
          <w:p w14:paraId="75577D7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78 (47.0)</w:t>
            </w:r>
          </w:p>
        </w:tc>
        <w:tc>
          <w:tcPr>
            <w:tcW w:w="279" w:type="pct"/>
            <w:gridSpan w:val="2"/>
            <w:vAlign w:val="center"/>
          </w:tcPr>
          <w:p w14:paraId="3874DD7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84 (51.9)</w:t>
            </w:r>
          </w:p>
        </w:tc>
        <w:tc>
          <w:tcPr>
            <w:tcW w:w="344" w:type="pct"/>
            <w:gridSpan w:val="2"/>
            <w:vAlign w:val="center"/>
          </w:tcPr>
          <w:p w14:paraId="7661616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19 (11</w:t>
            </w:r>
            <w:r w:rsidRPr="002F1DCC">
              <w:rPr>
                <w:rFonts w:ascii="Times New Roman" w:hAnsi="Times New Roman" w:cs="Times New Roman"/>
                <w:bCs/>
                <w:color w:val="000000" w:themeColor="text1"/>
                <w:sz w:val="16"/>
                <w:szCs w:val="18"/>
              </w:rPr>
              <w:t>.4</w:t>
            </w:r>
            <w:r w:rsidRPr="002F1DCC">
              <w:rPr>
                <w:rFonts w:ascii="Times New Roman" w:hAnsi="Times New Roman" w:cs="Times New Roman" w:hint="eastAsia"/>
                <w:bCs/>
                <w:color w:val="000000" w:themeColor="text1"/>
                <w:sz w:val="16"/>
                <w:szCs w:val="18"/>
              </w:rPr>
              <w:t>)</w:t>
            </w:r>
          </w:p>
        </w:tc>
        <w:tc>
          <w:tcPr>
            <w:tcW w:w="267" w:type="pct"/>
            <w:gridSpan w:val="2"/>
            <w:vAlign w:val="center"/>
          </w:tcPr>
          <w:p w14:paraId="10E3266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33 (20</w:t>
            </w:r>
            <w:r w:rsidRPr="002F1DCC">
              <w:rPr>
                <w:rFonts w:ascii="Times New Roman" w:hAnsi="Times New Roman" w:cs="Times New Roman"/>
                <w:bCs/>
                <w:color w:val="000000" w:themeColor="text1"/>
                <w:sz w:val="16"/>
                <w:szCs w:val="18"/>
              </w:rPr>
              <w:t>.4</w:t>
            </w:r>
            <w:r w:rsidRPr="002F1DCC">
              <w:rPr>
                <w:rFonts w:ascii="Times New Roman" w:hAnsi="Times New Roman" w:cs="Times New Roman" w:hint="eastAsia"/>
                <w:bCs/>
                <w:color w:val="000000" w:themeColor="text1"/>
                <w:sz w:val="16"/>
                <w:szCs w:val="18"/>
              </w:rPr>
              <w:t>)</w:t>
            </w:r>
          </w:p>
        </w:tc>
        <w:tc>
          <w:tcPr>
            <w:tcW w:w="344" w:type="pct"/>
            <w:gridSpan w:val="2"/>
            <w:vAlign w:val="center"/>
          </w:tcPr>
          <w:p w14:paraId="75442F4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7" w:type="pct"/>
            <w:gridSpan w:val="2"/>
            <w:vAlign w:val="center"/>
          </w:tcPr>
          <w:p w14:paraId="53D6A10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2" w:type="pct"/>
            <w:gridSpan w:val="3"/>
            <w:vAlign w:val="center"/>
          </w:tcPr>
          <w:p w14:paraId="6BECEC5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9" w:type="pct"/>
            <w:gridSpan w:val="2"/>
            <w:vAlign w:val="center"/>
          </w:tcPr>
          <w:p w14:paraId="7B340BD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1" w:type="pct"/>
            <w:gridSpan w:val="2"/>
            <w:vAlign w:val="center"/>
          </w:tcPr>
          <w:p w14:paraId="16B80F1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2E282EF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0" w:type="pct"/>
            <w:gridSpan w:val="2"/>
            <w:vAlign w:val="center"/>
          </w:tcPr>
          <w:p w14:paraId="569F71E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3DE0BA0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77" w:type="pct"/>
            <w:gridSpan w:val="3"/>
            <w:vAlign w:val="center"/>
          </w:tcPr>
          <w:p w14:paraId="714C761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11 (</w:t>
            </w:r>
            <w:r w:rsidRPr="002F1DCC">
              <w:rPr>
                <w:rFonts w:ascii="Times New Roman" w:hAnsi="Times New Roman" w:cs="Times New Roman"/>
                <w:bCs/>
                <w:color w:val="000000" w:themeColor="text1"/>
                <w:sz w:val="16"/>
                <w:szCs w:val="18"/>
              </w:rPr>
              <w:t>6.6</w:t>
            </w:r>
            <w:r w:rsidRPr="002F1DCC">
              <w:rPr>
                <w:rFonts w:ascii="Times New Roman" w:hAnsi="Times New Roman" w:cs="Times New Roman" w:hint="eastAsia"/>
                <w:bCs/>
                <w:color w:val="000000" w:themeColor="text1"/>
                <w:sz w:val="16"/>
                <w:szCs w:val="18"/>
              </w:rPr>
              <w:t>)</w:t>
            </w:r>
          </w:p>
        </w:tc>
        <w:tc>
          <w:tcPr>
            <w:tcW w:w="235" w:type="pct"/>
            <w:vAlign w:val="center"/>
          </w:tcPr>
          <w:p w14:paraId="1D5BB71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21 (13</w:t>
            </w:r>
            <w:r w:rsidRPr="002F1DCC">
              <w:rPr>
                <w:rFonts w:ascii="Times New Roman" w:hAnsi="Times New Roman" w:cs="Times New Roman"/>
                <w:bCs/>
                <w:color w:val="000000" w:themeColor="text1"/>
                <w:sz w:val="16"/>
                <w:szCs w:val="18"/>
              </w:rPr>
              <w:t>.0</w:t>
            </w:r>
            <w:r w:rsidRPr="002F1DCC">
              <w:rPr>
                <w:rFonts w:ascii="Times New Roman" w:hAnsi="Times New Roman" w:cs="Times New Roman" w:hint="eastAsia"/>
                <w:bCs/>
                <w:color w:val="000000" w:themeColor="text1"/>
                <w:sz w:val="16"/>
                <w:szCs w:val="18"/>
              </w:rPr>
              <w:t>)</w:t>
            </w:r>
          </w:p>
        </w:tc>
      </w:tr>
      <w:tr w:rsidR="00364334" w:rsidRPr="002F1DCC" w14:paraId="1D21D571" w14:textId="77777777" w:rsidTr="00364334">
        <w:trPr>
          <w:gridAfter w:val="1"/>
          <w:wAfter w:w="24" w:type="pct"/>
          <w:trHeight w:val="1125"/>
        </w:trPr>
        <w:tc>
          <w:tcPr>
            <w:tcW w:w="356" w:type="pct"/>
            <w:vAlign w:val="center"/>
          </w:tcPr>
          <w:p w14:paraId="7AFA1A72"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eastAsia="SimSun" w:hAnsi="Times New Roman" w:cs="Times New Roman"/>
                <w:b/>
                <w:color w:val="000000" w:themeColor="text1"/>
                <w:kern w:val="0"/>
                <w:sz w:val="16"/>
                <w:szCs w:val="18"/>
                <w14:ligatures w14:val="none"/>
              </w:rPr>
              <w:t>2024-</w:t>
            </w:r>
            <w:bookmarkStart w:id="4" w:name="_Hlk229932532"/>
            <w:r w:rsidRPr="002F1DCC">
              <w:rPr>
                <w:rFonts w:ascii="Times New Roman" w:eastAsia="SimSun" w:hAnsi="Times New Roman" w:cs="Times New Roman"/>
                <w:b/>
                <w:color w:val="000000" w:themeColor="text1"/>
                <w:kern w:val="0"/>
                <w:sz w:val="16"/>
                <w:szCs w:val="18"/>
                <w14:ligatures w14:val="none"/>
              </w:rPr>
              <w:t>Bergholz</w:t>
            </w:r>
            <w:bookmarkEnd w:id="4"/>
            <w:r w:rsidRPr="002F1DCC">
              <w:rPr>
                <w:rFonts w:ascii="Times New Roman" w:eastAsia="SimSun" w:hAnsi="Times New Roman" w:cs="Times New Roman"/>
                <w:b/>
                <w:color w:val="000000" w:themeColor="text1"/>
                <w:kern w:val="0"/>
                <w:sz w:val="16"/>
                <w:szCs w:val="18"/>
                <w:vertAlign w:val="superscript"/>
                <w14:ligatures w14:val="none"/>
              </w:rPr>
              <w:t>#</w:t>
            </w:r>
            <w:r w:rsidRPr="002F1DCC">
              <w:rPr>
                <w:rFonts w:ascii="Times New Roman" w:eastAsia="SimSun" w:hAnsi="Times New Roman" w:cs="Times New Roman" w:hint="eastAsia"/>
                <w:b/>
                <w:color w:val="000000" w:themeColor="text1"/>
                <w:kern w:val="0"/>
                <w:sz w:val="16"/>
                <w:szCs w:val="18"/>
                <w14:ligatures w14:val="none"/>
              </w:rPr>
              <w:t xml:space="preserve"> </w:t>
            </w:r>
            <w:r w:rsidRPr="002F1DCC">
              <w:rPr>
                <w:rFonts w:ascii="Times New Roman" w:eastAsia="SimSun" w:hAnsi="Times New Roman" w:cs="Times New Roman"/>
                <w:b/>
                <w:color w:val="000000" w:themeColor="text1"/>
                <w:kern w:val="0"/>
                <w:sz w:val="16"/>
                <w:szCs w:val="18"/>
                <w14:ligatures w14:val="none"/>
              </w:rPr>
              <w:t>(IMPROVE-PILOT)</w:t>
            </w:r>
          </w:p>
        </w:tc>
        <w:tc>
          <w:tcPr>
            <w:tcW w:w="327" w:type="pct"/>
            <w:vAlign w:val="center"/>
          </w:tcPr>
          <w:p w14:paraId="67D585A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98 (44/54)</w:t>
            </w:r>
          </w:p>
        </w:tc>
        <w:tc>
          <w:tcPr>
            <w:tcW w:w="345" w:type="pct"/>
            <w:vAlign w:val="center"/>
          </w:tcPr>
          <w:p w14:paraId="0575CD8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29 (5</w:t>
            </w:r>
            <w:r w:rsidRPr="002F1DCC">
              <w:rPr>
                <w:rFonts w:ascii="Times New Roman" w:hAnsi="Times New Roman" w:cs="Times New Roman"/>
                <w:bCs/>
                <w:color w:val="000000" w:themeColor="text1"/>
                <w:sz w:val="16"/>
                <w:szCs w:val="18"/>
              </w:rPr>
              <w:t>4.7</w:t>
            </w:r>
            <w:r w:rsidRPr="002F1DCC">
              <w:rPr>
                <w:rFonts w:ascii="Times New Roman" w:hAnsi="Times New Roman" w:cs="Times New Roman" w:hint="eastAsia"/>
                <w:bCs/>
                <w:color w:val="000000" w:themeColor="text1"/>
                <w:sz w:val="16"/>
                <w:szCs w:val="18"/>
              </w:rPr>
              <w:t>)</w:t>
            </w:r>
          </w:p>
        </w:tc>
        <w:tc>
          <w:tcPr>
            <w:tcW w:w="279" w:type="pct"/>
            <w:gridSpan w:val="2"/>
            <w:vAlign w:val="center"/>
          </w:tcPr>
          <w:p w14:paraId="1359CCA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18 (40)</w:t>
            </w:r>
          </w:p>
        </w:tc>
        <w:tc>
          <w:tcPr>
            <w:tcW w:w="344" w:type="pct"/>
            <w:gridSpan w:val="2"/>
            <w:vAlign w:val="center"/>
          </w:tcPr>
          <w:p w14:paraId="770C964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6 (11</w:t>
            </w:r>
            <w:r w:rsidRPr="002F1DCC">
              <w:rPr>
                <w:rFonts w:ascii="Times New Roman" w:hAnsi="Times New Roman" w:cs="Times New Roman"/>
                <w:bCs/>
                <w:color w:val="000000" w:themeColor="text1"/>
                <w:sz w:val="16"/>
                <w:szCs w:val="18"/>
              </w:rPr>
              <w:t>.3</w:t>
            </w:r>
            <w:r w:rsidRPr="002F1DCC">
              <w:rPr>
                <w:rFonts w:ascii="Times New Roman" w:hAnsi="Times New Roman" w:cs="Times New Roman" w:hint="eastAsia"/>
                <w:bCs/>
                <w:color w:val="000000" w:themeColor="text1"/>
                <w:sz w:val="16"/>
                <w:szCs w:val="18"/>
              </w:rPr>
              <w:t>)</w:t>
            </w:r>
          </w:p>
        </w:tc>
        <w:tc>
          <w:tcPr>
            <w:tcW w:w="267" w:type="pct"/>
            <w:gridSpan w:val="2"/>
            <w:vAlign w:val="center"/>
          </w:tcPr>
          <w:p w14:paraId="38EF094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10 (22</w:t>
            </w:r>
            <w:r w:rsidRPr="002F1DCC">
              <w:rPr>
                <w:rFonts w:ascii="Times New Roman" w:hAnsi="Times New Roman" w:cs="Times New Roman"/>
                <w:bCs/>
                <w:color w:val="000000" w:themeColor="text1"/>
                <w:sz w:val="16"/>
                <w:szCs w:val="18"/>
              </w:rPr>
              <w:t>.2</w:t>
            </w:r>
            <w:r w:rsidRPr="002F1DCC">
              <w:rPr>
                <w:rFonts w:ascii="Times New Roman" w:hAnsi="Times New Roman" w:cs="Times New Roman" w:hint="eastAsia"/>
                <w:bCs/>
                <w:color w:val="000000" w:themeColor="text1"/>
                <w:sz w:val="16"/>
                <w:szCs w:val="18"/>
              </w:rPr>
              <w:t>)</w:t>
            </w:r>
          </w:p>
        </w:tc>
        <w:tc>
          <w:tcPr>
            <w:tcW w:w="344" w:type="pct"/>
            <w:gridSpan w:val="2"/>
            <w:vAlign w:val="center"/>
          </w:tcPr>
          <w:p w14:paraId="4544963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4 (</w:t>
            </w:r>
            <w:r w:rsidRPr="002F1DCC">
              <w:rPr>
                <w:rFonts w:ascii="Times New Roman" w:hAnsi="Times New Roman" w:cs="Times New Roman"/>
                <w:bCs/>
                <w:color w:val="000000" w:themeColor="text1"/>
                <w:sz w:val="16"/>
                <w:szCs w:val="18"/>
              </w:rPr>
              <w:t>7.5</w:t>
            </w:r>
            <w:r w:rsidRPr="002F1DCC">
              <w:rPr>
                <w:rFonts w:ascii="Times New Roman" w:hAnsi="Times New Roman" w:cs="Times New Roman" w:hint="eastAsia"/>
                <w:bCs/>
                <w:color w:val="000000" w:themeColor="text1"/>
                <w:sz w:val="16"/>
                <w:szCs w:val="18"/>
              </w:rPr>
              <w:t>)</w:t>
            </w:r>
          </w:p>
        </w:tc>
        <w:tc>
          <w:tcPr>
            <w:tcW w:w="267" w:type="pct"/>
            <w:gridSpan w:val="2"/>
            <w:vAlign w:val="center"/>
          </w:tcPr>
          <w:p w14:paraId="7344254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 (2</w:t>
            </w:r>
            <w:r w:rsidRPr="002F1DCC">
              <w:rPr>
                <w:rFonts w:ascii="Times New Roman" w:hAnsi="Times New Roman" w:cs="Times New Roman"/>
                <w:bCs/>
                <w:color w:val="000000" w:themeColor="text1"/>
                <w:sz w:val="16"/>
                <w:szCs w:val="18"/>
              </w:rPr>
              <w:t>.2</w:t>
            </w:r>
            <w:r w:rsidRPr="002F1DCC">
              <w:rPr>
                <w:rFonts w:ascii="Times New Roman" w:hAnsi="Times New Roman" w:cs="Times New Roman" w:hint="eastAsia"/>
                <w:bCs/>
                <w:color w:val="000000" w:themeColor="text1"/>
                <w:sz w:val="16"/>
                <w:szCs w:val="18"/>
              </w:rPr>
              <w:t>)</w:t>
            </w:r>
          </w:p>
        </w:tc>
        <w:tc>
          <w:tcPr>
            <w:tcW w:w="342" w:type="pct"/>
            <w:gridSpan w:val="3"/>
            <w:vAlign w:val="center"/>
          </w:tcPr>
          <w:p w14:paraId="1858134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 (</w:t>
            </w:r>
            <w:r w:rsidRPr="002F1DCC">
              <w:rPr>
                <w:rFonts w:ascii="Times New Roman" w:hAnsi="Times New Roman" w:cs="Times New Roman"/>
                <w:bCs/>
                <w:color w:val="000000" w:themeColor="text1"/>
                <w:sz w:val="16"/>
                <w:szCs w:val="18"/>
              </w:rPr>
              <w:t>5.7</w:t>
            </w:r>
            <w:r w:rsidRPr="002F1DCC">
              <w:rPr>
                <w:rFonts w:ascii="Times New Roman" w:hAnsi="Times New Roman" w:cs="Times New Roman" w:hint="eastAsia"/>
                <w:bCs/>
                <w:color w:val="000000" w:themeColor="text1"/>
                <w:sz w:val="16"/>
                <w:szCs w:val="18"/>
              </w:rPr>
              <w:t>)</w:t>
            </w:r>
          </w:p>
        </w:tc>
        <w:tc>
          <w:tcPr>
            <w:tcW w:w="269" w:type="pct"/>
            <w:gridSpan w:val="2"/>
            <w:vAlign w:val="center"/>
          </w:tcPr>
          <w:p w14:paraId="05E9557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 (2</w:t>
            </w:r>
            <w:r w:rsidRPr="002F1DCC">
              <w:rPr>
                <w:rFonts w:ascii="Times New Roman" w:hAnsi="Times New Roman" w:cs="Times New Roman"/>
                <w:bCs/>
                <w:color w:val="000000" w:themeColor="text1"/>
                <w:sz w:val="16"/>
                <w:szCs w:val="18"/>
              </w:rPr>
              <w:t>.2</w:t>
            </w:r>
            <w:r w:rsidRPr="002F1DCC">
              <w:rPr>
                <w:rFonts w:ascii="Times New Roman" w:hAnsi="Times New Roman" w:cs="Times New Roman" w:hint="eastAsia"/>
                <w:bCs/>
                <w:color w:val="000000" w:themeColor="text1"/>
                <w:sz w:val="16"/>
                <w:szCs w:val="18"/>
              </w:rPr>
              <w:t>)</w:t>
            </w:r>
          </w:p>
        </w:tc>
        <w:tc>
          <w:tcPr>
            <w:tcW w:w="341" w:type="pct"/>
            <w:gridSpan w:val="2"/>
            <w:vAlign w:val="center"/>
          </w:tcPr>
          <w:p w14:paraId="63800CD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427A96A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0" w:type="pct"/>
            <w:gridSpan w:val="2"/>
            <w:vAlign w:val="center"/>
          </w:tcPr>
          <w:p w14:paraId="73F2AE7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401B88E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77" w:type="pct"/>
            <w:gridSpan w:val="3"/>
            <w:vAlign w:val="center"/>
          </w:tcPr>
          <w:p w14:paraId="7B60145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4</w:t>
            </w:r>
            <w:r w:rsidRPr="002F1DCC">
              <w:rPr>
                <w:rFonts w:ascii="Times New Roman" w:hAnsi="Times New Roman" w:cs="Times New Roman"/>
                <w:bCs/>
                <w:color w:val="000000" w:themeColor="text1"/>
                <w:sz w:val="16"/>
                <w:szCs w:val="18"/>
              </w:rPr>
              <w:t xml:space="preserve"> (7.5)</w:t>
            </w:r>
          </w:p>
        </w:tc>
        <w:tc>
          <w:tcPr>
            <w:tcW w:w="235" w:type="pct"/>
            <w:vAlign w:val="center"/>
          </w:tcPr>
          <w:p w14:paraId="2FF9CC5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5</w:t>
            </w:r>
            <w:r w:rsidRPr="002F1DCC">
              <w:rPr>
                <w:rFonts w:ascii="Times New Roman" w:hAnsi="Times New Roman" w:cs="Times New Roman"/>
                <w:bCs/>
                <w:color w:val="000000" w:themeColor="text1"/>
                <w:sz w:val="16"/>
                <w:szCs w:val="18"/>
              </w:rPr>
              <w:t xml:space="preserve"> (11.1)</w:t>
            </w:r>
          </w:p>
        </w:tc>
      </w:tr>
      <w:tr w:rsidR="00364334" w:rsidRPr="002F1DCC" w14:paraId="77B81F89" w14:textId="77777777" w:rsidTr="00364334">
        <w:trPr>
          <w:gridAfter w:val="1"/>
          <w:wAfter w:w="24" w:type="pct"/>
          <w:trHeight w:val="1125"/>
        </w:trPr>
        <w:tc>
          <w:tcPr>
            <w:tcW w:w="356" w:type="pct"/>
            <w:vAlign w:val="center"/>
          </w:tcPr>
          <w:p w14:paraId="360618BB"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2025-Pang</w:t>
            </w:r>
          </w:p>
        </w:tc>
        <w:tc>
          <w:tcPr>
            <w:tcW w:w="327" w:type="pct"/>
            <w:vAlign w:val="center"/>
          </w:tcPr>
          <w:p w14:paraId="22EF9F1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179 (115/64)</w:t>
            </w:r>
          </w:p>
        </w:tc>
        <w:tc>
          <w:tcPr>
            <w:tcW w:w="345" w:type="pct"/>
            <w:vAlign w:val="center"/>
          </w:tcPr>
          <w:p w14:paraId="5DB80BE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35 (39.3)</w:t>
            </w:r>
          </w:p>
        </w:tc>
        <w:tc>
          <w:tcPr>
            <w:tcW w:w="279" w:type="pct"/>
            <w:gridSpan w:val="2"/>
            <w:vAlign w:val="center"/>
          </w:tcPr>
          <w:p w14:paraId="78AE6E9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31 (34.4)</w:t>
            </w:r>
          </w:p>
        </w:tc>
        <w:tc>
          <w:tcPr>
            <w:tcW w:w="344" w:type="pct"/>
            <w:gridSpan w:val="2"/>
            <w:vAlign w:val="center"/>
          </w:tcPr>
          <w:p w14:paraId="56D6965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12 (18.2)</w:t>
            </w:r>
          </w:p>
        </w:tc>
        <w:tc>
          <w:tcPr>
            <w:tcW w:w="267" w:type="pct"/>
            <w:gridSpan w:val="2"/>
            <w:vAlign w:val="center"/>
          </w:tcPr>
          <w:p w14:paraId="015253A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8 (8.9)</w:t>
            </w:r>
          </w:p>
        </w:tc>
        <w:tc>
          <w:tcPr>
            <w:tcW w:w="344" w:type="pct"/>
            <w:gridSpan w:val="2"/>
            <w:vAlign w:val="center"/>
          </w:tcPr>
          <w:p w14:paraId="4E603BE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7" w:type="pct"/>
            <w:gridSpan w:val="2"/>
            <w:vAlign w:val="center"/>
          </w:tcPr>
          <w:p w14:paraId="5CE61D8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2" w:type="pct"/>
            <w:gridSpan w:val="3"/>
            <w:vAlign w:val="center"/>
          </w:tcPr>
          <w:p w14:paraId="030698F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9" w:type="pct"/>
            <w:gridSpan w:val="2"/>
            <w:vAlign w:val="center"/>
          </w:tcPr>
          <w:p w14:paraId="2F27BB1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1" w:type="pct"/>
            <w:gridSpan w:val="2"/>
            <w:vAlign w:val="center"/>
          </w:tcPr>
          <w:p w14:paraId="2241160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35F715F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0" w:type="pct"/>
            <w:gridSpan w:val="2"/>
            <w:vAlign w:val="center"/>
          </w:tcPr>
          <w:p w14:paraId="63133FA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747E0B6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77" w:type="pct"/>
            <w:gridSpan w:val="3"/>
            <w:vAlign w:val="center"/>
          </w:tcPr>
          <w:p w14:paraId="2289A7B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5 (5.6)</w:t>
            </w:r>
          </w:p>
        </w:tc>
        <w:tc>
          <w:tcPr>
            <w:tcW w:w="235" w:type="pct"/>
            <w:vAlign w:val="center"/>
          </w:tcPr>
          <w:p w14:paraId="15F51F2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4 (4.4)</w:t>
            </w:r>
          </w:p>
        </w:tc>
      </w:tr>
      <w:tr w:rsidR="00364334" w:rsidRPr="002F1DCC" w14:paraId="4A3126B1" w14:textId="77777777" w:rsidTr="00364334">
        <w:trPr>
          <w:gridAfter w:val="1"/>
          <w:wAfter w:w="24" w:type="pct"/>
          <w:trHeight w:val="1125"/>
        </w:trPr>
        <w:tc>
          <w:tcPr>
            <w:tcW w:w="356" w:type="pct"/>
            <w:vAlign w:val="center"/>
          </w:tcPr>
          <w:p w14:paraId="6D9EAFD8"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2025-Zhao</w:t>
            </w:r>
          </w:p>
        </w:tc>
        <w:tc>
          <w:tcPr>
            <w:tcW w:w="327" w:type="pct"/>
            <w:vAlign w:val="center"/>
          </w:tcPr>
          <w:p w14:paraId="7BCCF30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1477 (1086/391)</w:t>
            </w:r>
          </w:p>
        </w:tc>
        <w:tc>
          <w:tcPr>
            <w:tcW w:w="345" w:type="pct"/>
            <w:vAlign w:val="center"/>
          </w:tcPr>
          <w:p w14:paraId="0093E2E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450 (60.9)</w:t>
            </w:r>
          </w:p>
        </w:tc>
        <w:tc>
          <w:tcPr>
            <w:tcW w:w="279" w:type="pct"/>
            <w:gridSpan w:val="2"/>
            <w:vAlign w:val="center"/>
          </w:tcPr>
          <w:p w14:paraId="44749AE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443 (60.2)</w:t>
            </w:r>
          </w:p>
        </w:tc>
        <w:tc>
          <w:tcPr>
            <w:tcW w:w="344" w:type="pct"/>
            <w:gridSpan w:val="2"/>
            <w:vAlign w:val="center"/>
          </w:tcPr>
          <w:p w14:paraId="4867415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222 (30.0)</w:t>
            </w:r>
          </w:p>
        </w:tc>
        <w:tc>
          <w:tcPr>
            <w:tcW w:w="267" w:type="pct"/>
            <w:gridSpan w:val="2"/>
            <w:vAlign w:val="center"/>
          </w:tcPr>
          <w:p w14:paraId="3C43BA5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210 (28.5)</w:t>
            </w:r>
          </w:p>
        </w:tc>
        <w:tc>
          <w:tcPr>
            <w:tcW w:w="344" w:type="pct"/>
            <w:gridSpan w:val="2"/>
            <w:vAlign w:val="center"/>
          </w:tcPr>
          <w:p w14:paraId="0D4FA95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32 (4.3)</w:t>
            </w:r>
          </w:p>
        </w:tc>
        <w:tc>
          <w:tcPr>
            <w:tcW w:w="267" w:type="pct"/>
            <w:gridSpan w:val="2"/>
            <w:vAlign w:val="center"/>
          </w:tcPr>
          <w:p w14:paraId="4420485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35 (4.8)</w:t>
            </w:r>
          </w:p>
        </w:tc>
        <w:tc>
          <w:tcPr>
            <w:tcW w:w="342" w:type="pct"/>
            <w:gridSpan w:val="3"/>
            <w:vAlign w:val="center"/>
          </w:tcPr>
          <w:p w14:paraId="25852F3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8 (1.1)</w:t>
            </w:r>
          </w:p>
        </w:tc>
        <w:tc>
          <w:tcPr>
            <w:tcW w:w="269" w:type="pct"/>
            <w:gridSpan w:val="2"/>
            <w:vAlign w:val="center"/>
          </w:tcPr>
          <w:p w14:paraId="01712E7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13 (1.8)</w:t>
            </w:r>
          </w:p>
        </w:tc>
        <w:tc>
          <w:tcPr>
            <w:tcW w:w="341" w:type="pct"/>
            <w:gridSpan w:val="2"/>
            <w:vAlign w:val="center"/>
          </w:tcPr>
          <w:p w14:paraId="6E11659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2C747A6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0" w:type="pct"/>
            <w:gridSpan w:val="2"/>
            <w:vAlign w:val="center"/>
          </w:tcPr>
          <w:p w14:paraId="0B88872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86 (11.6)</w:t>
            </w:r>
          </w:p>
        </w:tc>
        <w:tc>
          <w:tcPr>
            <w:tcW w:w="271" w:type="pct"/>
            <w:gridSpan w:val="2"/>
            <w:vAlign w:val="center"/>
          </w:tcPr>
          <w:p w14:paraId="0FB6A75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85 (11.5)</w:t>
            </w:r>
          </w:p>
        </w:tc>
        <w:tc>
          <w:tcPr>
            <w:tcW w:w="377" w:type="pct"/>
            <w:gridSpan w:val="3"/>
            <w:vAlign w:val="center"/>
          </w:tcPr>
          <w:p w14:paraId="6D3D52F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134 (18.1)</w:t>
            </w:r>
          </w:p>
        </w:tc>
        <w:tc>
          <w:tcPr>
            <w:tcW w:w="235" w:type="pct"/>
            <w:vAlign w:val="center"/>
          </w:tcPr>
          <w:p w14:paraId="64A5DD8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124 (16.8)</w:t>
            </w:r>
          </w:p>
        </w:tc>
      </w:tr>
      <w:tr w:rsidR="00364334" w:rsidRPr="002F1DCC" w14:paraId="65B0629C" w14:textId="77777777" w:rsidTr="00364334">
        <w:trPr>
          <w:gridAfter w:val="1"/>
          <w:wAfter w:w="24" w:type="pct"/>
          <w:trHeight w:val="1125"/>
        </w:trPr>
        <w:tc>
          <w:tcPr>
            <w:tcW w:w="356" w:type="pct"/>
            <w:vAlign w:val="center"/>
          </w:tcPr>
          <w:p w14:paraId="5AA61E2E"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hint="eastAsia"/>
                <w:b/>
                <w:color w:val="000000" w:themeColor="text1"/>
                <w:sz w:val="16"/>
                <w:szCs w:val="18"/>
              </w:rPr>
              <w:t>2025-Fang</w:t>
            </w:r>
          </w:p>
        </w:tc>
        <w:tc>
          <w:tcPr>
            <w:tcW w:w="327" w:type="pct"/>
            <w:vAlign w:val="center"/>
          </w:tcPr>
          <w:p w14:paraId="31E0A84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100(64/36)</w:t>
            </w:r>
          </w:p>
        </w:tc>
        <w:tc>
          <w:tcPr>
            <w:tcW w:w="345" w:type="pct"/>
            <w:vAlign w:val="center"/>
          </w:tcPr>
          <w:p w14:paraId="12A5406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20 (40</w:t>
            </w:r>
            <w:r w:rsidRPr="002F1DCC">
              <w:rPr>
                <w:rFonts w:ascii="Times New Roman" w:hAnsi="Times New Roman" w:cs="Times New Roman" w:hint="eastAsia"/>
                <w:bCs/>
                <w:color w:val="000000" w:themeColor="text1"/>
                <w:sz w:val="16"/>
                <w:szCs w:val="18"/>
              </w:rPr>
              <w:t>.0</w:t>
            </w:r>
            <w:r w:rsidRPr="002F1DCC">
              <w:rPr>
                <w:rFonts w:ascii="Times New Roman" w:hAnsi="Times New Roman" w:cs="Times New Roman"/>
                <w:bCs/>
                <w:color w:val="000000" w:themeColor="text1"/>
                <w:sz w:val="16"/>
                <w:szCs w:val="18"/>
              </w:rPr>
              <w:t>)</w:t>
            </w:r>
          </w:p>
        </w:tc>
        <w:tc>
          <w:tcPr>
            <w:tcW w:w="279" w:type="pct"/>
            <w:gridSpan w:val="2"/>
            <w:vAlign w:val="center"/>
          </w:tcPr>
          <w:p w14:paraId="68A5871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20 (40</w:t>
            </w:r>
            <w:r w:rsidRPr="002F1DCC">
              <w:rPr>
                <w:rFonts w:ascii="Times New Roman" w:hAnsi="Times New Roman" w:cs="Times New Roman" w:hint="eastAsia"/>
                <w:bCs/>
                <w:color w:val="000000" w:themeColor="text1"/>
                <w:sz w:val="16"/>
                <w:szCs w:val="18"/>
              </w:rPr>
              <w:t>.0</w:t>
            </w:r>
            <w:r w:rsidRPr="002F1DCC">
              <w:rPr>
                <w:rFonts w:ascii="Times New Roman" w:hAnsi="Times New Roman" w:cs="Times New Roman"/>
                <w:bCs/>
                <w:color w:val="000000" w:themeColor="text1"/>
                <w:sz w:val="16"/>
                <w:szCs w:val="18"/>
              </w:rPr>
              <w:t>)</w:t>
            </w:r>
          </w:p>
        </w:tc>
        <w:tc>
          <w:tcPr>
            <w:tcW w:w="344" w:type="pct"/>
            <w:gridSpan w:val="2"/>
            <w:vAlign w:val="center"/>
          </w:tcPr>
          <w:p w14:paraId="313D447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8 (16</w:t>
            </w:r>
            <w:r w:rsidRPr="002F1DCC">
              <w:rPr>
                <w:rFonts w:ascii="Times New Roman" w:hAnsi="Times New Roman" w:cs="Times New Roman" w:hint="eastAsia"/>
                <w:bCs/>
                <w:color w:val="000000" w:themeColor="text1"/>
                <w:sz w:val="16"/>
                <w:szCs w:val="18"/>
              </w:rPr>
              <w:t>.0</w:t>
            </w:r>
            <w:r w:rsidRPr="002F1DCC">
              <w:rPr>
                <w:rFonts w:ascii="Times New Roman" w:hAnsi="Times New Roman" w:cs="Times New Roman"/>
                <w:bCs/>
                <w:color w:val="000000" w:themeColor="text1"/>
                <w:sz w:val="16"/>
                <w:szCs w:val="18"/>
              </w:rPr>
              <w:t>)</w:t>
            </w:r>
          </w:p>
        </w:tc>
        <w:tc>
          <w:tcPr>
            <w:tcW w:w="267" w:type="pct"/>
            <w:gridSpan w:val="2"/>
            <w:vAlign w:val="center"/>
          </w:tcPr>
          <w:p w14:paraId="1679714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7 (14</w:t>
            </w:r>
            <w:r w:rsidRPr="002F1DCC">
              <w:rPr>
                <w:rFonts w:ascii="Times New Roman" w:hAnsi="Times New Roman" w:cs="Times New Roman" w:hint="eastAsia"/>
                <w:bCs/>
                <w:color w:val="000000" w:themeColor="text1"/>
                <w:sz w:val="16"/>
                <w:szCs w:val="18"/>
              </w:rPr>
              <w:t>.0</w:t>
            </w:r>
            <w:r w:rsidRPr="002F1DCC">
              <w:rPr>
                <w:rFonts w:ascii="Times New Roman" w:hAnsi="Times New Roman" w:cs="Times New Roman"/>
                <w:bCs/>
                <w:color w:val="000000" w:themeColor="text1"/>
                <w:sz w:val="16"/>
                <w:szCs w:val="18"/>
              </w:rPr>
              <w:t>)</w:t>
            </w:r>
          </w:p>
        </w:tc>
        <w:tc>
          <w:tcPr>
            <w:tcW w:w="344" w:type="pct"/>
            <w:gridSpan w:val="2"/>
            <w:vAlign w:val="center"/>
          </w:tcPr>
          <w:p w14:paraId="4BFAE8D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7" w:type="pct"/>
            <w:gridSpan w:val="2"/>
            <w:vAlign w:val="center"/>
          </w:tcPr>
          <w:p w14:paraId="73C431B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2" w:type="pct"/>
            <w:gridSpan w:val="3"/>
            <w:vAlign w:val="center"/>
          </w:tcPr>
          <w:p w14:paraId="48B4F62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9" w:type="pct"/>
            <w:gridSpan w:val="2"/>
            <w:vAlign w:val="center"/>
          </w:tcPr>
          <w:p w14:paraId="61531B2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1" w:type="pct"/>
            <w:gridSpan w:val="2"/>
            <w:vAlign w:val="center"/>
          </w:tcPr>
          <w:p w14:paraId="4C45150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1144D5C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0" w:type="pct"/>
            <w:gridSpan w:val="2"/>
            <w:vAlign w:val="center"/>
          </w:tcPr>
          <w:p w14:paraId="18C9450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7C68DC7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77" w:type="pct"/>
            <w:gridSpan w:val="3"/>
            <w:vAlign w:val="center"/>
          </w:tcPr>
          <w:p w14:paraId="5DDE249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35" w:type="pct"/>
            <w:vAlign w:val="center"/>
          </w:tcPr>
          <w:p w14:paraId="2E2F3FD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r>
      <w:tr w:rsidR="00364334" w:rsidRPr="002F1DCC" w14:paraId="66368091" w14:textId="77777777" w:rsidTr="00364334">
        <w:trPr>
          <w:gridAfter w:val="1"/>
          <w:wAfter w:w="24" w:type="pct"/>
          <w:trHeight w:val="1125"/>
        </w:trPr>
        <w:tc>
          <w:tcPr>
            <w:tcW w:w="356" w:type="pct"/>
            <w:vAlign w:val="center"/>
          </w:tcPr>
          <w:p w14:paraId="3AC3D629"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2025-Kant</w:t>
            </w:r>
          </w:p>
        </w:tc>
        <w:tc>
          <w:tcPr>
            <w:tcW w:w="327" w:type="pct"/>
            <w:vAlign w:val="center"/>
          </w:tcPr>
          <w:p w14:paraId="05FBB46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3247 (1509/1738)</w:t>
            </w:r>
          </w:p>
        </w:tc>
        <w:tc>
          <w:tcPr>
            <w:tcW w:w="345" w:type="pct"/>
            <w:vAlign w:val="center"/>
          </w:tcPr>
          <w:p w14:paraId="2445385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470 (29.0)</w:t>
            </w:r>
          </w:p>
        </w:tc>
        <w:tc>
          <w:tcPr>
            <w:tcW w:w="279" w:type="pct"/>
            <w:gridSpan w:val="2"/>
            <w:vAlign w:val="center"/>
          </w:tcPr>
          <w:p w14:paraId="0E8E9E9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480 (29.5)</w:t>
            </w:r>
          </w:p>
        </w:tc>
        <w:tc>
          <w:tcPr>
            <w:tcW w:w="344" w:type="pct"/>
            <w:gridSpan w:val="2"/>
            <w:vAlign w:val="center"/>
          </w:tcPr>
          <w:p w14:paraId="106804C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121 (7.5)</w:t>
            </w:r>
          </w:p>
        </w:tc>
        <w:tc>
          <w:tcPr>
            <w:tcW w:w="267" w:type="pct"/>
            <w:gridSpan w:val="2"/>
            <w:vAlign w:val="center"/>
          </w:tcPr>
          <w:p w14:paraId="018BA63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121 (7.4)</w:t>
            </w:r>
          </w:p>
        </w:tc>
        <w:tc>
          <w:tcPr>
            <w:tcW w:w="344" w:type="pct"/>
            <w:gridSpan w:val="2"/>
            <w:vAlign w:val="center"/>
          </w:tcPr>
          <w:p w14:paraId="6574BC6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53 (3.3)</w:t>
            </w:r>
          </w:p>
        </w:tc>
        <w:tc>
          <w:tcPr>
            <w:tcW w:w="267" w:type="pct"/>
            <w:gridSpan w:val="2"/>
            <w:vAlign w:val="center"/>
          </w:tcPr>
          <w:p w14:paraId="4A6DE57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69 (4.2)</w:t>
            </w:r>
          </w:p>
        </w:tc>
        <w:tc>
          <w:tcPr>
            <w:tcW w:w="342" w:type="pct"/>
            <w:gridSpan w:val="3"/>
            <w:vAlign w:val="center"/>
          </w:tcPr>
          <w:p w14:paraId="7508BDD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9" w:type="pct"/>
            <w:gridSpan w:val="2"/>
            <w:vAlign w:val="center"/>
          </w:tcPr>
          <w:p w14:paraId="6B673F4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1" w:type="pct"/>
            <w:gridSpan w:val="2"/>
            <w:vAlign w:val="center"/>
          </w:tcPr>
          <w:p w14:paraId="72F4BD0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32055F3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0" w:type="pct"/>
            <w:gridSpan w:val="2"/>
            <w:vAlign w:val="center"/>
          </w:tcPr>
          <w:p w14:paraId="13234D9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4C64C76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77" w:type="pct"/>
            <w:gridSpan w:val="3"/>
            <w:vAlign w:val="center"/>
          </w:tcPr>
          <w:p w14:paraId="514214E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35" w:type="pct"/>
            <w:vAlign w:val="center"/>
          </w:tcPr>
          <w:p w14:paraId="6F27D58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r>
      <w:tr w:rsidR="00364334" w:rsidRPr="002F1DCC" w14:paraId="2570992C" w14:textId="77777777" w:rsidTr="00364334">
        <w:trPr>
          <w:gridAfter w:val="1"/>
          <w:wAfter w:w="24" w:type="pct"/>
          <w:trHeight w:val="1125"/>
        </w:trPr>
        <w:tc>
          <w:tcPr>
            <w:tcW w:w="356" w:type="pct"/>
            <w:vAlign w:val="center"/>
          </w:tcPr>
          <w:p w14:paraId="53EF1843"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eastAsia="SimSun" w:hAnsi="Times New Roman" w:cs="Times New Roman"/>
                <w:b/>
                <w:color w:val="000000" w:themeColor="text1"/>
                <w:kern w:val="0"/>
                <w:sz w:val="16"/>
                <w:szCs w:val="18"/>
                <w14:ligatures w14:val="none"/>
              </w:rPr>
              <w:t>2025-Saugel (IMPROVE-MULTI)</w:t>
            </w:r>
          </w:p>
        </w:tc>
        <w:tc>
          <w:tcPr>
            <w:tcW w:w="327" w:type="pct"/>
            <w:vAlign w:val="center"/>
          </w:tcPr>
          <w:p w14:paraId="1682972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1134 (747/387)</w:t>
            </w:r>
          </w:p>
        </w:tc>
        <w:tc>
          <w:tcPr>
            <w:tcW w:w="345" w:type="pct"/>
            <w:vAlign w:val="center"/>
          </w:tcPr>
          <w:p w14:paraId="2AEDCB0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307 (54.1)</w:t>
            </w:r>
          </w:p>
        </w:tc>
        <w:tc>
          <w:tcPr>
            <w:tcW w:w="279" w:type="pct"/>
            <w:gridSpan w:val="2"/>
            <w:vAlign w:val="center"/>
          </w:tcPr>
          <w:p w14:paraId="7F936C5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265 (46.7)</w:t>
            </w:r>
          </w:p>
        </w:tc>
        <w:tc>
          <w:tcPr>
            <w:tcW w:w="344" w:type="pct"/>
            <w:gridSpan w:val="2"/>
            <w:vAlign w:val="center"/>
          </w:tcPr>
          <w:p w14:paraId="55AF3AE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105 (18.5)</w:t>
            </w:r>
          </w:p>
        </w:tc>
        <w:tc>
          <w:tcPr>
            <w:tcW w:w="267" w:type="pct"/>
            <w:gridSpan w:val="2"/>
            <w:vAlign w:val="center"/>
          </w:tcPr>
          <w:p w14:paraId="3E73F49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86 (15.2)</w:t>
            </w:r>
          </w:p>
        </w:tc>
        <w:tc>
          <w:tcPr>
            <w:tcW w:w="344" w:type="pct"/>
            <w:gridSpan w:val="2"/>
            <w:vAlign w:val="center"/>
          </w:tcPr>
          <w:p w14:paraId="017BB0B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396 (69.8)</w:t>
            </w:r>
          </w:p>
        </w:tc>
        <w:tc>
          <w:tcPr>
            <w:tcW w:w="267" w:type="pct"/>
            <w:gridSpan w:val="2"/>
            <w:vAlign w:val="center"/>
          </w:tcPr>
          <w:p w14:paraId="0137C84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377 (66.5)</w:t>
            </w:r>
          </w:p>
        </w:tc>
        <w:tc>
          <w:tcPr>
            <w:tcW w:w="342" w:type="pct"/>
            <w:gridSpan w:val="3"/>
            <w:vAlign w:val="center"/>
          </w:tcPr>
          <w:p w14:paraId="540B3D8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21</w:t>
            </w:r>
            <w:r w:rsidRPr="002F1DCC">
              <w:rPr>
                <w:rFonts w:ascii="Times New Roman" w:hAnsi="Times New Roman" w:cs="Times New Roman"/>
                <w:bCs/>
                <w:color w:val="000000" w:themeColor="text1"/>
                <w:sz w:val="16"/>
                <w:szCs w:val="18"/>
              </w:rPr>
              <w:t xml:space="preserve"> (3.7)</w:t>
            </w:r>
          </w:p>
        </w:tc>
        <w:tc>
          <w:tcPr>
            <w:tcW w:w="269" w:type="pct"/>
            <w:gridSpan w:val="2"/>
            <w:vAlign w:val="center"/>
          </w:tcPr>
          <w:p w14:paraId="4E448BC4"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17</w:t>
            </w:r>
            <w:r w:rsidRPr="002F1DCC">
              <w:rPr>
                <w:rFonts w:ascii="Times New Roman" w:hAnsi="Times New Roman" w:cs="Times New Roman"/>
                <w:bCs/>
                <w:color w:val="000000" w:themeColor="text1"/>
                <w:sz w:val="16"/>
                <w:szCs w:val="18"/>
              </w:rPr>
              <w:t xml:space="preserve"> (3.0)</w:t>
            </w:r>
          </w:p>
        </w:tc>
        <w:tc>
          <w:tcPr>
            <w:tcW w:w="341" w:type="pct"/>
            <w:gridSpan w:val="2"/>
            <w:vAlign w:val="center"/>
          </w:tcPr>
          <w:p w14:paraId="36B2CB6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0430EE4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0" w:type="pct"/>
            <w:gridSpan w:val="2"/>
            <w:vAlign w:val="center"/>
          </w:tcPr>
          <w:p w14:paraId="6432E44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27</w:t>
            </w:r>
            <w:r w:rsidRPr="002F1DCC">
              <w:rPr>
                <w:rFonts w:ascii="Times New Roman" w:hAnsi="Times New Roman" w:cs="Times New Roman"/>
                <w:bCs/>
                <w:color w:val="000000" w:themeColor="text1"/>
                <w:sz w:val="16"/>
                <w:szCs w:val="18"/>
              </w:rPr>
              <w:t xml:space="preserve"> (4.8)</w:t>
            </w:r>
          </w:p>
        </w:tc>
        <w:tc>
          <w:tcPr>
            <w:tcW w:w="271" w:type="pct"/>
            <w:gridSpan w:val="2"/>
            <w:vAlign w:val="center"/>
          </w:tcPr>
          <w:p w14:paraId="0F6D402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27</w:t>
            </w:r>
            <w:r w:rsidRPr="002F1DCC">
              <w:rPr>
                <w:rFonts w:ascii="Times New Roman" w:hAnsi="Times New Roman" w:cs="Times New Roman"/>
                <w:bCs/>
                <w:color w:val="000000" w:themeColor="text1"/>
                <w:sz w:val="16"/>
                <w:szCs w:val="18"/>
              </w:rPr>
              <w:t xml:space="preserve"> (4.8)</w:t>
            </w:r>
          </w:p>
        </w:tc>
        <w:tc>
          <w:tcPr>
            <w:tcW w:w="377" w:type="pct"/>
            <w:gridSpan w:val="3"/>
            <w:vAlign w:val="center"/>
          </w:tcPr>
          <w:p w14:paraId="6D4209E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71 (12.5)</w:t>
            </w:r>
          </w:p>
        </w:tc>
        <w:tc>
          <w:tcPr>
            <w:tcW w:w="235" w:type="pct"/>
            <w:vAlign w:val="center"/>
          </w:tcPr>
          <w:p w14:paraId="1981D90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67 (11.8)</w:t>
            </w:r>
          </w:p>
        </w:tc>
      </w:tr>
      <w:tr w:rsidR="00364334" w:rsidRPr="002F1DCC" w14:paraId="57B16A5C" w14:textId="77777777" w:rsidTr="00364334">
        <w:trPr>
          <w:gridAfter w:val="1"/>
          <w:wAfter w:w="24" w:type="pct"/>
          <w:trHeight w:val="1125"/>
        </w:trPr>
        <w:tc>
          <w:tcPr>
            <w:tcW w:w="356" w:type="pct"/>
            <w:vAlign w:val="center"/>
          </w:tcPr>
          <w:p w14:paraId="6BB0F177"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bookmarkStart w:id="5" w:name="_Hlk229835848"/>
            <w:r w:rsidRPr="002F1DCC">
              <w:rPr>
                <w:rFonts w:ascii="Times New Roman" w:hAnsi="Times New Roman" w:cs="Times New Roman"/>
                <w:b/>
                <w:color w:val="000000" w:themeColor="text1"/>
                <w:sz w:val="16"/>
                <w:szCs w:val="18"/>
              </w:rPr>
              <w:t>2025-Wang</w:t>
            </w:r>
          </w:p>
        </w:tc>
        <w:tc>
          <w:tcPr>
            <w:tcW w:w="327" w:type="pct"/>
            <w:vAlign w:val="center"/>
          </w:tcPr>
          <w:p w14:paraId="7E2C632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142 (33/109)</w:t>
            </w:r>
          </w:p>
        </w:tc>
        <w:tc>
          <w:tcPr>
            <w:tcW w:w="345" w:type="pct"/>
            <w:vAlign w:val="center"/>
          </w:tcPr>
          <w:p w14:paraId="07E5CCC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37 (52.1)</w:t>
            </w:r>
          </w:p>
        </w:tc>
        <w:tc>
          <w:tcPr>
            <w:tcW w:w="279" w:type="pct"/>
            <w:gridSpan w:val="2"/>
            <w:vAlign w:val="center"/>
          </w:tcPr>
          <w:p w14:paraId="15EDCBE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34 (47.9)</w:t>
            </w:r>
          </w:p>
        </w:tc>
        <w:tc>
          <w:tcPr>
            <w:tcW w:w="344" w:type="pct"/>
            <w:gridSpan w:val="2"/>
            <w:vAlign w:val="center"/>
          </w:tcPr>
          <w:p w14:paraId="5EB34B8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34 (47.9)</w:t>
            </w:r>
          </w:p>
        </w:tc>
        <w:tc>
          <w:tcPr>
            <w:tcW w:w="267" w:type="pct"/>
            <w:gridSpan w:val="2"/>
            <w:vAlign w:val="center"/>
          </w:tcPr>
          <w:p w14:paraId="1F66781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11 (15.5)</w:t>
            </w:r>
          </w:p>
        </w:tc>
        <w:tc>
          <w:tcPr>
            <w:tcW w:w="344" w:type="pct"/>
            <w:gridSpan w:val="2"/>
            <w:vAlign w:val="center"/>
          </w:tcPr>
          <w:p w14:paraId="391A5E67"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7" w:type="pct"/>
            <w:gridSpan w:val="2"/>
            <w:vAlign w:val="center"/>
          </w:tcPr>
          <w:p w14:paraId="43A470E8"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2" w:type="pct"/>
            <w:gridSpan w:val="3"/>
            <w:vAlign w:val="center"/>
          </w:tcPr>
          <w:p w14:paraId="168C45C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9" w:type="pct"/>
            <w:gridSpan w:val="2"/>
            <w:vAlign w:val="center"/>
          </w:tcPr>
          <w:p w14:paraId="1E5EBB4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1" w:type="pct"/>
            <w:gridSpan w:val="2"/>
            <w:vAlign w:val="center"/>
          </w:tcPr>
          <w:p w14:paraId="3343DC5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4D6933B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0" w:type="pct"/>
            <w:gridSpan w:val="2"/>
            <w:vAlign w:val="center"/>
          </w:tcPr>
          <w:p w14:paraId="57F12D0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5A5A091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77" w:type="pct"/>
            <w:gridSpan w:val="3"/>
            <w:vAlign w:val="center"/>
          </w:tcPr>
          <w:p w14:paraId="4B1B882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6 (8.5)</w:t>
            </w:r>
          </w:p>
        </w:tc>
        <w:tc>
          <w:tcPr>
            <w:tcW w:w="235" w:type="pct"/>
            <w:vAlign w:val="center"/>
          </w:tcPr>
          <w:p w14:paraId="7A422C7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8 (11.3)</w:t>
            </w:r>
          </w:p>
        </w:tc>
      </w:tr>
      <w:tr w:rsidR="00364334" w:rsidRPr="002F1DCC" w14:paraId="16C7F889" w14:textId="77777777" w:rsidTr="00364334">
        <w:trPr>
          <w:gridAfter w:val="1"/>
          <w:wAfter w:w="24" w:type="pct"/>
          <w:trHeight w:val="1125"/>
        </w:trPr>
        <w:tc>
          <w:tcPr>
            <w:tcW w:w="356" w:type="pct"/>
            <w:vAlign w:val="center"/>
          </w:tcPr>
          <w:p w14:paraId="4C4A390B"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t>2025-Huang</w:t>
            </w:r>
          </w:p>
        </w:tc>
        <w:tc>
          <w:tcPr>
            <w:tcW w:w="327" w:type="pct"/>
            <w:vAlign w:val="center"/>
          </w:tcPr>
          <w:p w14:paraId="567B2ADE"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188</w:t>
            </w:r>
            <w:r w:rsidRPr="002F1DCC">
              <w:rPr>
                <w:rFonts w:ascii="Times New Roman" w:hAnsi="Times New Roman" w:cs="Times New Roman" w:hint="eastAsia"/>
                <w:bCs/>
                <w:color w:val="000000" w:themeColor="text1"/>
                <w:sz w:val="16"/>
                <w:szCs w:val="18"/>
              </w:rPr>
              <w:t xml:space="preserve"> </w:t>
            </w:r>
            <w:r w:rsidRPr="002F1DCC">
              <w:rPr>
                <w:rFonts w:ascii="Times New Roman" w:hAnsi="Times New Roman" w:cs="Times New Roman"/>
                <w:bCs/>
                <w:color w:val="000000" w:themeColor="text1"/>
                <w:sz w:val="16"/>
                <w:szCs w:val="18"/>
              </w:rPr>
              <w:t>(48/140)</w:t>
            </w:r>
          </w:p>
        </w:tc>
        <w:tc>
          <w:tcPr>
            <w:tcW w:w="345" w:type="pct"/>
            <w:vAlign w:val="center"/>
          </w:tcPr>
          <w:p w14:paraId="4E28789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67 (71.3)</w:t>
            </w:r>
          </w:p>
        </w:tc>
        <w:tc>
          <w:tcPr>
            <w:tcW w:w="279" w:type="pct"/>
            <w:gridSpan w:val="2"/>
            <w:vAlign w:val="center"/>
          </w:tcPr>
          <w:p w14:paraId="01A8037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61 (64.9)</w:t>
            </w:r>
          </w:p>
        </w:tc>
        <w:tc>
          <w:tcPr>
            <w:tcW w:w="344" w:type="pct"/>
            <w:gridSpan w:val="2"/>
            <w:vAlign w:val="center"/>
          </w:tcPr>
          <w:p w14:paraId="2598C8D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24 (25.5)</w:t>
            </w:r>
          </w:p>
        </w:tc>
        <w:tc>
          <w:tcPr>
            <w:tcW w:w="267" w:type="pct"/>
            <w:gridSpan w:val="2"/>
            <w:vAlign w:val="center"/>
          </w:tcPr>
          <w:p w14:paraId="715CA75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32 (34.0)</w:t>
            </w:r>
          </w:p>
        </w:tc>
        <w:tc>
          <w:tcPr>
            <w:tcW w:w="344" w:type="pct"/>
            <w:gridSpan w:val="2"/>
            <w:vAlign w:val="center"/>
          </w:tcPr>
          <w:p w14:paraId="0A8C501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7" w:type="pct"/>
            <w:gridSpan w:val="2"/>
            <w:vAlign w:val="center"/>
          </w:tcPr>
          <w:p w14:paraId="43E878D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2" w:type="pct"/>
            <w:gridSpan w:val="3"/>
            <w:vAlign w:val="center"/>
          </w:tcPr>
          <w:p w14:paraId="4871843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9" w:type="pct"/>
            <w:gridSpan w:val="2"/>
            <w:vAlign w:val="center"/>
          </w:tcPr>
          <w:p w14:paraId="45E9E1D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1" w:type="pct"/>
            <w:gridSpan w:val="2"/>
            <w:vAlign w:val="center"/>
          </w:tcPr>
          <w:p w14:paraId="388A916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vAlign w:val="center"/>
          </w:tcPr>
          <w:p w14:paraId="36F83BF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0" w:type="pct"/>
            <w:gridSpan w:val="2"/>
            <w:vAlign w:val="center"/>
          </w:tcPr>
          <w:p w14:paraId="6C22152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14 (14.9)</w:t>
            </w:r>
          </w:p>
        </w:tc>
        <w:tc>
          <w:tcPr>
            <w:tcW w:w="271" w:type="pct"/>
            <w:gridSpan w:val="2"/>
            <w:vAlign w:val="center"/>
          </w:tcPr>
          <w:p w14:paraId="72925481"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22 (23.4)</w:t>
            </w:r>
          </w:p>
        </w:tc>
        <w:tc>
          <w:tcPr>
            <w:tcW w:w="377" w:type="pct"/>
            <w:gridSpan w:val="3"/>
            <w:vAlign w:val="center"/>
          </w:tcPr>
          <w:p w14:paraId="72C0C2E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23 (24.5)</w:t>
            </w:r>
          </w:p>
        </w:tc>
        <w:tc>
          <w:tcPr>
            <w:tcW w:w="235" w:type="pct"/>
            <w:vAlign w:val="center"/>
          </w:tcPr>
          <w:p w14:paraId="68015933"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bCs/>
                <w:color w:val="000000" w:themeColor="text1"/>
                <w:sz w:val="16"/>
                <w:szCs w:val="18"/>
              </w:rPr>
              <w:t>24 (25.5)</w:t>
            </w:r>
          </w:p>
        </w:tc>
      </w:tr>
      <w:tr w:rsidR="00364334" w:rsidRPr="002F1DCC" w14:paraId="11CDF447" w14:textId="77777777" w:rsidTr="00364334">
        <w:trPr>
          <w:gridAfter w:val="1"/>
          <w:wAfter w:w="24" w:type="pct"/>
          <w:trHeight w:val="1125"/>
        </w:trPr>
        <w:tc>
          <w:tcPr>
            <w:tcW w:w="356" w:type="pct"/>
            <w:tcBorders>
              <w:bottom w:val="single" w:sz="18" w:space="0" w:color="000000"/>
            </w:tcBorders>
            <w:vAlign w:val="center"/>
          </w:tcPr>
          <w:p w14:paraId="10964EAE" w14:textId="77777777" w:rsidR="00364334" w:rsidRPr="002F1DCC" w:rsidRDefault="00364334" w:rsidP="00100DC8">
            <w:pPr>
              <w:adjustRightInd w:val="0"/>
              <w:snapToGrid w:val="0"/>
              <w:jc w:val="center"/>
              <w:rPr>
                <w:rFonts w:ascii="Times New Roman" w:hAnsi="Times New Roman" w:cs="Times New Roman"/>
                <w:b/>
                <w:color w:val="000000" w:themeColor="text1"/>
                <w:sz w:val="16"/>
                <w:szCs w:val="18"/>
              </w:rPr>
            </w:pPr>
            <w:r w:rsidRPr="002F1DCC">
              <w:rPr>
                <w:rFonts w:ascii="Times New Roman" w:hAnsi="Times New Roman" w:cs="Times New Roman"/>
                <w:b/>
                <w:color w:val="000000" w:themeColor="text1"/>
                <w:sz w:val="16"/>
                <w:szCs w:val="18"/>
              </w:rPr>
              <w:lastRenderedPageBreak/>
              <w:t>2026-Li</w:t>
            </w:r>
          </w:p>
        </w:tc>
        <w:tc>
          <w:tcPr>
            <w:tcW w:w="327" w:type="pct"/>
            <w:tcBorders>
              <w:bottom w:val="single" w:sz="18" w:space="0" w:color="000000"/>
            </w:tcBorders>
            <w:vAlign w:val="center"/>
          </w:tcPr>
          <w:p w14:paraId="7155117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144 (91/53)</w:t>
            </w:r>
          </w:p>
        </w:tc>
        <w:tc>
          <w:tcPr>
            <w:tcW w:w="345" w:type="pct"/>
            <w:tcBorders>
              <w:bottom w:val="single" w:sz="18" w:space="0" w:color="000000"/>
            </w:tcBorders>
            <w:vAlign w:val="center"/>
          </w:tcPr>
          <w:p w14:paraId="678B3102"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74 (100)</w:t>
            </w:r>
          </w:p>
        </w:tc>
        <w:tc>
          <w:tcPr>
            <w:tcW w:w="279" w:type="pct"/>
            <w:gridSpan w:val="2"/>
            <w:tcBorders>
              <w:bottom w:val="single" w:sz="18" w:space="0" w:color="000000"/>
            </w:tcBorders>
            <w:vAlign w:val="center"/>
          </w:tcPr>
          <w:p w14:paraId="61E3F77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70 (100)</w:t>
            </w:r>
          </w:p>
        </w:tc>
        <w:tc>
          <w:tcPr>
            <w:tcW w:w="344" w:type="pct"/>
            <w:gridSpan w:val="2"/>
            <w:tcBorders>
              <w:bottom w:val="single" w:sz="18" w:space="0" w:color="000000"/>
            </w:tcBorders>
            <w:vAlign w:val="center"/>
          </w:tcPr>
          <w:p w14:paraId="01994CA0"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 (4.1)</w:t>
            </w:r>
          </w:p>
        </w:tc>
        <w:tc>
          <w:tcPr>
            <w:tcW w:w="267" w:type="pct"/>
            <w:gridSpan w:val="2"/>
            <w:tcBorders>
              <w:bottom w:val="single" w:sz="18" w:space="0" w:color="000000"/>
            </w:tcBorders>
            <w:vAlign w:val="center"/>
          </w:tcPr>
          <w:p w14:paraId="711D590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 (4.3)</w:t>
            </w:r>
          </w:p>
        </w:tc>
        <w:tc>
          <w:tcPr>
            <w:tcW w:w="344" w:type="pct"/>
            <w:gridSpan w:val="2"/>
            <w:tcBorders>
              <w:bottom w:val="single" w:sz="18" w:space="0" w:color="000000"/>
            </w:tcBorders>
            <w:vAlign w:val="center"/>
          </w:tcPr>
          <w:p w14:paraId="0DED8FFB"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 (4.1)</w:t>
            </w:r>
          </w:p>
        </w:tc>
        <w:tc>
          <w:tcPr>
            <w:tcW w:w="267" w:type="pct"/>
            <w:gridSpan w:val="2"/>
            <w:tcBorders>
              <w:bottom w:val="single" w:sz="18" w:space="0" w:color="000000"/>
            </w:tcBorders>
            <w:vAlign w:val="center"/>
          </w:tcPr>
          <w:p w14:paraId="6DB949CD"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3 (4.3)</w:t>
            </w:r>
          </w:p>
        </w:tc>
        <w:tc>
          <w:tcPr>
            <w:tcW w:w="342" w:type="pct"/>
            <w:gridSpan w:val="3"/>
            <w:tcBorders>
              <w:bottom w:val="single" w:sz="18" w:space="0" w:color="000000"/>
            </w:tcBorders>
            <w:vAlign w:val="center"/>
          </w:tcPr>
          <w:p w14:paraId="7851317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69" w:type="pct"/>
            <w:gridSpan w:val="2"/>
            <w:tcBorders>
              <w:bottom w:val="single" w:sz="18" w:space="0" w:color="000000"/>
            </w:tcBorders>
            <w:vAlign w:val="center"/>
          </w:tcPr>
          <w:p w14:paraId="5DE35C99"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1" w:type="pct"/>
            <w:gridSpan w:val="2"/>
            <w:tcBorders>
              <w:bottom w:val="single" w:sz="18" w:space="0" w:color="000000"/>
            </w:tcBorders>
            <w:vAlign w:val="center"/>
          </w:tcPr>
          <w:p w14:paraId="7664469A"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tcBorders>
              <w:bottom w:val="single" w:sz="18" w:space="0" w:color="000000"/>
            </w:tcBorders>
            <w:vAlign w:val="center"/>
          </w:tcPr>
          <w:p w14:paraId="7FF566C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40" w:type="pct"/>
            <w:gridSpan w:val="2"/>
            <w:tcBorders>
              <w:bottom w:val="single" w:sz="18" w:space="0" w:color="000000"/>
            </w:tcBorders>
            <w:vAlign w:val="center"/>
          </w:tcPr>
          <w:p w14:paraId="04758CD6"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271" w:type="pct"/>
            <w:gridSpan w:val="2"/>
            <w:tcBorders>
              <w:bottom w:val="single" w:sz="18" w:space="0" w:color="000000"/>
            </w:tcBorders>
            <w:vAlign w:val="center"/>
          </w:tcPr>
          <w:p w14:paraId="2CA8906F"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NA</w:t>
            </w:r>
          </w:p>
        </w:tc>
        <w:tc>
          <w:tcPr>
            <w:tcW w:w="377" w:type="pct"/>
            <w:gridSpan w:val="3"/>
            <w:tcBorders>
              <w:bottom w:val="single" w:sz="18" w:space="0" w:color="000000"/>
            </w:tcBorders>
            <w:vAlign w:val="center"/>
          </w:tcPr>
          <w:p w14:paraId="59B9CFFC"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5 (6.8)</w:t>
            </w:r>
          </w:p>
        </w:tc>
        <w:tc>
          <w:tcPr>
            <w:tcW w:w="235" w:type="pct"/>
            <w:tcBorders>
              <w:bottom w:val="single" w:sz="18" w:space="0" w:color="000000"/>
            </w:tcBorders>
            <w:vAlign w:val="center"/>
          </w:tcPr>
          <w:p w14:paraId="486CD255" w14:textId="77777777" w:rsidR="00364334" w:rsidRPr="002F1DCC" w:rsidRDefault="00364334" w:rsidP="00100DC8">
            <w:pPr>
              <w:adjustRightInd w:val="0"/>
              <w:snapToGrid w:val="0"/>
              <w:jc w:val="center"/>
              <w:rPr>
                <w:rFonts w:ascii="Times New Roman" w:hAnsi="Times New Roman" w:cs="Times New Roman"/>
                <w:bCs/>
                <w:color w:val="000000" w:themeColor="text1"/>
                <w:sz w:val="16"/>
                <w:szCs w:val="18"/>
              </w:rPr>
            </w:pPr>
            <w:r w:rsidRPr="002F1DCC">
              <w:rPr>
                <w:rFonts w:ascii="Times New Roman" w:hAnsi="Times New Roman" w:cs="Times New Roman" w:hint="eastAsia"/>
                <w:bCs/>
                <w:color w:val="000000" w:themeColor="text1"/>
                <w:sz w:val="16"/>
                <w:szCs w:val="18"/>
              </w:rPr>
              <w:t>4 (5.7)</w:t>
            </w:r>
          </w:p>
        </w:tc>
      </w:tr>
    </w:tbl>
    <w:p w14:paraId="252102C3" w14:textId="77777777" w:rsidR="00364334" w:rsidRPr="002F1DCC" w:rsidRDefault="00364334" w:rsidP="00364334">
      <w:pPr>
        <w:widowControl/>
        <w:adjustRightInd w:val="0"/>
        <w:snapToGrid w:val="0"/>
        <w:spacing w:after="0" w:line="240" w:lineRule="auto"/>
        <w:rPr>
          <w:rFonts w:ascii="Times New Roman" w:eastAsia="SimSun" w:hAnsi="Times New Roman" w:cs="Times New Roman"/>
          <w:bCs/>
          <w:color w:val="000000" w:themeColor="text1"/>
          <w:kern w:val="0"/>
          <w:sz w:val="21"/>
          <w:szCs w:val="21"/>
          <w14:ligatures w14:val="none"/>
        </w:rPr>
      </w:pPr>
      <w:bookmarkStart w:id="6" w:name="_Hlk228307838"/>
      <w:bookmarkEnd w:id="5"/>
      <w:r w:rsidRPr="002F1DCC">
        <w:rPr>
          <w:rFonts w:ascii="Times New Roman" w:eastAsia="SimSun" w:hAnsi="Times New Roman" w:cs="Times New Roman"/>
          <w:bCs/>
          <w:color w:val="000000" w:themeColor="text1"/>
          <w:kern w:val="0"/>
          <w:sz w:val="21"/>
          <w:szCs w:val="21"/>
          <w:vertAlign w:val="superscript"/>
          <w14:ligatures w14:val="none"/>
        </w:rPr>
        <w:t>*</w:t>
      </w:r>
      <w:r w:rsidRPr="002F1DCC">
        <w:rPr>
          <w:rFonts w:ascii="Times New Roman" w:eastAsia="SimSun" w:hAnsi="Times New Roman" w:cs="Times New Roman"/>
          <w:bCs/>
          <w:color w:val="000000" w:themeColor="text1"/>
          <w:kern w:val="0"/>
          <w:sz w:val="21"/>
          <w:szCs w:val="21"/>
          <w14:ligatures w14:val="none"/>
        </w:rPr>
        <w:t>POISE-3 trial (2023-Marcucci, n = 7,490). Three publications arising from the same randomized population were identified. Data for cardiovascular outcomes were obtained from the parent trial report (2023-Marcucci, n = 7,490); data for AKI were obtained from the prespecified kidney substudy (2024-Marcucci, n = 7,307); and data for POD were obtained from the prespecified cogPOISE-3 substudy (2025-Marcucci, n = 2,603). In accordance with Cochrane Handbook guidance on multiple reports of the same study, all three reports were treated as a single trial in all analyses. Patient numbers shown in this table reflect the parent trial population (n = 7,490), whereas outcome-specific analyses used data from the relevant substudy publication. No participant was counted more than once in any meta-analysis.</w:t>
      </w:r>
    </w:p>
    <w:p w14:paraId="7E73CACD" w14:textId="77777777" w:rsidR="00364334" w:rsidRDefault="00364334" w:rsidP="00364334">
      <w:pPr>
        <w:widowControl/>
        <w:adjustRightInd w:val="0"/>
        <w:snapToGrid w:val="0"/>
        <w:spacing w:after="0" w:line="240" w:lineRule="auto"/>
        <w:rPr>
          <w:rFonts w:ascii="Times New Roman" w:eastAsia="SimSun" w:hAnsi="Times New Roman" w:cs="Times New Roman"/>
          <w:bCs/>
          <w:color w:val="000000" w:themeColor="text1"/>
          <w:kern w:val="0"/>
          <w:sz w:val="21"/>
          <w:szCs w:val="21"/>
          <w:vertAlign w:val="superscript"/>
          <w14:ligatures w14:val="none"/>
        </w:rPr>
      </w:pPr>
    </w:p>
    <w:p w14:paraId="3B38241E" w14:textId="77777777" w:rsidR="00364334" w:rsidRPr="002F1DCC" w:rsidRDefault="00364334" w:rsidP="00364334">
      <w:pPr>
        <w:widowControl/>
        <w:adjustRightInd w:val="0"/>
        <w:snapToGrid w:val="0"/>
        <w:spacing w:after="0" w:line="240" w:lineRule="auto"/>
        <w:rPr>
          <w:rFonts w:ascii="Times New Roman" w:eastAsia="SimSun" w:hAnsi="Times New Roman" w:cs="Times New Roman"/>
          <w:bCs/>
          <w:color w:val="000000" w:themeColor="text1"/>
          <w:kern w:val="0"/>
          <w:sz w:val="21"/>
          <w:szCs w:val="21"/>
          <w14:ligatures w14:val="none"/>
        </w:rPr>
      </w:pPr>
      <w:r w:rsidRPr="002F1DCC">
        <w:rPr>
          <w:rFonts w:ascii="Times New Roman" w:eastAsia="SimSun" w:hAnsi="Times New Roman" w:cs="Times New Roman"/>
          <w:bCs/>
          <w:color w:val="000000" w:themeColor="text1"/>
          <w:kern w:val="0"/>
          <w:sz w:val="21"/>
          <w:szCs w:val="21"/>
          <w:vertAlign w:val="superscript"/>
          <w14:ligatures w14:val="none"/>
        </w:rPr>
        <w:t>#</w:t>
      </w:r>
      <w:r w:rsidRPr="002F1DCC">
        <w:rPr>
          <w:rFonts w:ascii="Times New Roman" w:eastAsia="SimSun" w:hAnsi="Times New Roman" w:cs="Times New Roman"/>
          <w:bCs/>
          <w:color w:val="000000" w:themeColor="text1"/>
          <w:kern w:val="0"/>
          <w:sz w:val="21"/>
          <w:szCs w:val="21"/>
          <w14:ligatures w14:val="none"/>
        </w:rPr>
        <w:t>IMPROVE-pilot trial (2024-Bergholz, n = 105). Data for POD were obtained from the prespecified single-center substudy (2026-Khader, n = 49), whereas all other outcomes were obtained from the parent trial report. Both publications were treated as a single trial according to Cochrane Handbook guidance, and no participant was counted more than once in any meta-analysis. The IMPROVE-multi trial (2025-Saugel, n = 1,134) enrolled an independent, non-overlapping patient population and was therefore treated as a separate trial.</w:t>
      </w:r>
    </w:p>
    <w:p w14:paraId="73CE604C" w14:textId="77777777" w:rsidR="00364334" w:rsidRDefault="00364334" w:rsidP="00364334">
      <w:pPr>
        <w:widowControl/>
        <w:adjustRightInd w:val="0"/>
        <w:snapToGrid w:val="0"/>
        <w:spacing w:after="0" w:line="240" w:lineRule="auto"/>
        <w:rPr>
          <w:rFonts w:ascii="Times New Roman" w:hAnsi="Times New Roman" w:cs="Times New Roman"/>
          <w:color w:val="000000" w:themeColor="text1"/>
          <w:sz w:val="21"/>
          <w:szCs w:val="21"/>
        </w:rPr>
      </w:pPr>
    </w:p>
    <w:p w14:paraId="4F5135CD" w14:textId="77777777" w:rsidR="00364334" w:rsidRPr="002F1DCC" w:rsidRDefault="00364334" w:rsidP="00364334">
      <w:pPr>
        <w:widowControl/>
        <w:adjustRightInd w:val="0"/>
        <w:snapToGrid w:val="0"/>
        <w:spacing w:after="0" w:line="240" w:lineRule="auto"/>
        <w:rPr>
          <w:rFonts w:ascii="Times New Roman" w:eastAsia="SimSun" w:hAnsi="Times New Roman" w:cs="Times New Roman"/>
          <w:bCs/>
          <w:color w:val="000000" w:themeColor="text1"/>
          <w:kern w:val="0"/>
          <w:sz w:val="21"/>
          <w:szCs w:val="21"/>
          <w:lang w:val="en-US"/>
          <w14:ligatures w14:val="none"/>
        </w:rPr>
      </w:pPr>
      <w:r w:rsidRPr="002F1DCC">
        <w:rPr>
          <w:rFonts w:ascii="Times New Roman" w:hAnsi="Times New Roman" w:cs="Times New Roman"/>
          <w:color w:val="000000" w:themeColor="text1"/>
          <w:sz w:val="21"/>
          <w:szCs w:val="21"/>
        </w:rPr>
        <w:t xml:space="preserve">For the study by </w:t>
      </w:r>
      <w:r w:rsidRPr="002F1DCC">
        <w:rPr>
          <w:rFonts w:ascii="Times New Roman" w:hAnsi="Times New Roman" w:cs="Times New Roman" w:hint="eastAsia"/>
          <w:color w:val="000000" w:themeColor="text1"/>
          <w:sz w:val="21"/>
          <w:szCs w:val="21"/>
        </w:rPr>
        <w:t>2017-Wu,</w:t>
      </w:r>
      <w:r w:rsidRPr="002F1DCC">
        <w:rPr>
          <w:rFonts w:ascii="Times New Roman" w:hAnsi="Times New Roman" w:cs="Times New Roman"/>
          <w:color w:val="000000" w:themeColor="text1"/>
          <w:sz w:val="21"/>
          <w:szCs w:val="21"/>
        </w:rPr>
        <w:fldChar w:fldCharType="begin">
          <w:fldData xml:space="preserve">PEVuZE5vdGU+PENpdGU+PEF1dGhvcj5XdTwvQXV0aG9yPjxZZWFyPjIwMTc8L1llYXI+PFJlY051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</w:fldData>
        </w:fldChar>
      </w:r>
      <w:r w:rsidRPr="002F1DCC">
        <w:rPr>
          <w:rFonts w:ascii="Times New Roman" w:hAnsi="Times New Roman" w:cs="Times New Roman"/>
          <w:color w:val="000000" w:themeColor="text1"/>
          <w:sz w:val="21"/>
          <w:szCs w:val="21"/>
        </w:rPr>
        <w:instrText xml:space="preserve"> ADDIN EN.CITE </w:instrText>
      </w:r>
      <w:r w:rsidRPr="002F1DCC">
        <w:rPr>
          <w:rFonts w:ascii="Times New Roman" w:hAnsi="Times New Roman" w:cs="Times New Roman"/>
          <w:color w:val="000000" w:themeColor="text1"/>
          <w:sz w:val="21"/>
          <w:szCs w:val="21"/>
        </w:rPr>
        <w:fldChar w:fldCharType="begin">
          <w:fldData xml:space="preserve">PEVuZE5vdGU+PENpdGU+PEF1dGhvcj5XdTwvQXV0aG9yPjxZZWFyPjIwMTc8L1llYXI+PFJlY051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</w:fldData>
        </w:fldChar>
      </w:r>
      <w:r w:rsidRPr="002F1DCC">
        <w:rPr>
          <w:rFonts w:ascii="Times New Roman" w:hAnsi="Times New Roman" w:cs="Times New Roman"/>
          <w:color w:val="000000" w:themeColor="text1"/>
          <w:sz w:val="21"/>
          <w:szCs w:val="21"/>
        </w:rPr>
        <w:instrText xml:space="preserve"> ADDIN EN.CITE.DATA </w:instrText>
      </w:r>
      <w:r w:rsidRPr="002F1DCC">
        <w:rPr>
          <w:rFonts w:ascii="Times New Roman" w:hAnsi="Times New Roman" w:cs="Times New Roman"/>
          <w:color w:val="000000" w:themeColor="text1"/>
          <w:sz w:val="21"/>
          <w:szCs w:val="21"/>
        </w:rPr>
      </w:r>
      <w:r w:rsidRPr="002F1DCC">
        <w:rPr>
          <w:rFonts w:ascii="Times New Roman" w:hAnsi="Times New Roman" w:cs="Times New Roman"/>
          <w:color w:val="000000" w:themeColor="text1"/>
          <w:sz w:val="21"/>
          <w:szCs w:val="21"/>
        </w:rPr>
        <w:fldChar w:fldCharType="end"/>
      </w:r>
      <w:r w:rsidRPr="002F1DCC">
        <w:rPr>
          <w:rFonts w:ascii="Times New Roman" w:hAnsi="Times New Roman" w:cs="Times New Roman"/>
          <w:color w:val="000000" w:themeColor="text1"/>
          <w:sz w:val="21"/>
          <w:szCs w:val="21"/>
        </w:rPr>
      </w:r>
      <w:r w:rsidRPr="002F1DCC">
        <w:rPr>
          <w:rFonts w:ascii="Times New Roman" w:hAnsi="Times New Roman" w:cs="Times New Roman"/>
          <w:color w:val="000000" w:themeColor="text1"/>
          <w:sz w:val="21"/>
          <w:szCs w:val="21"/>
        </w:rPr>
        <w:fldChar w:fldCharType="separate"/>
      </w:r>
      <w:r w:rsidRPr="002F1DCC">
        <w:rPr>
          <w:rFonts w:ascii="Times New Roman" w:hAnsi="Times New Roman" w:cs="Times New Roman"/>
          <w:noProof/>
          <w:color w:val="000000" w:themeColor="text1"/>
          <w:sz w:val="21"/>
          <w:szCs w:val="21"/>
          <w:vertAlign w:val="superscript"/>
        </w:rPr>
        <w:t>10</w:t>
      </w:r>
      <w:r w:rsidRPr="002F1DCC">
        <w:rPr>
          <w:rFonts w:ascii="Times New Roman" w:hAnsi="Times New Roman" w:cs="Times New Roman"/>
          <w:color w:val="000000" w:themeColor="text1"/>
          <w:sz w:val="21"/>
          <w:szCs w:val="21"/>
        </w:rPr>
        <w:fldChar w:fldCharType="end"/>
      </w:r>
      <w:r w:rsidRPr="002F1DCC">
        <w:rPr>
          <w:rFonts w:ascii="Times New Roman" w:hAnsi="Times New Roman" w:cs="Times New Roman" w:hint="eastAsia"/>
          <w:color w:val="000000" w:themeColor="text1"/>
          <w:sz w:val="21"/>
          <w:szCs w:val="21"/>
        </w:rPr>
        <w:t xml:space="preserve"> </w:t>
      </w:r>
      <w:r w:rsidRPr="002F1DCC">
        <w:rPr>
          <w:rFonts w:ascii="Times New Roman" w:hAnsi="Times New Roman" w:cs="Times New Roman"/>
          <w:color w:val="000000" w:themeColor="text1"/>
          <w:sz w:val="21"/>
          <w:szCs w:val="21"/>
        </w:rPr>
        <w:t xml:space="preserve">participants were randomized to three intraoperative MAP target groups: Level I (65–79 mmHg), Level II (80–95 mmHg), and Level III (96–110 mmHg). In this meta-analysis, Levels II and III were combined as the intensive group, and Level I served as the standard </w:t>
      </w:r>
      <w:r w:rsidRPr="002F1DCC">
        <w:rPr>
          <w:rFonts w:ascii="Times New Roman" w:hAnsi="Times New Roman" w:cs="Times New Roman" w:hint="eastAsia"/>
          <w:color w:val="000000" w:themeColor="text1"/>
          <w:sz w:val="21"/>
          <w:szCs w:val="21"/>
        </w:rPr>
        <w:t>group</w:t>
      </w:r>
      <w:r w:rsidRPr="002F1DCC">
        <w:rPr>
          <w:rFonts w:ascii="Times New Roman" w:hAnsi="Times New Roman" w:cs="Times New Roman"/>
          <w:color w:val="000000" w:themeColor="text1"/>
          <w:sz w:val="21"/>
          <w:szCs w:val="21"/>
        </w:rPr>
        <w:t>. For the study by 2020-Xu</w:t>
      </w:r>
      <w:r w:rsidRPr="002F1DCC">
        <w:rPr>
          <w:rFonts w:ascii="Times New Roman" w:hAnsi="Times New Roman" w:cs="Times New Roman" w:hint="eastAsia"/>
          <w:color w:val="000000" w:themeColor="text1"/>
          <w:sz w:val="21"/>
          <w:szCs w:val="21"/>
        </w:rPr>
        <w:t>,</w:t>
      </w:r>
      <w:r w:rsidRPr="002F1DCC">
        <w:rPr>
          <w:rFonts w:ascii="Times New Roman" w:hAnsi="Times New Roman" w:cs="Times New Roman"/>
          <w:color w:val="000000" w:themeColor="text1"/>
          <w:sz w:val="21"/>
          <w:szCs w:val="21"/>
        </w:rPr>
        <w:fldChar w:fldCharType="begin">
          <w:fldData xml:space="preserve">PEVuZE5vdGU+PENpdGU+PEF1dGhvcj5YdTwvQXV0aG9yPjxZZWFyPjIwMjA8L1llYXI+PFJlY051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</w:fldData>
        </w:fldChar>
      </w:r>
      <w:r w:rsidRPr="002F1DCC">
        <w:rPr>
          <w:rFonts w:ascii="Times New Roman" w:hAnsi="Times New Roman" w:cs="Times New Roman"/>
          <w:color w:val="000000" w:themeColor="text1"/>
          <w:sz w:val="21"/>
          <w:szCs w:val="21"/>
        </w:rPr>
        <w:instrText xml:space="preserve"> ADDIN EN.CITE </w:instrText>
      </w:r>
      <w:r w:rsidRPr="002F1DCC">
        <w:rPr>
          <w:rFonts w:ascii="Times New Roman" w:hAnsi="Times New Roman" w:cs="Times New Roman"/>
          <w:color w:val="000000" w:themeColor="text1"/>
          <w:sz w:val="21"/>
          <w:szCs w:val="21"/>
        </w:rPr>
        <w:fldChar w:fldCharType="begin">
          <w:fldData xml:space="preserve">PEVuZE5vdGU+PENpdGU+PEF1dGhvcj5YdTwvQXV0aG9yPjxZZWFyPjIwMjA8L1llYXI+PFJlY051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</w:fldData>
        </w:fldChar>
      </w:r>
      <w:r w:rsidRPr="002F1DCC">
        <w:rPr>
          <w:rFonts w:ascii="Times New Roman" w:hAnsi="Times New Roman" w:cs="Times New Roman"/>
          <w:color w:val="000000" w:themeColor="text1"/>
          <w:sz w:val="21"/>
          <w:szCs w:val="21"/>
        </w:rPr>
        <w:instrText xml:space="preserve"> ADDIN EN.CITE.DATA </w:instrText>
      </w:r>
      <w:r w:rsidRPr="002F1DCC">
        <w:rPr>
          <w:rFonts w:ascii="Times New Roman" w:hAnsi="Times New Roman" w:cs="Times New Roman"/>
          <w:color w:val="000000" w:themeColor="text1"/>
          <w:sz w:val="21"/>
          <w:szCs w:val="21"/>
        </w:rPr>
      </w:r>
      <w:r w:rsidRPr="002F1DCC">
        <w:rPr>
          <w:rFonts w:ascii="Times New Roman" w:hAnsi="Times New Roman" w:cs="Times New Roman"/>
          <w:color w:val="000000" w:themeColor="text1"/>
          <w:sz w:val="21"/>
          <w:szCs w:val="21"/>
        </w:rPr>
        <w:fldChar w:fldCharType="end"/>
      </w:r>
      <w:r w:rsidRPr="002F1DCC">
        <w:rPr>
          <w:rFonts w:ascii="Times New Roman" w:hAnsi="Times New Roman" w:cs="Times New Roman"/>
          <w:color w:val="000000" w:themeColor="text1"/>
          <w:sz w:val="21"/>
          <w:szCs w:val="21"/>
        </w:rPr>
      </w:r>
      <w:r w:rsidRPr="002F1DCC">
        <w:rPr>
          <w:rFonts w:ascii="Times New Roman" w:hAnsi="Times New Roman" w:cs="Times New Roman"/>
          <w:color w:val="000000" w:themeColor="text1"/>
          <w:sz w:val="21"/>
          <w:szCs w:val="21"/>
        </w:rPr>
        <w:fldChar w:fldCharType="separate"/>
      </w:r>
      <w:r w:rsidRPr="002F1DCC">
        <w:rPr>
          <w:rFonts w:ascii="Times New Roman" w:hAnsi="Times New Roman" w:cs="Times New Roman"/>
          <w:noProof/>
          <w:color w:val="000000" w:themeColor="text1"/>
          <w:sz w:val="21"/>
          <w:szCs w:val="21"/>
          <w:vertAlign w:val="superscript"/>
        </w:rPr>
        <w:t>11</w:t>
      </w:r>
      <w:r w:rsidRPr="002F1DCC">
        <w:rPr>
          <w:rFonts w:ascii="Times New Roman" w:hAnsi="Times New Roman" w:cs="Times New Roman"/>
          <w:color w:val="000000" w:themeColor="text1"/>
          <w:sz w:val="21"/>
          <w:szCs w:val="21"/>
        </w:rPr>
        <w:fldChar w:fldCharType="end"/>
      </w:r>
      <w:r w:rsidRPr="002F1DCC">
        <w:rPr>
          <w:rFonts w:ascii="Times New Roman" w:hAnsi="Times New Roman" w:cs="Times New Roman"/>
          <w:color w:val="000000" w:themeColor="text1"/>
          <w:sz w:val="21"/>
          <w:szCs w:val="21"/>
        </w:rPr>
        <w:t xml:space="preserve"> participants were randomized to three groups defined relative to individual baseline MAP: Group D (10–20% below baseline), Group M (baseline to 10% below baseline), and Group H (baseline to 10% above baseline). Groups M and H were combined as the intensive</w:t>
      </w:r>
      <w:r w:rsidRPr="002F1DCC">
        <w:rPr>
          <w:rFonts w:ascii="Times New Roman" w:hAnsi="Times New Roman" w:cs="Times New Roman" w:hint="eastAsia"/>
          <w:color w:val="000000" w:themeColor="text1"/>
          <w:sz w:val="21"/>
          <w:szCs w:val="21"/>
        </w:rPr>
        <w:t xml:space="preserve"> </w:t>
      </w:r>
      <w:r w:rsidRPr="002F1DCC">
        <w:rPr>
          <w:rFonts w:ascii="Times New Roman" w:hAnsi="Times New Roman" w:cs="Times New Roman"/>
          <w:color w:val="000000" w:themeColor="text1"/>
          <w:sz w:val="21"/>
          <w:szCs w:val="21"/>
        </w:rPr>
        <w:t xml:space="preserve">group, and Group D served as the standard </w:t>
      </w:r>
      <w:r w:rsidRPr="002F1DCC">
        <w:rPr>
          <w:rFonts w:ascii="Times New Roman" w:hAnsi="Times New Roman" w:cs="Times New Roman" w:hint="eastAsia"/>
          <w:color w:val="000000" w:themeColor="text1"/>
          <w:sz w:val="21"/>
          <w:szCs w:val="21"/>
        </w:rPr>
        <w:t>group</w:t>
      </w:r>
      <w:r w:rsidRPr="002F1DCC">
        <w:rPr>
          <w:rFonts w:ascii="Times New Roman" w:hAnsi="Times New Roman" w:cs="Times New Roman"/>
          <w:color w:val="000000" w:themeColor="text1"/>
          <w:sz w:val="21"/>
          <w:szCs w:val="21"/>
        </w:rPr>
        <w:t>. For both trials, patient characteristics in this table are presented by original randomization arm; the statistical methods used to combine arms for pooled analyses are described in the Statistical Analysis section. All baseline data were extracted and sorted in accordance with the above grouping criteria</w:t>
      </w:r>
      <w:r w:rsidRPr="002F1DCC">
        <w:rPr>
          <w:rFonts w:ascii="Times New Roman" w:hAnsi="Times New Roman" w:cs="Times New Roman" w:hint="eastAsia"/>
          <w:color w:val="000000" w:themeColor="text1"/>
          <w:sz w:val="21"/>
          <w:szCs w:val="21"/>
        </w:rPr>
        <w:t>. TIA</w:t>
      </w:r>
      <w:r w:rsidRPr="002F1DCC">
        <w:rPr>
          <w:rFonts w:ascii="Times New Roman" w:hAnsi="Times New Roman" w:cs="Times New Roman"/>
          <w:color w:val="000000" w:themeColor="text1"/>
          <w:sz w:val="21"/>
          <w:szCs w:val="21"/>
          <w:lang w:val="en-US"/>
        </w:rPr>
        <w:t>, Transient Ischemic Attack</w:t>
      </w:r>
    </w:p>
    <w:bookmarkEnd w:id="6"/>
    <w:p w14:paraId="7989CC6A" w14:textId="77777777" w:rsidR="00364334" w:rsidRDefault="00364334" w:rsidP="00364334">
      <w:pPr>
        <w:widowControl/>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2C4347A4" w14:textId="77777777" w:rsidR="00364334" w:rsidRPr="002F1DCC" w:rsidRDefault="00364334" w:rsidP="0005713D">
      <w:pPr>
        <w:spacing w:after="0" w:line="240" w:lineRule="auto"/>
        <w:rPr>
          <w:rFonts w:ascii="Times New Roman" w:eastAsia="DengXian" w:hAnsi="Times New Roman" w:cs="Times New Roman"/>
          <w:color w:val="000000" w:themeColor="text1"/>
          <w:kern w:val="0"/>
          <w:sz w:val="16"/>
          <w:szCs w:val="16"/>
          <w:lang w:val="en-US"/>
          <w14:ligatures w14:val="none"/>
        </w:rPr>
      </w:pPr>
    </w:p>
    <w:p w14:paraId="3C4C8A18" w14:textId="260ADC04" w:rsidR="0005713D" w:rsidRPr="002F1DCC" w:rsidRDefault="0005713D" w:rsidP="0005713D">
      <w:pPr>
        <w:spacing w:after="100" w:line="240" w:lineRule="auto"/>
        <w:rPr>
          <w:rFonts w:ascii="Times New Roman" w:eastAsia="DengXian" w:hAnsi="Times New Roman" w:cs="Times New Roman"/>
          <w:color w:val="000000" w:themeColor="text1"/>
          <w:kern w:val="0"/>
          <w:sz w:val="20"/>
          <w:szCs w:val="20"/>
          <w:lang w:val="en-US"/>
          <w14:ligatures w14:val="none"/>
        </w:rPr>
      </w:pPr>
      <w:r w:rsidRPr="002F1DCC">
        <w:rPr>
          <w:rFonts w:ascii="Times New Roman" w:eastAsia="DengXian" w:hAnsi="Times New Roman" w:cs="Times New Roman"/>
          <w:b/>
          <w:bCs/>
          <w:color w:val="000000" w:themeColor="text1"/>
          <w:kern w:val="0"/>
          <w:sz w:val="20"/>
          <w:szCs w:val="20"/>
          <w:lang w:val="en-US"/>
          <w14:ligatures w14:val="none"/>
        </w:rPr>
        <w:t xml:space="preserve">Supplementary Table </w:t>
      </w:r>
      <w:r w:rsidR="002F1DCC">
        <w:rPr>
          <w:rFonts w:ascii="Times New Roman" w:eastAsia="DengXian" w:hAnsi="Times New Roman" w:cs="Times New Roman" w:hint="eastAsia"/>
          <w:b/>
          <w:bCs/>
          <w:color w:val="000000" w:themeColor="text1"/>
          <w:kern w:val="0"/>
          <w:sz w:val="20"/>
          <w:szCs w:val="20"/>
          <w:lang w:val="en-US"/>
          <w14:ligatures w14:val="none"/>
        </w:rPr>
        <w:t>S</w:t>
      </w:r>
      <w:r w:rsidRPr="002F1DCC">
        <w:rPr>
          <w:rFonts w:ascii="Times New Roman" w:eastAsia="DengXian" w:hAnsi="Times New Roman" w:cs="Times New Roman" w:hint="eastAsia"/>
          <w:b/>
          <w:bCs/>
          <w:color w:val="000000" w:themeColor="text1"/>
          <w:kern w:val="0"/>
          <w:sz w:val="20"/>
          <w:szCs w:val="20"/>
          <w:lang w:val="en-US"/>
          <w14:ligatures w14:val="none"/>
        </w:rPr>
        <w:t>5</w:t>
      </w:r>
      <w:r w:rsidRPr="002F1DCC">
        <w:rPr>
          <w:rFonts w:ascii="Times New Roman" w:eastAsia="DengXian" w:hAnsi="Times New Roman" w:cs="Times New Roman"/>
          <w:b/>
          <w:bCs/>
          <w:color w:val="000000" w:themeColor="text1"/>
          <w:kern w:val="0"/>
          <w:sz w:val="20"/>
          <w:szCs w:val="20"/>
          <w:lang w:val="en-US"/>
          <w14:ligatures w14:val="none"/>
        </w:rPr>
        <w:t xml:space="preserve">. </w:t>
      </w:r>
      <w:r w:rsidR="00C83E5D" w:rsidRPr="002F1DCC">
        <w:rPr>
          <w:rFonts w:ascii="Times New Roman" w:eastAsia="DengXian" w:hAnsi="Times New Roman" w:cs="Times New Roman"/>
          <w:b/>
          <w:bCs/>
          <w:color w:val="000000" w:themeColor="text1"/>
          <w:kern w:val="0"/>
          <w:sz w:val="20"/>
          <w:szCs w:val="20"/>
          <w:lang w:val="en-US"/>
          <w14:ligatures w14:val="none"/>
        </w:rPr>
        <w:t>Treatment exposures and reported treatment-associated adverse events in the included trials</w:t>
      </w:r>
    </w:p>
    <w:tbl>
      <w:tblPr>
        <w:tblStyle w:val="ae"/>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3079"/>
        <w:gridCol w:w="3080"/>
        <w:gridCol w:w="3080"/>
        <w:gridCol w:w="3080"/>
      </w:tblGrid>
      <w:tr w:rsidR="0005713D" w:rsidRPr="002F1DCC" w14:paraId="45F53EB8" w14:textId="77777777" w:rsidTr="002F1DCC">
        <w:tc>
          <w:tcPr>
            <w:tcW w:w="1000" w:type="pct"/>
            <w:tcBorders>
              <w:top w:val="single" w:sz="18" w:space="0" w:color="auto"/>
              <w:bottom w:val="single" w:sz="18" w:space="0" w:color="auto"/>
            </w:tcBorders>
          </w:tcPr>
          <w:p w14:paraId="5F5A8DE3" w14:textId="77777777" w:rsidR="0005713D" w:rsidRPr="002F1DCC" w:rsidRDefault="0005713D" w:rsidP="00494540">
            <w:pPr>
              <w:widowControl/>
              <w:adjustRightInd w:val="0"/>
              <w:snapToGrid w:val="0"/>
              <w:jc w:val="center"/>
              <w:rPr>
                <w:rFonts w:ascii="Times New Roman" w:hAnsi="Times New Roman" w:cs="Times New Roman"/>
                <w:b/>
                <w:color w:val="000000" w:themeColor="text1"/>
                <w:sz w:val="18"/>
                <w:szCs w:val="18"/>
              </w:rPr>
            </w:pPr>
            <w:r w:rsidRPr="002F1DCC">
              <w:rPr>
                <w:rFonts w:ascii="Times New Roman" w:eastAsia="SimSun" w:hAnsi="Times New Roman" w:cs="Times New Roman"/>
                <w:b/>
                <w:color w:val="000000" w:themeColor="text1"/>
                <w:kern w:val="0"/>
                <w:sz w:val="18"/>
                <w:szCs w:val="18"/>
                <w14:ligatures w14:val="none"/>
              </w:rPr>
              <w:t>Study</w:t>
            </w:r>
          </w:p>
        </w:tc>
        <w:tc>
          <w:tcPr>
            <w:tcW w:w="1000" w:type="pct"/>
            <w:tcBorders>
              <w:top w:val="single" w:sz="18" w:space="0" w:color="auto"/>
              <w:bottom w:val="single" w:sz="18" w:space="0" w:color="auto"/>
            </w:tcBorders>
          </w:tcPr>
          <w:p w14:paraId="30022F22"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18"/>
                <w:szCs w:val="18"/>
                <w14:ligatures w14:val="none"/>
              </w:rPr>
            </w:pPr>
            <w:r w:rsidRPr="002F1DCC">
              <w:rPr>
                <w:rFonts w:ascii="Times New Roman" w:eastAsia="SimSun" w:hAnsi="Times New Roman" w:cs="Times New Roman"/>
                <w:b/>
                <w:color w:val="000000" w:themeColor="text1"/>
                <w:kern w:val="0"/>
                <w:sz w:val="18"/>
                <w:szCs w:val="18"/>
                <w14:ligatures w14:val="none"/>
              </w:rPr>
              <w:t>Intervention Strategy</w:t>
            </w:r>
          </w:p>
        </w:tc>
        <w:tc>
          <w:tcPr>
            <w:tcW w:w="1000" w:type="pct"/>
            <w:tcBorders>
              <w:top w:val="single" w:sz="18" w:space="0" w:color="auto"/>
              <w:bottom w:val="single" w:sz="18" w:space="0" w:color="auto"/>
            </w:tcBorders>
          </w:tcPr>
          <w:p w14:paraId="5ED6F3E1"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18"/>
                <w:szCs w:val="18"/>
                <w14:ligatures w14:val="none"/>
              </w:rPr>
            </w:pPr>
            <w:r w:rsidRPr="002F1DCC">
              <w:rPr>
                <w:rFonts w:ascii="Times New Roman" w:eastAsia="SimSun" w:hAnsi="Times New Roman" w:cs="Times New Roman"/>
                <w:b/>
                <w:color w:val="000000" w:themeColor="text1"/>
                <w:kern w:val="0"/>
                <w:sz w:val="18"/>
                <w:szCs w:val="18"/>
                <w14:ligatures w14:val="none"/>
              </w:rPr>
              <w:t>Vasopressor / Drug Exposure</w:t>
            </w:r>
            <w:bookmarkStart w:id="7" w:name="OLE_LINK30"/>
            <w:r w:rsidRPr="002F1DCC">
              <w:rPr>
                <w:rFonts w:ascii="Times New Roman" w:eastAsia="SimSun" w:hAnsi="Times New Roman" w:cs="Times New Roman"/>
                <w:b/>
                <w:color w:val="000000" w:themeColor="text1"/>
                <w:kern w:val="0"/>
                <w:sz w:val="18"/>
                <w:szCs w:val="18"/>
                <w14:ligatures w14:val="none"/>
              </w:rPr>
              <w:t xml:space="preserve"> (Intensive vs Standard)</w:t>
            </w:r>
            <w:bookmarkEnd w:id="7"/>
          </w:p>
        </w:tc>
        <w:tc>
          <w:tcPr>
            <w:tcW w:w="1000" w:type="pct"/>
            <w:tcBorders>
              <w:top w:val="single" w:sz="18" w:space="0" w:color="auto"/>
              <w:bottom w:val="single" w:sz="18" w:space="0" w:color="auto"/>
            </w:tcBorders>
          </w:tcPr>
          <w:p w14:paraId="7756F858"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18"/>
                <w:szCs w:val="18"/>
                <w14:ligatures w14:val="none"/>
              </w:rPr>
            </w:pPr>
            <w:r w:rsidRPr="002F1DCC">
              <w:rPr>
                <w:rFonts w:ascii="Times New Roman" w:eastAsia="SimSun" w:hAnsi="Times New Roman" w:cs="Times New Roman"/>
                <w:b/>
                <w:color w:val="000000" w:themeColor="text1"/>
                <w:kern w:val="0"/>
                <w:sz w:val="18"/>
                <w:szCs w:val="18"/>
                <w14:ligatures w14:val="none"/>
              </w:rPr>
              <w:t>Fluid &amp; Blood Product Exposure (Intensive vs Standard)</w:t>
            </w:r>
          </w:p>
        </w:tc>
        <w:tc>
          <w:tcPr>
            <w:tcW w:w="1000" w:type="pct"/>
            <w:tcBorders>
              <w:top w:val="single" w:sz="18" w:space="0" w:color="auto"/>
              <w:bottom w:val="single" w:sz="18" w:space="0" w:color="auto"/>
            </w:tcBorders>
          </w:tcPr>
          <w:p w14:paraId="5E82409A"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18"/>
                <w:szCs w:val="18"/>
                <w14:ligatures w14:val="none"/>
              </w:rPr>
            </w:pPr>
            <w:r w:rsidRPr="002F1DCC">
              <w:rPr>
                <w:rFonts w:ascii="Times New Roman" w:eastAsia="SimSun" w:hAnsi="Times New Roman" w:cs="Times New Roman"/>
                <w:b/>
                <w:color w:val="000000" w:themeColor="text1"/>
                <w:kern w:val="0"/>
                <w:sz w:val="18"/>
                <w:szCs w:val="18"/>
                <w14:ligatures w14:val="none"/>
              </w:rPr>
              <w:t>Other Treatment-Associated Adverse Events (Intensive vs Standard)</w:t>
            </w:r>
          </w:p>
        </w:tc>
      </w:tr>
      <w:tr w:rsidR="0005713D" w:rsidRPr="002F1DCC" w14:paraId="5702C3FC" w14:textId="77777777" w:rsidTr="002F1DCC">
        <w:tc>
          <w:tcPr>
            <w:tcW w:w="1000" w:type="pct"/>
            <w:tcBorders>
              <w:top w:val="single" w:sz="18" w:space="0" w:color="auto"/>
              <w:bottom w:val="single" w:sz="12" w:space="0" w:color="FFFFFF" w:themeColor="background1"/>
            </w:tcBorders>
          </w:tcPr>
          <w:p w14:paraId="6C73EC7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2017-Futier</w:t>
            </w:r>
          </w:p>
        </w:tc>
        <w:tc>
          <w:tcPr>
            <w:tcW w:w="1000" w:type="pct"/>
            <w:tcBorders>
              <w:top w:val="single" w:sz="18" w:space="0" w:color="auto"/>
              <w:bottom w:val="single" w:sz="12" w:space="0" w:color="FFFFFF" w:themeColor="background1"/>
            </w:tcBorders>
          </w:tcPr>
          <w:p w14:paraId="36435FF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Individualized higher-target strategy</w:t>
            </w:r>
          </w:p>
        </w:tc>
        <w:tc>
          <w:tcPr>
            <w:tcW w:w="1000" w:type="pct"/>
            <w:tcBorders>
              <w:top w:val="single" w:sz="18" w:space="0" w:color="auto"/>
              <w:bottom w:val="single" w:sz="12" w:space="0" w:color="FFFFFF" w:themeColor="background1"/>
            </w:tcBorders>
          </w:tcPr>
          <w:p w14:paraId="51C5F66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NE: 95.2% vs. 26.2% (dose: 0.06 vs. 0.03 µg/kg/min, continuous infusion); Ephedrine: 0.7% vs. 84.1% (intermittent intravenous boluses)</w:t>
            </w:r>
          </w:p>
        </w:tc>
        <w:tc>
          <w:tcPr>
            <w:tcW w:w="1000" w:type="pct"/>
            <w:tcBorders>
              <w:top w:val="single" w:sz="18" w:space="0" w:color="auto"/>
              <w:bottom w:val="single" w:sz="12" w:space="0" w:color="FFFFFF" w:themeColor="background1"/>
            </w:tcBorders>
          </w:tcPr>
          <w:p w14:paraId="328B900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Crystalloid: 2275 vs. 2500 mL; Colloid: 1000 vs. 1000 mL; Blood products: 26.5% vs. 23.4%</w:t>
            </w:r>
          </w:p>
        </w:tc>
        <w:tc>
          <w:tcPr>
            <w:tcW w:w="1000" w:type="pct"/>
            <w:tcBorders>
              <w:top w:val="single" w:sz="18" w:space="0" w:color="auto"/>
              <w:bottom w:val="single" w:sz="12" w:space="0" w:color="FFFFFF" w:themeColor="background1"/>
            </w:tcBorders>
          </w:tcPr>
          <w:p w14:paraId="2F226ED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Severe bradycardia: 10.9% vs. 11.0%; Major bleeding (</w:t>
            </w:r>
            <w:bookmarkStart w:id="8" w:name="OLE_LINK15"/>
            <w:r w:rsidRPr="002F1DCC">
              <w:rPr>
                <w:rFonts w:ascii="Times New Roman" w:eastAsia="SimSun" w:hAnsi="Times New Roman" w:cs="Times New Roman"/>
                <w:bCs/>
                <w:color w:val="000000" w:themeColor="text1"/>
                <w:kern w:val="0"/>
                <w:sz w:val="18"/>
                <w:szCs w:val="18"/>
                <w14:ligatures w14:val="none"/>
              </w:rPr>
              <w:t>≥</w:t>
            </w:r>
            <w:bookmarkEnd w:id="8"/>
            <w:r w:rsidRPr="002F1DCC">
              <w:rPr>
                <w:rFonts w:ascii="Times New Roman" w:eastAsia="SimSun" w:hAnsi="Times New Roman" w:cs="Times New Roman"/>
                <w:bCs/>
                <w:color w:val="000000" w:themeColor="text1"/>
                <w:kern w:val="0"/>
                <w:sz w:val="18"/>
                <w:szCs w:val="18"/>
                <w14:ligatures w14:val="none"/>
              </w:rPr>
              <w:t xml:space="preserve"> 4 RBC units): 15.4% vs. 23.5%</w:t>
            </w:r>
          </w:p>
        </w:tc>
      </w:tr>
      <w:tr w:rsidR="0005713D" w:rsidRPr="002F1DCC" w14:paraId="07C8A2CA" w14:textId="77777777" w:rsidTr="002F1DCC">
        <w:tc>
          <w:tcPr>
            <w:tcW w:w="1000" w:type="pct"/>
            <w:tcBorders>
              <w:top w:val="single" w:sz="12" w:space="0" w:color="FFFFFF" w:themeColor="background1"/>
            </w:tcBorders>
          </w:tcPr>
          <w:p w14:paraId="202575E3"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Borders>
              <w:top w:val="single" w:sz="12" w:space="0" w:color="FFFFFF" w:themeColor="background1"/>
            </w:tcBorders>
          </w:tcPr>
          <w:p w14:paraId="5828490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Borders>
              <w:top w:val="single" w:sz="12" w:space="0" w:color="FFFFFF" w:themeColor="background1"/>
            </w:tcBorders>
          </w:tcPr>
          <w:p w14:paraId="1C874B6C"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Borders>
              <w:top w:val="single" w:sz="12" w:space="0" w:color="FFFFFF" w:themeColor="background1"/>
            </w:tcBorders>
          </w:tcPr>
          <w:p w14:paraId="0D651D9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Borders>
              <w:top w:val="single" w:sz="12" w:space="0" w:color="FFFFFF" w:themeColor="background1"/>
            </w:tcBorders>
          </w:tcPr>
          <w:p w14:paraId="7B2CFBE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23AD92E6" w14:textId="77777777" w:rsidTr="002F1DCC">
        <w:tc>
          <w:tcPr>
            <w:tcW w:w="1000" w:type="pct"/>
          </w:tcPr>
          <w:p w14:paraId="3719D901"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2017-Wu</w:t>
            </w:r>
          </w:p>
        </w:tc>
        <w:tc>
          <w:tcPr>
            <w:tcW w:w="1000" w:type="pct"/>
          </w:tcPr>
          <w:p w14:paraId="75A6C8FC"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Three Fixed higher-target strategy (Level I:65-79, II:80-95, III:96-110 mmHg)</w:t>
            </w:r>
          </w:p>
        </w:tc>
        <w:tc>
          <w:tcPr>
            <w:tcW w:w="1000" w:type="pct"/>
          </w:tcPr>
          <w:p w14:paraId="1A7972A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NE dose (I/II/III, mg): 2.2/2.1/3.9; Phenylephrine (µg): 450/507/700; Nitroglycerin (mg): 3.1/3.3/5.4</w:t>
            </w:r>
          </w:p>
        </w:tc>
        <w:tc>
          <w:tcPr>
            <w:tcW w:w="1000" w:type="pct"/>
          </w:tcPr>
          <w:p w14:paraId="402FEA9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Crystalloid: 2102-2260 mL; Colloid: 698-756 mL; Blood transfusion: no significant difference</w:t>
            </w:r>
          </w:p>
        </w:tc>
        <w:tc>
          <w:tcPr>
            <w:tcW w:w="1000" w:type="pct"/>
          </w:tcPr>
          <w:p w14:paraId="0947D470"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Higher vasoactive drug requirement in Level III; No specific adverse events (e.g., tachycardia) reported</w:t>
            </w:r>
          </w:p>
        </w:tc>
      </w:tr>
      <w:tr w:rsidR="0005713D" w:rsidRPr="002F1DCC" w14:paraId="5FFC52F6" w14:textId="77777777" w:rsidTr="002F1DCC">
        <w:tc>
          <w:tcPr>
            <w:tcW w:w="1000" w:type="pct"/>
          </w:tcPr>
          <w:p w14:paraId="54E93C9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12C6988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67D5DF1C"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12DD293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4983CA7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37153AC1" w14:textId="77777777" w:rsidTr="002F1DCC">
        <w:tc>
          <w:tcPr>
            <w:tcW w:w="1000" w:type="pct"/>
          </w:tcPr>
          <w:p w14:paraId="6E0785A0"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2018-Langer</w:t>
            </w:r>
          </w:p>
        </w:tc>
        <w:tc>
          <w:tcPr>
            <w:tcW w:w="1000" w:type="pct"/>
          </w:tcPr>
          <w:p w14:paraId="319E384C"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Individualized higher-target strategy</w:t>
            </w:r>
          </w:p>
        </w:tc>
        <w:tc>
          <w:tcPr>
            <w:tcW w:w="1000" w:type="pct"/>
          </w:tcPr>
          <w:p w14:paraId="1DE2881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Any vasopressor: 59% vs. 43% (Ephedrine/Ethylephrine, doses similar)</w:t>
            </w:r>
          </w:p>
        </w:tc>
        <w:tc>
          <w:tcPr>
            <w:tcW w:w="1000" w:type="pct"/>
          </w:tcPr>
          <w:p w14:paraId="168C857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Crystalloid: 1.8 vs. 1.5 L; Blood products: 12% vs. 10%</w:t>
            </w:r>
          </w:p>
        </w:tc>
        <w:tc>
          <w:tcPr>
            <w:tcW w:w="1000" w:type="pct"/>
          </w:tcPr>
          <w:p w14:paraId="27E92AA1"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Unplanned ICU admission: 2% vs. 6%</w:t>
            </w:r>
          </w:p>
        </w:tc>
      </w:tr>
      <w:tr w:rsidR="0005713D" w:rsidRPr="002F1DCC" w14:paraId="7CDA6934" w14:textId="77777777" w:rsidTr="002F1DCC">
        <w:tc>
          <w:tcPr>
            <w:tcW w:w="1000" w:type="pct"/>
          </w:tcPr>
          <w:p w14:paraId="447BD6E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5DF03F1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64B274F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2D3EB08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590701BC"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2B13CA8C" w14:textId="77777777" w:rsidTr="002F1DCC">
        <w:tc>
          <w:tcPr>
            <w:tcW w:w="1000" w:type="pct"/>
          </w:tcPr>
          <w:p w14:paraId="6202DCE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2020-Xu</w:t>
            </w:r>
          </w:p>
        </w:tc>
        <w:tc>
          <w:tcPr>
            <w:tcW w:w="1000" w:type="pct"/>
          </w:tcPr>
          <w:p w14:paraId="22E1BB93"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Three individualized higher-target strategy (D: -10% to -20%, M: baseline to -10%, H: baseline to +10%)</w:t>
            </w:r>
          </w:p>
        </w:tc>
        <w:tc>
          <w:tcPr>
            <w:tcW w:w="1000" w:type="pct"/>
          </w:tcPr>
          <w:p w14:paraId="48E5C394"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Phenylephrine dose (µg): D:345, M:486, H:688 (P=0.057); Urapidil use: 10%/12%/6% (P=0.686)</w:t>
            </w:r>
          </w:p>
        </w:tc>
        <w:tc>
          <w:tcPr>
            <w:tcW w:w="1000" w:type="pct"/>
          </w:tcPr>
          <w:p w14:paraId="318CE20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 xml:space="preserve">Total fluids: 1036-1046 mL; Blood loss: </w:t>
            </w:r>
            <w:r w:rsidRPr="002F1DCC">
              <w:rPr>
                <w:rFonts w:ascii="Cambria Math" w:eastAsia="SimSun" w:hAnsi="Cambria Math" w:cs="Cambria Math"/>
                <w:bCs/>
                <w:color w:val="000000" w:themeColor="text1"/>
                <w:kern w:val="0"/>
                <w:sz w:val="18"/>
                <w:szCs w:val="18"/>
                <w14:ligatures w14:val="none"/>
              </w:rPr>
              <w:t>∼</w:t>
            </w:r>
            <w:r w:rsidRPr="002F1DCC">
              <w:rPr>
                <w:rFonts w:ascii="Times New Roman" w:eastAsia="SimSun" w:hAnsi="Times New Roman" w:cs="Times New Roman"/>
                <w:bCs/>
                <w:color w:val="000000" w:themeColor="text1"/>
                <w:kern w:val="0"/>
                <w:sz w:val="18"/>
                <w:szCs w:val="18"/>
                <w14:ligatures w14:val="none"/>
              </w:rPr>
              <w:t>174 mL</w:t>
            </w:r>
          </w:p>
        </w:tc>
        <w:tc>
          <w:tcPr>
            <w:tcW w:w="1000" w:type="pct"/>
          </w:tcPr>
          <w:p w14:paraId="04C8EC0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Emergence agitation: H:6% vs. M:22% vs. D:24% (P=0.029)</w:t>
            </w:r>
          </w:p>
        </w:tc>
      </w:tr>
      <w:tr w:rsidR="0005713D" w:rsidRPr="002F1DCC" w14:paraId="7D09D69A" w14:textId="77777777" w:rsidTr="002F1DCC">
        <w:tc>
          <w:tcPr>
            <w:tcW w:w="1000" w:type="pct"/>
          </w:tcPr>
          <w:p w14:paraId="314E15F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1BAD1B3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5AF9E43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3FB43C7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0081579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4CFE0D7E" w14:textId="77777777" w:rsidTr="002F1DCC">
        <w:tc>
          <w:tcPr>
            <w:tcW w:w="1000" w:type="pct"/>
          </w:tcPr>
          <w:p w14:paraId="7D7ACC3A"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2021-Hu</w:t>
            </w:r>
          </w:p>
        </w:tc>
        <w:tc>
          <w:tcPr>
            <w:tcW w:w="1000" w:type="pct"/>
          </w:tcPr>
          <w:p w14:paraId="6AF9C33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Fixed higher-target strategy</w:t>
            </w:r>
          </w:p>
        </w:tc>
        <w:tc>
          <w:tcPr>
            <w:tcW w:w="1000" w:type="pct"/>
          </w:tcPr>
          <w:p w14:paraId="0AC3998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Phenylephrine: 24.5% vs. 11.2%; NE: 8.4% vs. 3.5%; Nitroglycerin: 1.9% vs. 8.4%</w:t>
            </w:r>
          </w:p>
        </w:tc>
        <w:tc>
          <w:tcPr>
            <w:tcW w:w="1000" w:type="pct"/>
          </w:tcPr>
          <w:p w14:paraId="0CE4D96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Total infusion: 1800 vs. 2000 mL; Blood loss: 110 vs. 115 mL</w:t>
            </w:r>
          </w:p>
        </w:tc>
        <w:tc>
          <w:tcPr>
            <w:tcW w:w="1000" w:type="pct"/>
          </w:tcPr>
          <w:p w14:paraId="42763C8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Bleeding requiring intervention: 5.2% vs. 4.2%</w:t>
            </w:r>
          </w:p>
        </w:tc>
      </w:tr>
      <w:tr w:rsidR="0005713D" w:rsidRPr="002F1DCC" w14:paraId="7DDA09FF" w14:textId="77777777" w:rsidTr="002F1DCC">
        <w:tc>
          <w:tcPr>
            <w:tcW w:w="1000" w:type="pct"/>
          </w:tcPr>
          <w:p w14:paraId="495888E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648979A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090D1D84"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5732119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36DAAAD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14585A06" w14:textId="77777777" w:rsidTr="002F1DCC">
        <w:tc>
          <w:tcPr>
            <w:tcW w:w="1000" w:type="pct"/>
          </w:tcPr>
          <w:p w14:paraId="30BE6570"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2021-Wanner</w:t>
            </w:r>
          </w:p>
        </w:tc>
        <w:tc>
          <w:tcPr>
            <w:tcW w:w="1000" w:type="pct"/>
          </w:tcPr>
          <w:p w14:paraId="13463F73"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Fixed higher-target strategy</w:t>
            </w:r>
          </w:p>
        </w:tc>
        <w:tc>
          <w:tcPr>
            <w:tcW w:w="1000" w:type="pct"/>
          </w:tcPr>
          <w:p w14:paraId="08FCD661"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Ephedrine (higher cumulative dose, P &lt; 0.001); NE (no significant difference)</w:t>
            </w:r>
          </w:p>
        </w:tc>
        <w:tc>
          <w:tcPr>
            <w:tcW w:w="1000" w:type="pct"/>
          </w:tcPr>
          <w:p w14:paraId="66B8F22C"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Crystalloid/colloid: no difference; Blood loss: 400 vs. 500 mL (P=0.18)</w:t>
            </w:r>
          </w:p>
        </w:tc>
        <w:tc>
          <w:tcPr>
            <w:tcW w:w="1000" w:type="pct"/>
          </w:tcPr>
          <w:p w14:paraId="602F5EE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No excess hypertension signals; Bradycardia: no difference</w:t>
            </w:r>
          </w:p>
        </w:tc>
      </w:tr>
      <w:tr w:rsidR="0005713D" w:rsidRPr="002F1DCC" w14:paraId="152E646F" w14:textId="77777777" w:rsidTr="002F1DCC">
        <w:tc>
          <w:tcPr>
            <w:tcW w:w="1000" w:type="pct"/>
          </w:tcPr>
          <w:p w14:paraId="1C826210"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50F8B70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092A91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456DA28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1A003643"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71DB216A" w14:textId="77777777" w:rsidTr="002F1DCC">
        <w:tc>
          <w:tcPr>
            <w:tcW w:w="1000" w:type="pct"/>
          </w:tcPr>
          <w:p w14:paraId="2FCFC3BA"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2022-Zhang</w:t>
            </w:r>
          </w:p>
        </w:tc>
        <w:tc>
          <w:tcPr>
            <w:tcW w:w="1000" w:type="pct"/>
          </w:tcPr>
          <w:p w14:paraId="5094826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Fixed higher-target strategy</w:t>
            </w:r>
          </w:p>
        </w:tc>
        <w:tc>
          <w:tcPr>
            <w:tcW w:w="1000" w:type="pct"/>
          </w:tcPr>
          <w:p w14:paraId="6C5B55F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NE dose: H:60 vs. L:20 µg; Urapidil: H:20 vs. L:25 mg</w:t>
            </w:r>
          </w:p>
        </w:tc>
        <w:tc>
          <w:tcPr>
            <w:tcW w:w="1000" w:type="pct"/>
          </w:tcPr>
          <w:p w14:paraId="06FF1AC4"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Infusion: H:2250 vs. L:2000 mL; Blood loss: 100 mL both</w:t>
            </w:r>
          </w:p>
        </w:tc>
        <w:tc>
          <w:tcPr>
            <w:tcW w:w="1000" w:type="pct"/>
          </w:tcPr>
          <w:p w14:paraId="03B27FBD" w14:textId="68380FBE" w:rsidR="0005713D" w:rsidRPr="002F1DCC" w:rsidRDefault="00781D1B" w:rsidP="00494540">
            <w:pPr>
              <w:jc w:val="center"/>
              <w:rPr>
                <w:rFonts w:ascii="Times New Roman" w:eastAsia="SimSun" w:hAnsi="Times New Roman" w:cs="Times New Roman"/>
                <w:bCs/>
                <w:color w:val="000000" w:themeColor="text1"/>
                <w:kern w:val="0"/>
                <w:sz w:val="18"/>
                <w:szCs w:val="18"/>
                <w:lang w:val="en-US"/>
                <w14:ligatures w14:val="none"/>
              </w:rPr>
            </w:pPr>
            <w:r w:rsidRPr="002F1DCC">
              <w:rPr>
                <w:rFonts w:ascii="Times New Roman" w:eastAsia="SimSun" w:hAnsi="Times New Roman" w:cs="Times New Roman" w:hint="eastAsia"/>
                <w:bCs/>
                <w:color w:val="000000" w:themeColor="text1"/>
                <w:kern w:val="0"/>
                <w:sz w:val="18"/>
                <w:szCs w:val="18"/>
                <w14:ligatures w14:val="none"/>
              </w:rPr>
              <w:t>Not reported</w:t>
            </w:r>
          </w:p>
        </w:tc>
      </w:tr>
      <w:tr w:rsidR="0005713D" w:rsidRPr="002F1DCC" w14:paraId="23695455" w14:textId="77777777" w:rsidTr="002F1DCC">
        <w:tc>
          <w:tcPr>
            <w:tcW w:w="1000" w:type="pct"/>
          </w:tcPr>
          <w:p w14:paraId="7E9DE2B4"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0A0F15B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FBFFC5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03409C0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60AE8D23"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56C7611B" w14:textId="77777777" w:rsidTr="002F1DCC">
        <w:tc>
          <w:tcPr>
            <w:tcW w:w="1000" w:type="pct"/>
          </w:tcPr>
          <w:p w14:paraId="1AD4F87A"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2023-Marcucci (</w:t>
            </w:r>
            <w:bookmarkStart w:id="9" w:name="OLE_LINK5"/>
            <w:r w:rsidRPr="002F1DCC">
              <w:rPr>
                <w:rFonts w:ascii="Times New Roman" w:eastAsia="SimSun" w:hAnsi="Times New Roman" w:cs="Times New Roman"/>
                <w:bCs/>
                <w:color w:val="000000" w:themeColor="text1"/>
                <w:kern w:val="0"/>
                <w:sz w:val="18"/>
                <w:szCs w:val="18"/>
                <w14:ligatures w14:val="none"/>
              </w:rPr>
              <w:t>POISE-3</w:t>
            </w:r>
            <w:bookmarkEnd w:id="9"/>
            <w:r w:rsidRPr="002F1DCC">
              <w:rPr>
                <w:rFonts w:ascii="Times New Roman" w:eastAsia="SimSun" w:hAnsi="Times New Roman" w:cs="Times New Roman"/>
                <w:bCs/>
                <w:color w:val="000000" w:themeColor="text1"/>
                <w:kern w:val="0"/>
                <w:sz w:val="18"/>
                <w:szCs w:val="18"/>
                <w14:ligatures w14:val="none"/>
              </w:rPr>
              <w:t>)</w:t>
            </w:r>
          </w:p>
        </w:tc>
        <w:tc>
          <w:tcPr>
            <w:tcW w:w="1000" w:type="pct"/>
          </w:tcPr>
          <w:p w14:paraId="774D319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Fixed higher-target strategy</w:t>
            </w:r>
          </w:p>
        </w:tc>
        <w:tc>
          <w:tcPr>
            <w:tcW w:w="1000" w:type="pct"/>
          </w:tcPr>
          <w:p w14:paraId="6775574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 xml:space="preserve">ACEi/ARB use on DOS: 5.3% vs. </w:t>
            </w:r>
            <w:r w:rsidRPr="002F1DCC">
              <w:rPr>
                <w:rFonts w:ascii="Times New Roman" w:eastAsia="SimSun" w:hAnsi="Times New Roman" w:cs="Times New Roman"/>
                <w:bCs/>
                <w:color w:val="000000" w:themeColor="text1"/>
                <w:kern w:val="0"/>
                <w:sz w:val="18"/>
                <w:szCs w:val="18"/>
                <w14:ligatures w14:val="none"/>
              </w:rPr>
              <w:lastRenderedPageBreak/>
              <w:t>38.3%; Vasopressor/fluid interventions for hypotension: no difference</w:t>
            </w:r>
          </w:p>
        </w:tc>
        <w:tc>
          <w:tcPr>
            <w:tcW w:w="1000" w:type="pct"/>
          </w:tcPr>
          <w:p w14:paraId="1BA3548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lastRenderedPageBreak/>
              <w:t xml:space="preserve">No difference in crystalloid/colloid </w:t>
            </w:r>
            <w:r w:rsidRPr="002F1DCC">
              <w:rPr>
                <w:rFonts w:ascii="Times New Roman" w:eastAsia="SimSun" w:hAnsi="Times New Roman" w:cs="Times New Roman"/>
                <w:bCs/>
                <w:color w:val="000000" w:themeColor="text1"/>
                <w:kern w:val="0"/>
                <w:sz w:val="18"/>
                <w:szCs w:val="18"/>
                <w14:ligatures w14:val="none"/>
              </w:rPr>
              <w:lastRenderedPageBreak/>
              <w:t>boluses or inotrope/vasopressor use</w:t>
            </w:r>
          </w:p>
        </w:tc>
        <w:tc>
          <w:tcPr>
            <w:tcW w:w="1000" w:type="pct"/>
          </w:tcPr>
          <w:p w14:paraId="63EEAF4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lastRenderedPageBreak/>
              <w:t xml:space="preserve">Clinically significant hypotension: </w:t>
            </w:r>
            <w:r w:rsidRPr="002F1DCC">
              <w:rPr>
                <w:rFonts w:ascii="Times New Roman" w:eastAsia="SimSun" w:hAnsi="Times New Roman" w:cs="Times New Roman"/>
                <w:bCs/>
                <w:color w:val="000000" w:themeColor="text1"/>
                <w:kern w:val="0"/>
                <w:sz w:val="18"/>
                <w:szCs w:val="18"/>
                <w14:ligatures w14:val="none"/>
              </w:rPr>
              <w:lastRenderedPageBreak/>
              <w:t>22.6% vs. 28.4% (mainly intraoperative); Bradycardia: no difference</w:t>
            </w:r>
          </w:p>
        </w:tc>
      </w:tr>
      <w:tr w:rsidR="0005713D" w:rsidRPr="002F1DCC" w14:paraId="7BFF6DF3" w14:textId="77777777" w:rsidTr="002F1DCC">
        <w:tc>
          <w:tcPr>
            <w:tcW w:w="1000" w:type="pct"/>
          </w:tcPr>
          <w:p w14:paraId="39E51DA1"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25AE74A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30BD988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4919B41"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10FE0480"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7A729EF4" w14:textId="77777777" w:rsidTr="002F1DCC">
        <w:tc>
          <w:tcPr>
            <w:tcW w:w="1000" w:type="pct"/>
          </w:tcPr>
          <w:p w14:paraId="112A001C"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2024-Nicklas</w:t>
            </w:r>
          </w:p>
        </w:tc>
        <w:tc>
          <w:tcPr>
            <w:tcW w:w="1000" w:type="pct"/>
          </w:tcPr>
          <w:p w14:paraId="1352FD2E"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Individualized higher-target strategy</w:t>
            </w:r>
          </w:p>
        </w:tc>
        <w:tc>
          <w:tcPr>
            <w:tcW w:w="1000" w:type="pct"/>
          </w:tcPr>
          <w:p w14:paraId="71C77A5E" w14:textId="77777777" w:rsidR="0005713D" w:rsidRPr="002F1DCC" w:rsidRDefault="0005713D" w:rsidP="00494540">
            <w:pPr>
              <w:jc w:val="center"/>
              <w:rPr>
                <w:rFonts w:ascii="Times New Roman" w:eastAsia="SimSun" w:hAnsi="Times New Roman" w:cs="Times New Roman"/>
                <w:bCs/>
                <w:color w:val="000000" w:themeColor="text1"/>
                <w:kern w:val="0"/>
                <w:sz w:val="18"/>
                <w:szCs w:val="18"/>
                <w:lang w:val="de-DE"/>
                <w14:ligatures w14:val="none"/>
              </w:rPr>
            </w:pPr>
            <w:r w:rsidRPr="002F1DCC">
              <w:rPr>
                <w:rFonts w:ascii="Times New Roman" w:eastAsia="SimSun" w:hAnsi="Times New Roman" w:cs="Times New Roman"/>
                <w:bCs/>
                <w:color w:val="000000" w:themeColor="text1"/>
                <w:kern w:val="0"/>
                <w:sz w:val="18"/>
                <w:szCs w:val="18"/>
                <w:lang w:val="de-DE"/>
                <w14:ligatures w14:val="none"/>
              </w:rPr>
              <w:t>NE: 100% vs. 98% (dose: 0.15 vs. 0.07 µg/kg/min)</w:t>
            </w:r>
          </w:p>
        </w:tc>
        <w:tc>
          <w:tcPr>
            <w:tcW w:w="1000" w:type="pct"/>
          </w:tcPr>
          <w:p w14:paraId="0CAE4BE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Crystalloid: 2500 vs. 2000 mL; Colloid: 0-1000 vs. 0-500 mL; Blood products: 14% vs. 12%</w:t>
            </w:r>
          </w:p>
        </w:tc>
        <w:tc>
          <w:tcPr>
            <w:tcW w:w="1000" w:type="pct"/>
          </w:tcPr>
          <w:p w14:paraId="15A1C79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EPCO-defined complications: 35% vs. 36% (no specific signal)</w:t>
            </w:r>
          </w:p>
        </w:tc>
      </w:tr>
      <w:tr w:rsidR="0005713D" w:rsidRPr="002F1DCC" w14:paraId="64DBBE24" w14:textId="77777777" w:rsidTr="002F1DCC">
        <w:tc>
          <w:tcPr>
            <w:tcW w:w="1000" w:type="pct"/>
          </w:tcPr>
          <w:p w14:paraId="1A48F233"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B80563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05790F1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1045CB24"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608EE45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02A52FE9" w14:textId="77777777" w:rsidTr="002F1DCC">
        <w:tc>
          <w:tcPr>
            <w:tcW w:w="1000" w:type="pct"/>
          </w:tcPr>
          <w:p w14:paraId="5D1A5CA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2024-Bergholz (IMPROVE-PILOT)</w:t>
            </w:r>
          </w:p>
        </w:tc>
        <w:tc>
          <w:tcPr>
            <w:tcW w:w="1000" w:type="pct"/>
          </w:tcPr>
          <w:p w14:paraId="5761F40C"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Individualized higher-target strategy</w:t>
            </w:r>
          </w:p>
        </w:tc>
        <w:tc>
          <w:tcPr>
            <w:tcW w:w="1000" w:type="pct"/>
          </w:tcPr>
          <w:p w14:paraId="63DC47B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NE dose: 0.12 vs. 0.08 µg/kg/min; NE use: 100% vs. 98%</w:t>
            </w:r>
          </w:p>
        </w:tc>
        <w:tc>
          <w:tcPr>
            <w:tcW w:w="1000" w:type="pct"/>
          </w:tcPr>
          <w:p w14:paraId="14B87C7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Total fluid: 3400 vs. 3000 mL; Blood products: 19% vs. 18%</w:t>
            </w:r>
          </w:p>
        </w:tc>
        <w:tc>
          <w:tcPr>
            <w:tcW w:w="1000" w:type="pct"/>
          </w:tcPr>
          <w:p w14:paraId="048BCF8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None specifically reported (pilot trial)</w:t>
            </w:r>
          </w:p>
        </w:tc>
      </w:tr>
      <w:tr w:rsidR="0005713D" w:rsidRPr="002F1DCC" w14:paraId="435CAA24" w14:textId="77777777" w:rsidTr="002F1DCC">
        <w:tc>
          <w:tcPr>
            <w:tcW w:w="1000" w:type="pct"/>
          </w:tcPr>
          <w:p w14:paraId="162BA42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23457A50"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3B72092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20D52E6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2D62D39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7747CBE4" w14:textId="77777777" w:rsidTr="002F1DCC">
        <w:tc>
          <w:tcPr>
            <w:tcW w:w="1000" w:type="pct"/>
          </w:tcPr>
          <w:p w14:paraId="54F7EFD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2025-Kant</w:t>
            </w:r>
          </w:p>
        </w:tc>
        <w:tc>
          <w:tcPr>
            <w:tcW w:w="1000" w:type="pct"/>
          </w:tcPr>
          <w:p w14:paraId="46B8A68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Individualized higher-target strategy</w:t>
            </w:r>
          </w:p>
        </w:tc>
        <w:tc>
          <w:tcPr>
            <w:tcW w:w="1000" w:type="pct"/>
          </w:tcPr>
          <w:p w14:paraId="34D97551"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Guideline-adherent vasopressor initiation: OR 3.73 (95% CrI 3.21-4.31)</w:t>
            </w:r>
          </w:p>
        </w:tc>
        <w:tc>
          <w:tcPr>
            <w:tcW w:w="1000" w:type="pct"/>
          </w:tcPr>
          <w:p w14:paraId="157669F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No significant difference in fluid management</w:t>
            </w:r>
          </w:p>
        </w:tc>
        <w:tc>
          <w:tcPr>
            <w:tcW w:w="1000" w:type="pct"/>
          </w:tcPr>
          <w:p w14:paraId="7ACBCB6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Hemorrhage requiring transfusion: 3.2% vs. 2.5%; Shock: 0.2% vs. 0.1%</w:t>
            </w:r>
          </w:p>
        </w:tc>
      </w:tr>
      <w:tr w:rsidR="0005713D" w:rsidRPr="002F1DCC" w14:paraId="46072159" w14:textId="77777777" w:rsidTr="002F1DCC">
        <w:tc>
          <w:tcPr>
            <w:tcW w:w="1000" w:type="pct"/>
          </w:tcPr>
          <w:p w14:paraId="1865EBF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191AC34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32C2D62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79F9CEA"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4153C70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3737D9C3" w14:textId="77777777" w:rsidTr="002F1DCC">
        <w:tc>
          <w:tcPr>
            <w:tcW w:w="1000" w:type="pct"/>
          </w:tcPr>
          <w:p w14:paraId="1A9729F4"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2025-Pang</w:t>
            </w:r>
          </w:p>
        </w:tc>
        <w:tc>
          <w:tcPr>
            <w:tcW w:w="1000" w:type="pct"/>
          </w:tcPr>
          <w:p w14:paraId="3431283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Individualized higher-target strategy</w:t>
            </w:r>
          </w:p>
        </w:tc>
        <w:tc>
          <w:tcPr>
            <w:tcW w:w="1000" w:type="pct"/>
          </w:tcPr>
          <w:p w14:paraId="5CE0B71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Metaraminol dose: 5 vs. 1.2 mg</w:t>
            </w:r>
          </w:p>
        </w:tc>
        <w:tc>
          <w:tcPr>
            <w:tcW w:w="1000" w:type="pct"/>
          </w:tcPr>
          <w:p w14:paraId="33DE04BE"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Total fluids: 1900 vs. 1900 mL; Colloid (HES): 500 vs. 500 mL; Urine output: 300 vs. 200 mL</w:t>
            </w:r>
          </w:p>
        </w:tc>
        <w:tc>
          <w:tcPr>
            <w:tcW w:w="1000" w:type="pct"/>
          </w:tcPr>
          <w:p w14:paraId="6768B6C0"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Intraoperative hypertension: 50.6% vs. 24.4% (P &lt; 0.001); Bradycardia: 34.8% vs. 35.6% (NS); Massive hemorrhage: 4.5% vs. 1.1% (NS)</w:t>
            </w:r>
          </w:p>
        </w:tc>
      </w:tr>
      <w:tr w:rsidR="0005713D" w:rsidRPr="002F1DCC" w14:paraId="7788C644" w14:textId="77777777" w:rsidTr="002F1DCC">
        <w:tc>
          <w:tcPr>
            <w:tcW w:w="1000" w:type="pct"/>
          </w:tcPr>
          <w:p w14:paraId="74A9EAE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35A56A53"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25ECB3DE"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04BD0A9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634C0C8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087065FD" w14:textId="77777777" w:rsidTr="002F1DCC">
        <w:tc>
          <w:tcPr>
            <w:tcW w:w="1000" w:type="pct"/>
          </w:tcPr>
          <w:p w14:paraId="552B263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2025-Saugel (IMPROVE-MULTI)</w:t>
            </w:r>
          </w:p>
        </w:tc>
        <w:tc>
          <w:tcPr>
            <w:tcW w:w="1000" w:type="pct"/>
          </w:tcPr>
          <w:p w14:paraId="73672F5A"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Individualized higher-target strategy</w:t>
            </w:r>
          </w:p>
        </w:tc>
        <w:tc>
          <w:tcPr>
            <w:tcW w:w="1000" w:type="pct"/>
          </w:tcPr>
          <w:p w14:paraId="5890822F" w14:textId="77777777" w:rsidR="0005713D" w:rsidRPr="002F1DCC" w:rsidRDefault="0005713D" w:rsidP="00494540">
            <w:pPr>
              <w:jc w:val="center"/>
              <w:rPr>
                <w:rFonts w:ascii="Times New Roman" w:eastAsia="SimSun" w:hAnsi="Times New Roman" w:cs="Times New Roman"/>
                <w:bCs/>
                <w:color w:val="000000" w:themeColor="text1"/>
                <w:kern w:val="0"/>
                <w:sz w:val="18"/>
                <w:szCs w:val="18"/>
                <w:lang w:val="de-DE"/>
                <w14:ligatures w14:val="none"/>
              </w:rPr>
            </w:pPr>
            <w:r w:rsidRPr="002F1DCC">
              <w:rPr>
                <w:rFonts w:ascii="Times New Roman" w:eastAsia="SimSun" w:hAnsi="Times New Roman" w:cs="Times New Roman"/>
                <w:bCs/>
                <w:color w:val="000000" w:themeColor="text1"/>
                <w:kern w:val="0"/>
                <w:sz w:val="18"/>
                <w:szCs w:val="18"/>
                <w:lang w:val="de-DE"/>
                <w14:ligatures w14:val="none"/>
              </w:rPr>
              <w:t>NE: 94.5% vs. 87.3% (dose: 1.53 vs. 1.25 mg)</w:t>
            </w:r>
          </w:p>
        </w:tc>
        <w:tc>
          <w:tcPr>
            <w:tcW w:w="1000" w:type="pct"/>
          </w:tcPr>
          <w:p w14:paraId="3ADF33E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Crystalloid: 3000 vs. 3000 mL; Colloid use: 19.6% vs. 17.1% (median 750 vs. 500 mL); Blood products: no difference</w:t>
            </w:r>
          </w:p>
        </w:tc>
        <w:tc>
          <w:tcPr>
            <w:tcW w:w="1000" w:type="pct"/>
          </w:tcPr>
          <w:p w14:paraId="1FD6A47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Higher NE dose and greater colloid use indicate increased treatment burden; No hypertension/tachycardia data reported</w:t>
            </w:r>
          </w:p>
        </w:tc>
      </w:tr>
      <w:tr w:rsidR="0005713D" w:rsidRPr="002F1DCC" w14:paraId="7167FCFA" w14:textId="77777777" w:rsidTr="002F1DCC">
        <w:tc>
          <w:tcPr>
            <w:tcW w:w="1000" w:type="pct"/>
          </w:tcPr>
          <w:p w14:paraId="5B055EF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818410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55849971"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5AFF585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10ED0F13"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5549A3B8" w14:textId="77777777" w:rsidTr="002F1DCC">
        <w:tc>
          <w:tcPr>
            <w:tcW w:w="1000" w:type="pct"/>
          </w:tcPr>
          <w:p w14:paraId="3D61020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2025-Zhao</w:t>
            </w:r>
          </w:p>
        </w:tc>
        <w:tc>
          <w:tcPr>
            <w:tcW w:w="1000" w:type="pct"/>
          </w:tcPr>
          <w:p w14:paraId="4D98708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Fixed higher-target strategy</w:t>
            </w:r>
          </w:p>
        </w:tc>
        <w:tc>
          <w:tcPr>
            <w:tcW w:w="1000" w:type="pct"/>
          </w:tcPr>
          <w:p w14:paraId="6C21FA01" w14:textId="77777777" w:rsidR="0005713D" w:rsidRPr="002F1DCC" w:rsidRDefault="0005713D" w:rsidP="00494540">
            <w:pPr>
              <w:jc w:val="center"/>
              <w:rPr>
                <w:rFonts w:ascii="Times New Roman" w:eastAsia="SimSun" w:hAnsi="Times New Roman" w:cs="Times New Roman"/>
                <w:bCs/>
                <w:color w:val="000000" w:themeColor="text1"/>
                <w:kern w:val="0"/>
                <w:sz w:val="18"/>
                <w:szCs w:val="18"/>
                <w:lang w:val="de-DE"/>
                <w14:ligatures w14:val="none"/>
              </w:rPr>
            </w:pPr>
            <w:r w:rsidRPr="002F1DCC">
              <w:rPr>
                <w:rFonts w:ascii="Times New Roman" w:eastAsia="SimSun" w:hAnsi="Times New Roman" w:cs="Times New Roman"/>
                <w:bCs/>
                <w:color w:val="000000" w:themeColor="text1"/>
                <w:kern w:val="0"/>
                <w:sz w:val="18"/>
                <w:szCs w:val="18"/>
                <w:lang w:val="de-DE"/>
                <w14:ligatures w14:val="none"/>
              </w:rPr>
              <w:t>NE: 85.9% vs. 77.2% (dose: 0.037 vs. 0.026 µg/kg/min); Ephedrine: 36.4% vs. 42.8%</w:t>
            </w:r>
          </w:p>
        </w:tc>
        <w:tc>
          <w:tcPr>
            <w:tcW w:w="1000" w:type="pct"/>
          </w:tcPr>
          <w:p w14:paraId="6E80E814"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Crystalloid: 1.5 vs. 1.4 L; Colloid: 0.5 vs. 0.5 L; Urine output: 400 vs. 350 mL</w:t>
            </w:r>
          </w:p>
        </w:tc>
        <w:tc>
          <w:tcPr>
            <w:tcW w:w="1000" w:type="pct"/>
          </w:tcPr>
          <w:p w14:paraId="625440DF" w14:textId="77777777" w:rsidR="0005713D" w:rsidRPr="002F1DCC" w:rsidRDefault="0005713D" w:rsidP="00494540">
            <w:pPr>
              <w:jc w:val="center"/>
              <w:rPr>
                <w:rFonts w:ascii="Times New Roman" w:eastAsia="SimSun" w:hAnsi="Times New Roman" w:cs="Times New Roman"/>
                <w:b/>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 xml:space="preserve">Greater hypertensive exposure (AUC &gt; 110 mmHg: 32 vs. 15 mmHg </w:t>
            </w:r>
            <w:r w:rsidRPr="002F1DCC">
              <w:rPr>
                <w:rFonts w:ascii="Times New Roman" w:eastAsia="SimSun" w:hAnsi="Times New Roman" w:cs="Times New Roman"/>
                <w:b/>
                <w:bCs/>
                <w:color w:val="000000" w:themeColor="text1"/>
                <w:kern w:val="0"/>
                <w:sz w:val="18"/>
                <w:szCs w:val="18"/>
                <w14:ligatures w14:val="none"/>
              </w:rPr>
              <w:t xml:space="preserve">× </w:t>
            </w:r>
            <w:r w:rsidRPr="002F1DCC">
              <w:rPr>
                <w:rFonts w:ascii="Times New Roman" w:eastAsia="SimSun" w:hAnsi="Times New Roman" w:cs="Times New Roman"/>
                <w:bCs/>
                <w:color w:val="000000" w:themeColor="text1"/>
                <w:kern w:val="0"/>
                <w:sz w:val="18"/>
                <w:szCs w:val="18"/>
                <w14:ligatures w14:val="none"/>
              </w:rPr>
              <w:t>min); Non-GI bleeding requiring transfusion: 1.6% vs. 2.2%</w:t>
            </w:r>
          </w:p>
        </w:tc>
      </w:tr>
      <w:tr w:rsidR="0005713D" w:rsidRPr="002F1DCC" w14:paraId="0E9C411F" w14:textId="77777777" w:rsidTr="002F1DCC">
        <w:tc>
          <w:tcPr>
            <w:tcW w:w="1000" w:type="pct"/>
          </w:tcPr>
          <w:p w14:paraId="051ABB9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6D9B38F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6E6376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8E816B3"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ABBB85A"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5C904CD6" w14:textId="77777777" w:rsidTr="002F1DCC">
        <w:tc>
          <w:tcPr>
            <w:tcW w:w="1000" w:type="pct"/>
          </w:tcPr>
          <w:p w14:paraId="1B7AEF7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2025-Fang</w:t>
            </w:r>
          </w:p>
        </w:tc>
        <w:tc>
          <w:tcPr>
            <w:tcW w:w="1000" w:type="pct"/>
          </w:tcPr>
          <w:p w14:paraId="5640B03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Individualized higher-target strategy</w:t>
            </w:r>
          </w:p>
        </w:tc>
        <w:tc>
          <w:tcPr>
            <w:tcW w:w="1000" w:type="pct"/>
          </w:tcPr>
          <w:p w14:paraId="0AB4487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NE (continuous low-dose) vs. Phenylephrine (intermittent bolus)</w:t>
            </w:r>
          </w:p>
        </w:tc>
        <w:tc>
          <w:tcPr>
            <w:tcW w:w="1000" w:type="pct"/>
          </w:tcPr>
          <w:p w14:paraId="414C5F42"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Goal-directed fluid therapy; No significant difference in total fluid</w:t>
            </w:r>
          </w:p>
        </w:tc>
        <w:tc>
          <w:tcPr>
            <w:tcW w:w="1000" w:type="pct"/>
          </w:tcPr>
          <w:p w14:paraId="29EF4E01"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 xml:space="preserve">Postoperative fever: 56% vs. 78% (P=0.019); PONV: 26% vs. 38% </w:t>
            </w:r>
            <w:r w:rsidRPr="002F1DCC">
              <w:rPr>
                <w:rFonts w:ascii="Times New Roman" w:eastAsia="SimSun" w:hAnsi="Times New Roman" w:cs="Times New Roman"/>
                <w:bCs/>
                <w:color w:val="000000" w:themeColor="text1"/>
                <w:kern w:val="0"/>
                <w:sz w:val="18"/>
                <w:szCs w:val="18"/>
                <w14:ligatures w14:val="none"/>
              </w:rPr>
              <w:lastRenderedPageBreak/>
              <w:t>(P=0.198)</w:t>
            </w:r>
          </w:p>
        </w:tc>
      </w:tr>
      <w:tr w:rsidR="0005713D" w:rsidRPr="002F1DCC" w14:paraId="1BD7E005" w14:textId="77777777" w:rsidTr="002F1DCC">
        <w:tc>
          <w:tcPr>
            <w:tcW w:w="1000" w:type="pct"/>
          </w:tcPr>
          <w:p w14:paraId="26E08AB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0F36EB5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48F0614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48D0720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FB347D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1F790DB7" w14:textId="77777777" w:rsidTr="002F1DCC">
        <w:tc>
          <w:tcPr>
            <w:tcW w:w="1000" w:type="pct"/>
          </w:tcPr>
          <w:p w14:paraId="43B9DC4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2025-Huang</w:t>
            </w:r>
          </w:p>
        </w:tc>
        <w:tc>
          <w:tcPr>
            <w:tcW w:w="1000" w:type="pct"/>
          </w:tcPr>
          <w:p w14:paraId="4C44A66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Individualized higher-target strategy</w:t>
            </w:r>
          </w:p>
        </w:tc>
        <w:tc>
          <w:tcPr>
            <w:tcW w:w="1000" w:type="pct"/>
          </w:tcPr>
          <w:p w14:paraId="00B074A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NE dose: 1.88 µg/kg (intervention, continuous infusion) vs. Phenylephrine 1.11 µg/kg (control, intermittent boluses)</w:t>
            </w:r>
          </w:p>
        </w:tc>
        <w:tc>
          <w:tcPr>
            <w:tcW w:w="1000" w:type="pct"/>
          </w:tcPr>
          <w:p w14:paraId="0C778C6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Infusion volume: 1100 vs. 1100 mL; Blood transfusion: 18.1% vs. 22.3%; Dexmedetomidine: 0.57 vs. 0.34 µg/kg</w:t>
            </w:r>
          </w:p>
        </w:tc>
        <w:tc>
          <w:tcPr>
            <w:tcW w:w="1000" w:type="pct"/>
          </w:tcPr>
          <w:p w14:paraId="6151F03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ICU admission: 13.8% vs. 5.3% (P=0.052)</w:t>
            </w:r>
          </w:p>
        </w:tc>
      </w:tr>
      <w:tr w:rsidR="0005713D" w:rsidRPr="002F1DCC" w14:paraId="7A67B1DB" w14:textId="77777777" w:rsidTr="002F1DCC">
        <w:tc>
          <w:tcPr>
            <w:tcW w:w="1000" w:type="pct"/>
          </w:tcPr>
          <w:p w14:paraId="020FE94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3775A47C"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3733F268"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5EE7439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6918E074"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31521AF4" w14:textId="77777777" w:rsidTr="002F1DCC">
        <w:tc>
          <w:tcPr>
            <w:tcW w:w="1000" w:type="pct"/>
          </w:tcPr>
          <w:p w14:paraId="771F181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bookmarkStart w:id="10" w:name="OLE_LINK3"/>
            <w:r w:rsidRPr="002F1DCC">
              <w:rPr>
                <w:rFonts w:ascii="Times New Roman" w:eastAsia="SimSun" w:hAnsi="Times New Roman" w:cs="Times New Roman"/>
                <w:bCs/>
                <w:color w:val="000000" w:themeColor="text1"/>
                <w:kern w:val="0"/>
                <w:sz w:val="18"/>
                <w:szCs w:val="18"/>
                <w14:ligatures w14:val="none"/>
              </w:rPr>
              <w:t>2025-Wang</w:t>
            </w:r>
          </w:p>
        </w:tc>
        <w:tc>
          <w:tcPr>
            <w:tcW w:w="1000" w:type="pct"/>
          </w:tcPr>
          <w:p w14:paraId="7EEC1C0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Fixed higher-target strategy</w:t>
            </w:r>
          </w:p>
        </w:tc>
        <w:tc>
          <w:tcPr>
            <w:tcW w:w="1000" w:type="pct"/>
          </w:tcPr>
          <w:p w14:paraId="42FBDAC9"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NE dose: 40 vs. 25 µg; Urapidil: 23 vs. 38 mg; Nitroglycerin: 0.25 vs. 0.50 mg</w:t>
            </w:r>
          </w:p>
        </w:tc>
        <w:tc>
          <w:tcPr>
            <w:tcW w:w="1000" w:type="pct"/>
          </w:tcPr>
          <w:p w14:paraId="53052B4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Total fluid: 1100 vs. 1000 mL; Blood loss: 134 vs. 127 mL;</w:t>
            </w:r>
          </w:p>
        </w:tc>
        <w:tc>
          <w:tcPr>
            <w:tcW w:w="1000" w:type="pct"/>
          </w:tcPr>
          <w:p w14:paraId="085B4AD2" w14:textId="77777777" w:rsidR="0005713D" w:rsidRPr="002F1DCC" w:rsidRDefault="0005713D" w:rsidP="00494540">
            <w:pPr>
              <w:jc w:val="center"/>
              <w:rPr>
                <w:rFonts w:ascii="Times New Roman" w:eastAsia="SimSun" w:hAnsi="Times New Roman" w:cs="Times New Roman"/>
                <w:b/>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 xml:space="preserve">AMTS </w:t>
            </w:r>
            <w:r w:rsidRPr="002F1DCC">
              <w:rPr>
                <w:rFonts w:ascii="Times New Roman" w:eastAsia="SimSun" w:hAnsi="Times New Roman" w:cs="Times New Roman"/>
                <w:b/>
                <w:bCs/>
                <w:color w:val="000000" w:themeColor="text1"/>
                <w:kern w:val="0"/>
                <w:sz w:val="18"/>
                <w:szCs w:val="18"/>
                <w14:ligatures w14:val="none"/>
              </w:rPr>
              <w:t xml:space="preserve">≤ </w:t>
            </w:r>
            <w:r w:rsidRPr="002F1DCC">
              <w:rPr>
                <w:rFonts w:ascii="Times New Roman" w:eastAsia="SimSun" w:hAnsi="Times New Roman" w:cs="Times New Roman"/>
                <w:bCs/>
                <w:color w:val="000000" w:themeColor="text1"/>
                <w:kern w:val="0"/>
                <w:sz w:val="18"/>
                <w:szCs w:val="18"/>
                <w14:ligatures w14:val="none"/>
              </w:rPr>
              <w:t>6 at 30-d: 9.9% vs. 26.8% (P=0.009); Rescue analgesics, PONV: no difference</w:t>
            </w:r>
          </w:p>
        </w:tc>
      </w:tr>
      <w:tr w:rsidR="0005713D" w:rsidRPr="002F1DCC" w14:paraId="1D1DBB93" w14:textId="77777777" w:rsidTr="002F1DCC">
        <w:tc>
          <w:tcPr>
            <w:tcW w:w="1000" w:type="pct"/>
          </w:tcPr>
          <w:p w14:paraId="35E0D31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0D0FDC86"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348BC41E"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70EF78A7"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c>
          <w:tcPr>
            <w:tcW w:w="1000" w:type="pct"/>
          </w:tcPr>
          <w:p w14:paraId="2DF4A2FE"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p>
        </w:tc>
      </w:tr>
      <w:tr w:rsidR="0005713D" w:rsidRPr="002F1DCC" w14:paraId="62E62D78" w14:textId="77777777" w:rsidTr="002F1DCC">
        <w:tc>
          <w:tcPr>
            <w:tcW w:w="1000" w:type="pct"/>
            <w:tcBorders>
              <w:bottom w:val="single" w:sz="18" w:space="0" w:color="auto"/>
            </w:tcBorders>
          </w:tcPr>
          <w:p w14:paraId="18B1ACF4"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bookmarkStart w:id="11" w:name="OLE_LINK2"/>
            <w:r w:rsidRPr="002F1DCC">
              <w:rPr>
                <w:rFonts w:ascii="Times New Roman" w:eastAsia="SimSun" w:hAnsi="Times New Roman" w:cs="Times New Roman"/>
                <w:bCs/>
                <w:color w:val="000000" w:themeColor="text1"/>
                <w:kern w:val="0"/>
                <w:sz w:val="18"/>
                <w:szCs w:val="18"/>
                <w14:ligatures w14:val="none"/>
              </w:rPr>
              <w:t>2026-Li</w:t>
            </w:r>
          </w:p>
        </w:tc>
        <w:tc>
          <w:tcPr>
            <w:tcW w:w="1000" w:type="pct"/>
            <w:tcBorders>
              <w:bottom w:val="single" w:sz="18" w:space="0" w:color="auto"/>
            </w:tcBorders>
          </w:tcPr>
          <w:p w14:paraId="7344C91B"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Individualized higher-target strategy</w:t>
            </w:r>
          </w:p>
        </w:tc>
        <w:tc>
          <w:tcPr>
            <w:tcW w:w="1000" w:type="pct"/>
            <w:tcBorders>
              <w:bottom w:val="single" w:sz="18" w:space="0" w:color="auto"/>
            </w:tcBorders>
          </w:tcPr>
          <w:p w14:paraId="30E4010D"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NE: 80.9% vs. 17.1% (dose: 0.04 vs. 0.03 µg/kg/min); Ephedrine: 4.1% vs. 52.3% (20 mg median); Phentolamine (for BP overshoot): 17.6% vs. 10%</w:t>
            </w:r>
          </w:p>
        </w:tc>
        <w:tc>
          <w:tcPr>
            <w:tcW w:w="1000" w:type="pct"/>
            <w:tcBorders>
              <w:bottom w:val="single" w:sz="18" w:space="0" w:color="auto"/>
            </w:tcBorders>
          </w:tcPr>
          <w:p w14:paraId="36092D4F"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Crystalloid: 2255 vs. 2925 mL (lower in individualized, P=0.031); Colloid (HES): 456 vs. 624 mL (lower, P&lt;0.01)</w:t>
            </w:r>
          </w:p>
        </w:tc>
        <w:tc>
          <w:tcPr>
            <w:tcW w:w="1000" w:type="pct"/>
            <w:tcBorders>
              <w:bottom w:val="single" w:sz="18" w:space="0" w:color="auto"/>
            </w:tcBorders>
          </w:tcPr>
          <w:p w14:paraId="191C0485" w14:textId="77777777" w:rsidR="0005713D" w:rsidRPr="002F1DCC" w:rsidRDefault="0005713D" w:rsidP="00494540">
            <w:pPr>
              <w:jc w:val="center"/>
              <w:rPr>
                <w:rFonts w:ascii="Times New Roman" w:eastAsia="SimSun" w:hAnsi="Times New Roman" w:cs="Times New Roman"/>
                <w:bCs/>
                <w:color w:val="000000" w:themeColor="text1"/>
                <w:kern w:val="0"/>
                <w:sz w:val="18"/>
                <w:szCs w:val="18"/>
                <w14:ligatures w14:val="none"/>
              </w:rPr>
            </w:pPr>
            <w:r w:rsidRPr="002F1DCC">
              <w:rPr>
                <w:rFonts w:ascii="Times New Roman" w:eastAsia="SimSun" w:hAnsi="Times New Roman" w:cs="Times New Roman"/>
                <w:bCs/>
                <w:color w:val="000000" w:themeColor="text1"/>
                <w:kern w:val="0"/>
                <w:sz w:val="18"/>
                <w:szCs w:val="18"/>
                <w14:ligatures w14:val="none"/>
              </w:rPr>
              <w:t>Severe bradycardia: 5.4% vs. 2.9%; Major bleeding: 2.7% vs. 2.9%; New-onset stroke: 1.4% vs. 0%</w:t>
            </w:r>
            <w:bookmarkEnd w:id="10"/>
            <w:bookmarkEnd w:id="11"/>
          </w:p>
        </w:tc>
      </w:tr>
    </w:tbl>
    <w:p w14:paraId="336B358D" w14:textId="77777777" w:rsidR="0005713D" w:rsidRPr="002F1DCC" w:rsidRDefault="0005713D" w:rsidP="0005713D">
      <w:pPr>
        <w:rPr>
          <w:rFonts w:ascii="Times New Roman" w:hAnsi="Times New Roman" w:cs="Times New Roman"/>
          <w:color w:val="000000" w:themeColor="text1"/>
          <w:sz w:val="18"/>
          <w:szCs w:val="20"/>
        </w:rPr>
      </w:pPr>
      <w:r w:rsidRPr="002F1DCC">
        <w:rPr>
          <w:rFonts w:ascii="Times New Roman" w:hAnsi="Times New Roman" w:cs="Times New Roman"/>
          <w:b/>
          <w:bCs/>
          <w:color w:val="000000" w:themeColor="text1"/>
          <w:sz w:val="18"/>
          <w:szCs w:val="20"/>
        </w:rPr>
        <w:t>Abbreviations:</w:t>
      </w:r>
      <w:r w:rsidRPr="002F1DCC">
        <w:rPr>
          <w:rFonts w:ascii="Times New Roman" w:hAnsi="Times New Roman" w:cs="Times New Roman"/>
          <w:color w:val="000000" w:themeColor="text1"/>
          <w:sz w:val="18"/>
          <w:szCs w:val="20"/>
        </w:rPr>
        <w:t xml:space="preserve"> ABPM, ambulatory blood pressure monitoring; ACEi, angiotensin-converting enzyme inhibitor; AMTS, Abbreviated Mental Test Score; ARB, angiotensin receptor blocker; AUC, area under the curve; BP, blood pressure; CrI, credible interval; DOS, day of surgery; DBP, diastolic blood pressure; EPCO, European Perioperative Clinical Outcome; GI, gastrointestinal; HES, hydroxyethyl starch; ICU, intensive care unit; NE, norepinephrine; NS, not significant; OR, odds ratio; PONV, postoperative nausea and vomiting; RBC, red blood cell; rSO₂, regional cerebral oxygen saturation; SBP, systolic blood pressure.</w:t>
      </w:r>
    </w:p>
    <w:p w14:paraId="7C0EC157" w14:textId="17DA5E3B" w:rsidR="0005713D" w:rsidRPr="002F1DCC" w:rsidRDefault="0005713D">
      <w:pPr>
        <w:widowControl/>
        <w:rPr>
          <w:rFonts w:ascii="Times New Roman" w:hAnsi="Times New Roman" w:cs="Times New Roman"/>
          <w:b/>
          <w:color w:val="000000" w:themeColor="text1"/>
          <w:szCs w:val="22"/>
          <w:lang w:val="en-US"/>
        </w:rPr>
      </w:pPr>
      <w:r w:rsidRPr="002F1DCC">
        <w:rPr>
          <w:rFonts w:ascii="Times New Roman" w:hAnsi="Times New Roman" w:cs="Times New Roman"/>
          <w:b/>
          <w:color w:val="000000" w:themeColor="text1"/>
          <w:szCs w:val="22"/>
          <w:lang w:val="en-US"/>
        </w:rPr>
        <w:br w:type="page"/>
      </w:r>
    </w:p>
    <w:p w14:paraId="37A95435" w14:textId="09A75328" w:rsidR="0005713D" w:rsidRPr="002F1DCC" w:rsidRDefault="0005713D" w:rsidP="0005713D">
      <w:pPr>
        <w:rPr>
          <w:rFonts w:ascii="Times New Roman" w:hAnsi="Times New Roman" w:cs="Times New Roman"/>
          <w:b/>
          <w:bCs/>
          <w:color w:val="000000" w:themeColor="text1"/>
          <w:sz w:val="24"/>
        </w:rPr>
      </w:pPr>
      <w:r w:rsidRPr="002F1DCC">
        <w:rPr>
          <w:rFonts w:ascii="Times New Roman" w:hAnsi="Times New Roman" w:cs="Times New Roman" w:hint="eastAsia"/>
          <w:b/>
          <w:bCs/>
          <w:color w:val="000000" w:themeColor="text1"/>
          <w:sz w:val="24"/>
        </w:rPr>
        <w:lastRenderedPageBreak/>
        <w:t xml:space="preserve">Supplementary Table </w:t>
      </w:r>
      <w:r w:rsidR="002F1DCC">
        <w:rPr>
          <w:rFonts w:ascii="Times New Roman" w:hAnsi="Times New Roman" w:cs="Times New Roman" w:hint="eastAsia"/>
          <w:b/>
          <w:bCs/>
          <w:color w:val="000000" w:themeColor="text1"/>
          <w:sz w:val="24"/>
        </w:rPr>
        <w:t>S</w:t>
      </w:r>
      <w:r w:rsidRPr="002F1DCC">
        <w:rPr>
          <w:rFonts w:ascii="Times New Roman" w:hAnsi="Times New Roman" w:cs="Times New Roman" w:hint="eastAsia"/>
          <w:b/>
          <w:bCs/>
          <w:color w:val="000000" w:themeColor="text1"/>
          <w:sz w:val="24"/>
        </w:rPr>
        <w:t>6</w:t>
      </w:r>
      <w:r w:rsidRPr="002F1DCC">
        <w:rPr>
          <w:rFonts w:ascii="Times New Roman" w:hAnsi="Times New Roman" w:cs="Times New Roman"/>
          <w:b/>
          <w:bCs/>
          <w:color w:val="000000" w:themeColor="text1"/>
          <w:sz w:val="24"/>
        </w:rPr>
        <w:t>.</w:t>
      </w:r>
      <w:r w:rsidRPr="002F1DCC">
        <w:rPr>
          <w:rFonts w:ascii="Times New Roman" w:hAnsi="Times New Roman" w:cs="Times New Roman" w:hint="eastAsia"/>
          <w:b/>
          <w:bCs/>
          <w:color w:val="000000" w:themeColor="text1"/>
          <w:sz w:val="24"/>
        </w:rPr>
        <w:t xml:space="preserve"> Information of </w:t>
      </w:r>
      <w:r w:rsidRPr="002F1DCC">
        <w:rPr>
          <w:rFonts w:ascii="Times New Roman" w:hAnsi="Times New Roman" w:cs="Times New Roman"/>
          <w:b/>
          <w:bCs/>
          <w:color w:val="000000" w:themeColor="text1"/>
          <w:sz w:val="24"/>
        </w:rPr>
        <w:t>ongoing clinical trials.</w:t>
      </w: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1472"/>
        <w:gridCol w:w="1099"/>
        <w:gridCol w:w="1420"/>
        <w:gridCol w:w="1725"/>
        <w:gridCol w:w="1608"/>
        <w:gridCol w:w="1817"/>
        <w:gridCol w:w="2242"/>
        <w:gridCol w:w="1965"/>
      </w:tblGrid>
      <w:tr w:rsidR="0005713D" w:rsidRPr="002F1DCC" w14:paraId="735E2C98" w14:textId="77777777" w:rsidTr="002F1DCC">
        <w:trPr>
          <w:trHeight w:val="828"/>
        </w:trPr>
        <w:tc>
          <w:tcPr>
            <w:tcW w:w="666" w:type="pct"/>
            <w:tcBorders>
              <w:top w:val="single" w:sz="18" w:space="0" w:color="auto"/>
            </w:tcBorders>
            <w:vAlign w:val="center"/>
          </w:tcPr>
          <w:p w14:paraId="76103D7B"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bookmarkStart w:id="12" w:name="OLE_LINK19"/>
            <w:r w:rsidRPr="002F1DCC">
              <w:rPr>
                <w:rFonts w:ascii="Times New Roman" w:eastAsia="SimSun" w:hAnsi="Times New Roman" w:cs="Times New Roman"/>
                <w:b/>
                <w:color w:val="000000" w:themeColor="text1"/>
                <w:kern w:val="0"/>
                <w:sz w:val="24"/>
                <w14:ligatures w14:val="none"/>
              </w:rPr>
              <w:t>ClinicalTrials.gov</w:t>
            </w:r>
            <w:bookmarkEnd w:id="12"/>
          </w:p>
        </w:tc>
        <w:tc>
          <w:tcPr>
            <w:tcW w:w="478" w:type="pct"/>
            <w:tcBorders>
              <w:top w:val="single" w:sz="18" w:space="0" w:color="auto"/>
              <w:bottom w:val="single" w:sz="18" w:space="0" w:color="auto"/>
            </w:tcBorders>
            <w:vAlign w:val="center"/>
          </w:tcPr>
          <w:p w14:paraId="68139BC8"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I</w:t>
            </w:r>
            <w:r w:rsidRPr="002F1DCC">
              <w:rPr>
                <w:rFonts w:ascii="Times New Roman" w:eastAsia="SimSun" w:hAnsi="Times New Roman" w:cs="Times New Roman" w:hint="eastAsia"/>
                <w:b/>
                <w:color w:val="000000" w:themeColor="text1"/>
                <w:kern w:val="0"/>
                <w:sz w:val="24"/>
                <w14:ligatures w14:val="none"/>
              </w:rPr>
              <w:t>nformation provider</w:t>
            </w:r>
          </w:p>
        </w:tc>
        <w:tc>
          <w:tcPr>
            <w:tcW w:w="357" w:type="pct"/>
            <w:tcBorders>
              <w:top w:val="single" w:sz="18" w:space="0" w:color="auto"/>
              <w:bottom w:val="single" w:sz="18" w:space="0" w:color="auto"/>
            </w:tcBorders>
            <w:vAlign w:val="center"/>
          </w:tcPr>
          <w:p w14:paraId="534C2A7C"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Country</w:t>
            </w:r>
          </w:p>
        </w:tc>
        <w:tc>
          <w:tcPr>
            <w:tcW w:w="461" w:type="pct"/>
            <w:tcBorders>
              <w:top w:val="single" w:sz="18" w:space="0" w:color="auto"/>
              <w:bottom w:val="single" w:sz="18" w:space="0" w:color="auto"/>
            </w:tcBorders>
            <w:vAlign w:val="center"/>
          </w:tcPr>
          <w:p w14:paraId="2C06C74A"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bCs/>
                <w:color w:val="000000" w:themeColor="text1"/>
                <w:kern w:val="0"/>
                <w:sz w:val="24"/>
                <w14:ligatures w14:val="none"/>
              </w:rPr>
              <w:t>Enrollment</w:t>
            </w:r>
            <w:r w:rsidRPr="002F1DCC">
              <w:rPr>
                <w:rFonts w:ascii="Times New Roman" w:eastAsia="SimSun" w:hAnsi="Times New Roman" w:cs="Times New Roman" w:hint="eastAsia"/>
                <w:b/>
                <w:bCs/>
                <w:color w:val="000000" w:themeColor="text1"/>
                <w:kern w:val="0"/>
                <w:sz w:val="24"/>
                <w14:ligatures w14:val="none"/>
              </w:rPr>
              <w:t xml:space="preserve"> </w:t>
            </w:r>
            <w:r w:rsidRPr="002F1DCC">
              <w:rPr>
                <w:rFonts w:ascii="Times New Roman" w:eastAsia="SimSun" w:hAnsi="Times New Roman" w:cs="Times New Roman"/>
                <w:b/>
                <w:bCs/>
                <w:color w:val="000000" w:themeColor="text1"/>
                <w:kern w:val="0"/>
                <w:sz w:val="24"/>
                <w14:ligatures w14:val="none"/>
              </w:rPr>
              <w:t>(Estimated)</w:t>
            </w:r>
          </w:p>
        </w:tc>
        <w:tc>
          <w:tcPr>
            <w:tcW w:w="560" w:type="pct"/>
            <w:tcBorders>
              <w:top w:val="single" w:sz="18" w:space="0" w:color="auto"/>
              <w:bottom w:val="single" w:sz="18" w:space="0" w:color="auto"/>
            </w:tcBorders>
            <w:vAlign w:val="center"/>
          </w:tcPr>
          <w:p w14:paraId="1B183F79"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Type of surgeries</w:t>
            </w:r>
          </w:p>
        </w:tc>
        <w:tc>
          <w:tcPr>
            <w:tcW w:w="522" w:type="pct"/>
            <w:tcBorders>
              <w:top w:val="single" w:sz="18" w:space="0" w:color="auto"/>
              <w:bottom w:val="single" w:sz="18" w:space="0" w:color="auto"/>
            </w:tcBorders>
            <w:vAlign w:val="center"/>
          </w:tcPr>
          <w:p w14:paraId="0C47B36B"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Intervention Strategy Type</w:t>
            </w:r>
          </w:p>
        </w:tc>
        <w:tc>
          <w:tcPr>
            <w:tcW w:w="590" w:type="pct"/>
            <w:tcBorders>
              <w:top w:val="single" w:sz="18" w:space="0" w:color="auto"/>
            </w:tcBorders>
            <w:vAlign w:val="center"/>
          </w:tcPr>
          <w:p w14:paraId="35BAB4A9"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hint="eastAsia"/>
                <w:b/>
                <w:color w:val="000000" w:themeColor="text1"/>
                <w:kern w:val="0"/>
                <w:sz w:val="24"/>
                <w14:ligatures w14:val="none"/>
              </w:rPr>
              <w:t>Intervention</w:t>
            </w:r>
          </w:p>
        </w:tc>
        <w:tc>
          <w:tcPr>
            <w:tcW w:w="728" w:type="pct"/>
            <w:tcBorders>
              <w:top w:val="single" w:sz="18" w:space="0" w:color="auto"/>
            </w:tcBorders>
            <w:vAlign w:val="center"/>
          </w:tcPr>
          <w:p w14:paraId="56B1985A"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hint="eastAsia"/>
                <w:b/>
                <w:color w:val="000000" w:themeColor="text1"/>
                <w:kern w:val="0"/>
                <w:sz w:val="24"/>
                <w14:ligatures w14:val="none"/>
              </w:rPr>
              <w:t>Control</w:t>
            </w:r>
          </w:p>
        </w:tc>
        <w:tc>
          <w:tcPr>
            <w:tcW w:w="639" w:type="pct"/>
            <w:tcBorders>
              <w:top w:val="single" w:sz="18" w:space="0" w:color="auto"/>
              <w:bottom w:val="single" w:sz="18" w:space="0" w:color="auto"/>
            </w:tcBorders>
            <w:vAlign w:val="center"/>
          </w:tcPr>
          <w:p w14:paraId="762E902E"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hint="eastAsia"/>
                <w:b/>
                <w:color w:val="000000" w:themeColor="text1"/>
                <w:kern w:val="0"/>
                <w:sz w:val="24"/>
                <w14:ligatures w14:val="none"/>
              </w:rPr>
              <w:t xml:space="preserve">Primary </w:t>
            </w:r>
            <w:r w:rsidRPr="002F1DCC">
              <w:rPr>
                <w:rFonts w:ascii="Times New Roman" w:eastAsia="SimSun" w:hAnsi="Times New Roman" w:cs="Times New Roman"/>
                <w:b/>
                <w:color w:val="000000" w:themeColor="text1"/>
                <w:kern w:val="0"/>
                <w:sz w:val="24"/>
                <w14:ligatures w14:val="none"/>
              </w:rPr>
              <w:t>Outcome</w:t>
            </w:r>
            <w:r w:rsidRPr="002F1DCC">
              <w:rPr>
                <w:rFonts w:ascii="Times New Roman" w:eastAsia="SimSun" w:hAnsi="Times New Roman" w:cs="Times New Roman" w:hint="eastAsia"/>
                <w:b/>
                <w:color w:val="000000" w:themeColor="text1"/>
                <w:kern w:val="0"/>
                <w:sz w:val="24"/>
                <w14:ligatures w14:val="none"/>
              </w:rPr>
              <w:t>s</w:t>
            </w:r>
          </w:p>
        </w:tc>
      </w:tr>
      <w:tr w:rsidR="0005713D" w:rsidRPr="002F1DCC" w14:paraId="4591E73A" w14:textId="77777777" w:rsidTr="002F1DCC">
        <w:trPr>
          <w:trHeight w:val="1125"/>
        </w:trPr>
        <w:tc>
          <w:tcPr>
            <w:tcW w:w="666" w:type="pct"/>
            <w:tcBorders>
              <w:top w:val="single" w:sz="18" w:space="0" w:color="auto"/>
            </w:tcBorders>
            <w:vAlign w:val="center"/>
          </w:tcPr>
          <w:p w14:paraId="7EE1B508"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bookmarkStart w:id="13" w:name="OLE_LINK12"/>
            <w:r w:rsidRPr="002F1DCC">
              <w:rPr>
                <w:rFonts w:ascii="Times New Roman" w:eastAsia="SimSun" w:hAnsi="Times New Roman" w:cs="Times New Roman"/>
                <w:b/>
                <w:color w:val="000000" w:themeColor="text1"/>
                <w:kern w:val="0"/>
                <w:sz w:val="24"/>
                <w14:ligatures w14:val="none"/>
              </w:rPr>
              <w:t>NCT04884802</w:t>
            </w:r>
            <w:bookmarkEnd w:id="13"/>
          </w:p>
        </w:tc>
        <w:tc>
          <w:tcPr>
            <w:tcW w:w="478" w:type="pct"/>
            <w:tcBorders>
              <w:top w:val="single" w:sz="18" w:space="0" w:color="auto"/>
            </w:tcBorders>
            <w:vAlign w:val="center"/>
          </w:tcPr>
          <w:p w14:paraId="33EAF0D0"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Daniel Sessler</w:t>
            </w:r>
          </w:p>
        </w:tc>
        <w:tc>
          <w:tcPr>
            <w:tcW w:w="357" w:type="pct"/>
            <w:tcBorders>
              <w:top w:val="single" w:sz="18" w:space="0" w:color="auto"/>
            </w:tcBorders>
            <w:vAlign w:val="center"/>
          </w:tcPr>
          <w:p w14:paraId="57252D9C"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Multiple countries</w:t>
            </w:r>
          </w:p>
        </w:tc>
        <w:tc>
          <w:tcPr>
            <w:tcW w:w="461" w:type="pct"/>
            <w:tcBorders>
              <w:top w:val="single" w:sz="18" w:space="0" w:color="auto"/>
            </w:tcBorders>
            <w:vAlign w:val="center"/>
          </w:tcPr>
          <w:p w14:paraId="48538F8A"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6254</w:t>
            </w:r>
          </w:p>
        </w:tc>
        <w:tc>
          <w:tcPr>
            <w:tcW w:w="560" w:type="pct"/>
            <w:tcBorders>
              <w:top w:val="single" w:sz="18" w:space="0" w:color="auto"/>
            </w:tcBorders>
            <w:vAlign w:val="center"/>
          </w:tcPr>
          <w:p w14:paraId="48B6811E"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major noncardiac surgery</w:t>
            </w:r>
          </w:p>
        </w:tc>
        <w:tc>
          <w:tcPr>
            <w:tcW w:w="522" w:type="pct"/>
            <w:tcBorders>
              <w:top w:val="single" w:sz="18" w:space="0" w:color="auto"/>
            </w:tcBorders>
            <w:vAlign w:val="center"/>
          </w:tcPr>
          <w:p w14:paraId="1C842987"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hint="eastAsia"/>
                <w:bCs/>
                <w:color w:val="000000" w:themeColor="text1"/>
                <w:kern w:val="0"/>
                <w:sz w:val="24"/>
                <w14:ligatures w14:val="none"/>
              </w:rPr>
              <w:t>F</w:t>
            </w:r>
            <w:r w:rsidRPr="002F1DCC">
              <w:rPr>
                <w:rFonts w:ascii="Times New Roman" w:eastAsia="SimSun" w:hAnsi="Times New Roman" w:cs="Times New Roman"/>
                <w:bCs/>
                <w:color w:val="000000" w:themeColor="text1"/>
                <w:kern w:val="0"/>
                <w:sz w:val="24"/>
                <w14:ligatures w14:val="none"/>
              </w:rPr>
              <w:t>ixed higher-target strategy</w:t>
            </w:r>
          </w:p>
        </w:tc>
        <w:tc>
          <w:tcPr>
            <w:tcW w:w="590" w:type="pct"/>
            <w:tcBorders>
              <w:top w:val="single" w:sz="18" w:space="0" w:color="auto"/>
            </w:tcBorders>
            <w:vAlign w:val="center"/>
          </w:tcPr>
          <w:p w14:paraId="1539DA6A"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Norepinephrine or phenylephrine infusion to maintain intraoperative MAP ≥85 mmHg</w:t>
            </w:r>
          </w:p>
        </w:tc>
        <w:tc>
          <w:tcPr>
            <w:tcW w:w="728" w:type="pct"/>
            <w:tcBorders>
              <w:top w:val="single" w:sz="18" w:space="0" w:color="auto"/>
            </w:tcBorders>
            <w:vAlign w:val="center"/>
          </w:tcPr>
          <w:p w14:paraId="677CDB17" w14:textId="77777777" w:rsidR="0005713D" w:rsidRPr="002F1DCC" w:rsidRDefault="0005713D" w:rsidP="00494540">
            <w:pPr>
              <w:widowControl/>
              <w:adjustRightInd w:val="0"/>
              <w:snapToGrid w:val="0"/>
              <w:ind w:left="36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ACEIs, ARBs, and/or calcium channel blockers can be given the morning of surgery if deemed appropriate by the attending anesthesiologist. Intraoperative blood pressure will be managed per clinical routine</w:t>
            </w:r>
          </w:p>
          <w:p w14:paraId="3BEDDF3E"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p>
        </w:tc>
        <w:tc>
          <w:tcPr>
            <w:tcW w:w="639" w:type="pct"/>
            <w:tcBorders>
              <w:top w:val="single" w:sz="18" w:space="0" w:color="auto"/>
            </w:tcBorders>
            <w:vAlign w:val="center"/>
          </w:tcPr>
          <w:p w14:paraId="2F9A17DB"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Number of Participants with a Composite of Major Perfusion-Related Complications</w:t>
            </w:r>
            <w:r w:rsidRPr="002F1DCC">
              <w:rPr>
                <w:rFonts w:ascii="Roboto" w:hAnsi="Roboto"/>
                <w:color w:val="000000" w:themeColor="text1"/>
                <w:shd w:val="clear" w:color="auto" w:fill="FFFFFF"/>
              </w:rPr>
              <w:t xml:space="preserve"> </w:t>
            </w:r>
            <w:r w:rsidRPr="002F1DCC">
              <w:rPr>
                <w:rFonts w:ascii="Times New Roman" w:eastAsia="SimSun" w:hAnsi="Times New Roman" w:cs="Times New Roman"/>
                <w:bCs/>
                <w:color w:val="000000" w:themeColor="text1"/>
                <w:kern w:val="0"/>
                <w:sz w:val="24"/>
                <w14:ligatures w14:val="none"/>
              </w:rPr>
              <w:t>(myocardial injury, stroke, non-fatal cardiac arrest, Stage 2-3 acute kidney injury, deep or organ-space infection, sepsis, and death)</w:t>
            </w:r>
          </w:p>
        </w:tc>
      </w:tr>
      <w:tr w:rsidR="0005713D" w:rsidRPr="002F1DCC" w14:paraId="4B7C4D97" w14:textId="77777777" w:rsidTr="002F1DCC">
        <w:trPr>
          <w:trHeight w:val="1125"/>
        </w:trPr>
        <w:tc>
          <w:tcPr>
            <w:tcW w:w="666" w:type="pct"/>
            <w:vAlign w:val="center"/>
          </w:tcPr>
          <w:p w14:paraId="09607E88"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NCT06952387</w:t>
            </w:r>
          </w:p>
        </w:tc>
        <w:tc>
          <w:tcPr>
            <w:tcW w:w="478" w:type="pct"/>
            <w:vAlign w:val="center"/>
          </w:tcPr>
          <w:p w14:paraId="55E2CE71"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Nanfang Hospital</w:t>
            </w:r>
          </w:p>
        </w:tc>
        <w:tc>
          <w:tcPr>
            <w:tcW w:w="357" w:type="pct"/>
            <w:vAlign w:val="center"/>
          </w:tcPr>
          <w:p w14:paraId="7916B73D"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China</w:t>
            </w:r>
          </w:p>
        </w:tc>
        <w:tc>
          <w:tcPr>
            <w:tcW w:w="461" w:type="pct"/>
            <w:vAlign w:val="center"/>
          </w:tcPr>
          <w:p w14:paraId="77809877"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1624</w:t>
            </w:r>
          </w:p>
        </w:tc>
        <w:tc>
          <w:tcPr>
            <w:tcW w:w="560" w:type="pct"/>
            <w:vAlign w:val="center"/>
          </w:tcPr>
          <w:p w14:paraId="1B66106F"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elective non-cardiac major surgery</w:t>
            </w:r>
          </w:p>
        </w:tc>
        <w:tc>
          <w:tcPr>
            <w:tcW w:w="522" w:type="pct"/>
            <w:vAlign w:val="center"/>
          </w:tcPr>
          <w:p w14:paraId="359127E6"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hint="eastAsia"/>
                <w:bCs/>
                <w:color w:val="000000" w:themeColor="text1"/>
                <w:kern w:val="0"/>
                <w:sz w:val="24"/>
                <w14:ligatures w14:val="none"/>
              </w:rPr>
              <w:t>Individualized</w:t>
            </w:r>
            <w:r w:rsidRPr="002F1DCC">
              <w:rPr>
                <w:rFonts w:ascii="Times New Roman" w:eastAsia="SimSun" w:hAnsi="Times New Roman" w:cs="Times New Roman"/>
                <w:bCs/>
                <w:color w:val="000000" w:themeColor="text1"/>
                <w:kern w:val="0"/>
                <w:sz w:val="24"/>
                <w14:ligatures w14:val="none"/>
              </w:rPr>
              <w:t xml:space="preserve"> higher-target strategy</w:t>
            </w:r>
          </w:p>
        </w:tc>
        <w:tc>
          <w:tcPr>
            <w:tcW w:w="590" w:type="pct"/>
            <w:vAlign w:val="center"/>
          </w:tcPr>
          <w:p w14:paraId="1CB47787"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p>
          <w:p w14:paraId="525A28C5"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hint="eastAsia"/>
                <w:bCs/>
                <w:color w:val="000000" w:themeColor="text1"/>
                <w:kern w:val="0"/>
                <w:sz w:val="24"/>
                <w14:ligatures w14:val="none"/>
              </w:rPr>
              <w:t>M</w:t>
            </w:r>
            <w:r w:rsidRPr="002F1DCC">
              <w:rPr>
                <w:rFonts w:ascii="Times New Roman" w:eastAsia="SimSun" w:hAnsi="Times New Roman" w:cs="Times New Roman"/>
                <w:bCs/>
                <w:color w:val="000000" w:themeColor="text1"/>
                <w:kern w:val="0"/>
                <w:sz w:val="24"/>
                <w14:ligatures w14:val="none"/>
              </w:rPr>
              <w:t>aintain intraoperative MAP above the preoperative baseline MAP (with a maximum MAP target of 110 mmHg and a minimum MAP target of 65mmHg)</w:t>
            </w:r>
          </w:p>
        </w:tc>
        <w:tc>
          <w:tcPr>
            <w:tcW w:w="728" w:type="pct"/>
            <w:vAlign w:val="center"/>
          </w:tcPr>
          <w:p w14:paraId="67DAE648"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hint="eastAsia"/>
                <w:bCs/>
                <w:color w:val="000000" w:themeColor="text1"/>
                <w:kern w:val="0"/>
                <w:sz w:val="24"/>
                <w14:ligatures w14:val="none"/>
              </w:rPr>
              <w:t>M</w:t>
            </w:r>
            <w:r w:rsidRPr="002F1DCC">
              <w:rPr>
                <w:rFonts w:ascii="Times New Roman" w:eastAsia="SimSun" w:hAnsi="Times New Roman" w:cs="Times New Roman"/>
                <w:bCs/>
                <w:color w:val="000000" w:themeColor="text1"/>
                <w:kern w:val="0"/>
                <w:sz w:val="24"/>
                <w14:ligatures w14:val="none"/>
              </w:rPr>
              <w:t>anage blood pressure per institutional routine which generally is to maintain MAP above 60 mmHg</w:t>
            </w:r>
          </w:p>
        </w:tc>
        <w:tc>
          <w:tcPr>
            <w:tcW w:w="639" w:type="pct"/>
            <w:vAlign w:val="center"/>
          </w:tcPr>
          <w:p w14:paraId="53C13464"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p>
          <w:p w14:paraId="3603D12C"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 xml:space="preserve">A composite of postoperative complications </w:t>
            </w:r>
            <w:r w:rsidRPr="002F1DCC">
              <w:rPr>
                <w:rFonts w:ascii="Times New Roman" w:eastAsia="SimSun" w:hAnsi="Times New Roman" w:cs="Times New Roman" w:hint="eastAsia"/>
                <w:bCs/>
                <w:color w:val="000000" w:themeColor="text1"/>
                <w:kern w:val="0"/>
                <w:sz w:val="24"/>
                <w14:ligatures w14:val="none"/>
              </w:rPr>
              <w:t>(</w:t>
            </w:r>
            <w:r w:rsidRPr="002F1DCC">
              <w:rPr>
                <w:rFonts w:ascii="Times New Roman" w:eastAsia="SimSun" w:hAnsi="Times New Roman" w:cs="Times New Roman"/>
                <w:bCs/>
                <w:color w:val="000000" w:themeColor="text1"/>
                <w:kern w:val="0"/>
                <w:sz w:val="24"/>
                <w14:ligatures w14:val="none"/>
              </w:rPr>
              <w:t>myocardial infarction, postoperative acute heart failure, non-fatal cardiac arrest, stroke, acute kidney injury</w:t>
            </w:r>
            <w:r w:rsidRPr="002F1DCC">
              <w:rPr>
                <w:rFonts w:ascii="Times New Roman" w:eastAsia="SimSun" w:hAnsi="Times New Roman" w:cs="Times New Roman" w:hint="eastAsia"/>
                <w:bCs/>
                <w:color w:val="000000" w:themeColor="text1"/>
                <w:kern w:val="0"/>
                <w:sz w:val="24"/>
                <w14:ligatures w14:val="none"/>
              </w:rPr>
              <w:t>)</w:t>
            </w:r>
            <w:r w:rsidRPr="002F1DCC">
              <w:rPr>
                <w:rFonts w:ascii="Times New Roman" w:eastAsia="SimSun" w:hAnsi="Times New Roman" w:cs="Times New Roman"/>
                <w:bCs/>
                <w:color w:val="000000" w:themeColor="text1"/>
                <w:kern w:val="0"/>
                <w:sz w:val="24"/>
                <w14:ligatures w14:val="none"/>
              </w:rPr>
              <w:t xml:space="preserve"> and mortality within 30 days after surgery</w:t>
            </w:r>
          </w:p>
        </w:tc>
      </w:tr>
      <w:tr w:rsidR="0005713D" w:rsidRPr="002F1DCC" w14:paraId="042497C9" w14:textId="77777777" w:rsidTr="002F1DCC">
        <w:trPr>
          <w:trHeight w:val="1125"/>
        </w:trPr>
        <w:tc>
          <w:tcPr>
            <w:tcW w:w="666" w:type="pct"/>
            <w:vAlign w:val="center"/>
          </w:tcPr>
          <w:p w14:paraId="7AB97411"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bookmarkStart w:id="14" w:name="OLE_LINK13"/>
            <w:r w:rsidRPr="002F1DCC">
              <w:rPr>
                <w:rFonts w:ascii="Times New Roman" w:eastAsia="SimSun" w:hAnsi="Times New Roman" w:cs="Times New Roman"/>
                <w:b/>
                <w:color w:val="000000" w:themeColor="text1"/>
                <w:kern w:val="0"/>
                <w:sz w:val="24"/>
                <w14:ligatures w14:val="none"/>
              </w:rPr>
              <w:lastRenderedPageBreak/>
              <w:t>NCT06225453</w:t>
            </w:r>
            <w:bookmarkEnd w:id="14"/>
          </w:p>
        </w:tc>
        <w:tc>
          <w:tcPr>
            <w:tcW w:w="478" w:type="pct"/>
            <w:vAlign w:val="center"/>
          </w:tcPr>
          <w:p w14:paraId="37A6A4B1"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Karam Nam</w:t>
            </w:r>
          </w:p>
        </w:tc>
        <w:tc>
          <w:tcPr>
            <w:tcW w:w="357" w:type="pct"/>
            <w:vAlign w:val="center"/>
          </w:tcPr>
          <w:p w14:paraId="0F08DF2A"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color w:val="000000" w:themeColor="text1"/>
                <w:kern w:val="0"/>
                <w:sz w:val="24"/>
                <w14:ligatures w14:val="none"/>
              </w:rPr>
              <w:t>South Korea</w:t>
            </w:r>
          </w:p>
        </w:tc>
        <w:tc>
          <w:tcPr>
            <w:tcW w:w="461" w:type="pct"/>
            <w:vAlign w:val="center"/>
          </w:tcPr>
          <w:p w14:paraId="6265FEF6"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1896</w:t>
            </w:r>
          </w:p>
        </w:tc>
        <w:tc>
          <w:tcPr>
            <w:tcW w:w="560" w:type="pct"/>
            <w:vAlign w:val="center"/>
          </w:tcPr>
          <w:p w14:paraId="7DF2FFC0"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non-cardiac surgery</w:t>
            </w:r>
          </w:p>
        </w:tc>
        <w:tc>
          <w:tcPr>
            <w:tcW w:w="522" w:type="pct"/>
            <w:vAlign w:val="center"/>
          </w:tcPr>
          <w:p w14:paraId="6E4A6787"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hint="eastAsia"/>
                <w:bCs/>
                <w:color w:val="000000" w:themeColor="text1"/>
                <w:kern w:val="0"/>
                <w:sz w:val="24"/>
                <w14:ligatures w14:val="none"/>
              </w:rPr>
              <w:t>Individualized</w:t>
            </w:r>
            <w:r w:rsidRPr="002F1DCC">
              <w:rPr>
                <w:rFonts w:ascii="Times New Roman" w:eastAsia="SimSun" w:hAnsi="Times New Roman" w:cs="Times New Roman"/>
                <w:bCs/>
                <w:color w:val="000000" w:themeColor="text1"/>
                <w:kern w:val="0"/>
                <w:sz w:val="24"/>
                <w14:ligatures w14:val="none"/>
              </w:rPr>
              <w:t xml:space="preserve"> higher-target strategy</w:t>
            </w:r>
          </w:p>
        </w:tc>
        <w:tc>
          <w:tcPr>
            <w:tcW w:w="590" w:type="pct"/>
            <w:vAlign w:val="center"/>
          </w:tcPr>
          <w:p w14:paraId="37728CC5"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 xml:space="preserve">perioperative </w:t>
            </w:r>
            <w:r w:rsidRPr="002F1DCC">
              <w:rPr>
                <w:rFonts w:ascii="Times New Roman" w:eastAsia="SimSun" w:hAnsi="Times New Roman" w:cs="Times New Roman" w:hint="eastAsia"/>
                <w:bCs/>
                <w:color w:val="000000" w:themeColor="text1"/>
                <w:kern w:val="0"/>
                <w:sz w:val="24"/>
                <w14:ligatures w14:val="none"/>
              </w:rPr>
              <w:t xml:space="preserve">MAP </w:t>
            </w:r>
            <w:r w:rsidRPr="002F1DCC">
              <w:rPr>
                <w:rFonts w:ascii="Times New Roman" w:eastAsia="SimSun" w:hAnsi="Times New Roman" w:cs="Times New Roman"/>
                <w:bCs/>
                <w:color w:val="000000" w:themeColor="text1"/>
                <w:kern w:val="0"/>
                <w:sz w:val="24"/>
                <w14:ligatures w14:val="none"/>
              </w:rPr>
              <w:t>and systolic blood pressure are maintained at no less than -20% of the baseline values of each patient</w:t>
            </w:r>
          </w:p>
        </w:tc>
        <w:tc>
          <w:tcPr>
            <w:tcW w:w="728" w:type="pct"/>
            <w:vAlign w:val="center"/>
          </w:tcPr>
          <w:p w14:paraId="408F3C9B"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 xml:space="preserve">perioperative </w:t>
            </w:r>
            <w:r w:rsidRPr="002F1DCC">
              <w:rPr>
                <w:rFonts w:ascii="Times New Roman" w:eastAsia="SimSun" w:hAnsi="Times New Roman" w:cs="Times New Roman" w:hint="eastAsia"/>
                <w:bCs/>
                <w:color w:val="000000" w:themeColor="text1"/>
                <w:kern w:val="0"/>
                <w:sz w:val="24"/>
                <w14:ligatures w14:val="none"/>
              </w:rPr>
              <w:t>MAP</w:t>
            </w:r>
            <w:r w:rsidRPr="002F1DCC">
              <w:rPr>
                <w:rFonts w:ascii="Times New Roman" w:eastAsia="SimSun" w:hAnsi="Times New Roman" w:cs="Times New Roman"/>
                <w:bCs/>
                <w:color w:val="000000" w:themeColor="text1"/>
                <w:kern w:val="0"/>
                <w:sz w:val="24"/>
                <w14:ligatures w14:val="none"/>
              </w:rPr>
              <w:t xml:space="preserve"> and systolic blood pressure are maintained at ≥</w:t>
            </w:r>
            <w:r w:rsidRPr="002F1DCC">
              <w:rPr>
                <w:rFonts w:ascii="Times New Roman" w:eastAsia="SimSun" w:hAnsi="Times New Roman" w:cs="Times New Roman" w:hint="eastAsia"/>
                <w:bCs/>
                <w:color w:val="000000" w:themeColor="text1"/>
                <w:kern w:val="0"/>
                <w:sz w:val="24"/>
                <w14:ligatures w14:val="none"/>
              </w:rPr>
              <w:t xml:space="preserve"> </w:t>
            </w:r>
            <w:r w:rsidRPr="002F1DCC">
              <w:rPr>
                <w:rFonts w:ascii="Times New Roman" w:eastAsia="SimSun" w:hAnsi="Times New Roman" w:cs="Times New Roman"/>
                <w:bCs/>
                <w:color w:val="000000" w:themeColor="text1"/>
                <w:kern w:val="0"/>
                <w:sz w:val="24"/>
                <w14:ligatures w14:val="none"/>
              </w:rPr>
              <w:t>65 mmHg and ≥</w:t>
            </w:r>
            <w:r w:rsidRPr="002F1DCC">
              <w:rPr>
                <w:rFonts w:ascii="Times New Roman" w:eastAsia="SimSun" w:hAnsi="Times New Roman" w:cs="Times New Roman" w:hint="eastAsia"/>
                <w:bCs/>
                <w:color w:val="000000" w:themeColor="text1"/>
                <w:kern w:val="0"/>
                <w:sz w:val="24"/>
                <w14:ligatures w14:val="none"/>
              </w:rPr>
              <w:t xml:space="preserve"> </w:t>
            </w:r>
            <w:r w:rsidRPr="002F1DCC">
              <w:rPr>
                <w:rFonts w:ascii="Times New Roman" w:eastAsia="SimSun" w:hAnsi="Times New Roman" w:cs="Times New Roman"/>
                <w:bCs/>
                <w:color w:val="000000" w:themeColor="text1"/>
                <w:kern w:val="0"/>
                <w:sz w:val="24"/>
                <w14:ligatures w14:val="none"/>
              </w:rPr>
              <w:t>90 mmHg, respectively, in all patients</w:t>
            </w:r>
          </w:p>
        </w:tc>
        <w:tc>
          <w:tcPr>
            <w:tcW w:w="639" w:type="pct"/>
            <w:vAlign w:val="center"/>
          </w:tcPr>
          <w:p w14:paraId="5214D462"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A composite of all-cause death, stroke, myocardial infarction, new or worsening congestive heart failure, unplanned coronary revascularization, and acute kidney injury</w:t>
            </w:r>
          </w:p>
        </w:tc>
      </w:tr>
      <w:tr w:rsidR="0005713D" w:rsidRPr="002F1DCC" w14:paraId="25A98C09" w14:textId="77777777" w:rsidTr="002F1DCC">
        <w:trPr>
          <w:trHeight w:val="1125"/>
        </w:trPr>
        <w:tc>
          <w:tcPr>
            <w:tcW w:w="666" w:type="pct"/>
            <w:vAlign w:val="center"/>
          </w:tcPr>
          <w:p w14:paraId="0ADFA7E1"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NCT06885268</w:t>
            </w:r>
          </w:p>
        </w:tc>
        <w:tc>
          <w:tcPr>
            <w:tcW w:w="478" w:type="pct"/>
            <w:vAlign w:val="center"/>
          </w:tcPr>
          <w:p w14:paraId="41381C82"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Wojciech Szczeklik</w:t>
            </w:r>
          </w:p>
        </w:tc>
        <w:tc>
          <w:tcPr>
            <w:tcW w:w="357" w:type="pct"/>
            <w:vAlign w:val="center"/>
          </w:tcPr>
          <w:p w14:paraId="20AA82CB" w14:textId="77777777" w:rsidR="0005713D" w:rsidRPr="002F1DCC" w:rsidRDefault="0005713D" w:rsidP="00494540">
            <w:pPr>
              <w:widowControl/>
              <w:adjustRightInd w:val="0"/>
              <w:snapToGrid w:val="0"/>
              <w:jc w:val="center"/>
              <w:rPr>
                <w:rFonts w:ascii="Times New Roman" w:eastAsia="SimSun" w:hAnsi="Times New Roman" w:cs="Times New Roman"/>
                <w:color w:val="000000" w:themeColor="text1"/>
                <w:kern w:val="0"/>
                <w:sz w:val="24"/>
                <w14:ligatures w14:val="none"/>
              </w:rPr>
            </w:pPr>
            <w:r w:rsidRPr="002F1DCC">
              <w:rPr>
                <w:rFonts w:ascii="Times New Roman" w:eastAsia="SimSun" w:hAnsi="Times New Roman" w:cs="Times New Roman"/>
                <w:color w:val="000000" w:themeColor="text1"/>
                <w:kern w:val="0"/>
                <w:sz w:val="24"/>
                <w14:ligatures w14:val="none"/>
              </w:rPr>
              <w:t>Poland</w:t>
            </w:r>
          </w:p>
        </w:tc>
        <w:tc>
          <w:tcPr>
            <w:tcW w:w="461" w:type="pct"/>
            <w:vAlign w:val="center"/>
          </w:tcPr>
          <w:p w14:paraId="486857DF"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750</w:t>
            </w:r>
          </w:p>
        </w:tc>
        <w:tc>
          <w:tcPr>
            <w:tcW w:w="560" w:type="pct"/>
            <w:vAlign w:val="center"/>
          </w:tcPr>
          <w:p w14:paraId="65FFF3B4"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Elective or accelerated non-cardiac surgery</w:t>
            </w:r>
          </w:p>
        </w:tc>
        <w:tc>
          <w:tcPr>
            <w:tcW w:w="522" w:type="pct"/>
            <w:vAlign w:val="center"/>
          </w:tcPr>
          <w:p w14:paraId="27353D99"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hint="eastAsia"/>
                <w:bCs/>
                <w:color w:val="000000" w:themeColor="text1"/>
                <w:kern w:val="0"/>
                <w:sz w:val="24"/>
                <w14:ligatures w14:val="none"/>
              </w:rPr>
              <w:t>Individualized</w:t>
            </w:r>
            <w:r w:rsidRPr="002F1DCC">
              <w:rPr>
                <w:rFonts w:ascii="Times New Roman" w:eastAsia="SimSun" w:hAnsi="Times New Roman" w:cs="Times New Roman"/>
                <w:bCs/>
                <w:color w:val="000000" w:themeColor="text1"/>
                <w:kern w:val="0"/>
                <w:sz w:val="24"/>
                <w14:ligatures w14:val="none"/>
              </w:rPr>
              <w:t xml:space="preserve"> higher-target strategy</w:t>
            </w:r>
          </w:p>
        </w:tc>
        <w:tc>
          <w:tcPr>
            <w:tcW w:w="590" w:type="pct"/>
            <w:vAlign w:val="center"/>
          </w:tcPr>
          <w:p w14:paraId="4088DE10" w14:textId="77777777" w:rsidR="0005713D" w:rsidRPr="002F1DCC" w:rsidRDefault="0005713D" w:rsidP="00494540">
            <w:pPr>
              <w:widowControl/>
              <w:adjustRightInd w:val="0"/>
              <w:snapToGrid w:val="0"/>
              <w:jc w:val="center"/>
              <w:rPr>
                <w:rFonts w:ascii="Cambria Math" w:eastAsia="SimSun" w:hAnsi="Cambria Math" w:cs="Cambria Math"/>
                <w:bCs/>
                <w:color w:val="000000" w:themeColor="text1"/>
                <w:kern w:val="0"/>
                <w:sz w:val="24"/>
                <w14:ligatures w14:val="none"/>
              </w:rPr>
            </w:pPr>
            <w:r w:rsidRPr="002F1DCC">
              <w:rPr>
                <w:rFonts w:ascii="Cambria Math" w:eastAsia="SimSun" w:hAnsi="Cambria Math" w:cs="Cambria Math"/>
                <w:bCs/>
                <w:color w:val="000000" w:themeColor="text1"/>
                <w:kern w:val="0"/>
                <w:sz w:val="24"/>
                <w14:ligatures w14:val="none"/>
              </w:rPr>
              <w:t>A single concentration of noradrenaline (10 μg/ml) will be initiated 15-60 seconds prior to the induction of anaesthesia, then titrated and maintained until 4 hours after surgery to meet pre-specified (MAP) targets.</w:t>
            </w:r>
            <w:r w:rsidRPr="002F1DCC">
              <w:rPr>
                <w:rFonts w:ascii="Roboto" w:hAnsi="Roboto"/>
                <w:color w:val="000000" w:themeColor="text1"/>
                <w:shd w:val="clear" w:color="auto" w:fill="FFFFFF"/>
              </w:rPr>
              <w:t xml:space="preserve"> </w:t>
            </w:r>
            <w:r w:rsidRPr="002F1DCC">
              <w:rPr>
                <w:rFonts w:ascii="Cambria Math" w:eastAsia="SimSun" w:hAnsi="Cambria Math" w:cs="Cambria Math"/>
                <w:bCs/>
                <w:color w:val="000000" w:themeColor="text1"/>
                <w:kern w:val="0"/>
                <w:sz w:val="24"/>
                <w14:ligatures w14:val="none"/>
              </w:rPr>
              <w:t xml:space="preserve">Individual baseline MAP value will be defined as resting blood pressure obtained in at </w:t>
            </w:r>
            <w:r w:rsidRPr="002F1DCC">
              <w:rPr>
                <w:rFonts w:ascii="Cambria Math" w:eastAsia="SimSun" w:hAnsi="Cambria Math" w:cs="Cambria Math"/>
                <w:bCs/>
                <w:color w:val="000000" w:themeColor="text1"/>
                <w:kern w:val="0"/>
                <w:sz w:val="24"/>
                <w14:ligatures w14:val="none"/>
              </w:rPr>
              <w:lastRenderedPageBreak/>
              <w:t>least two measurements at the surgery ward on the day before surgery</w:t>
            </w:r>
          </w:p>
        </w:tc>
        <w:tc>
          <w:tcPr>
            <w:tcW w:w="728" w:type="pct"/>
            <w:vAlign w:val="center"/>
          </w:tcPr>
          <w:p w14:paraId="5DBBF097" w14:textId="77777777" w:rsidR="0005713D" w:rsidRPr="002F1DCC" w:rsidRDefault="0005713D" w:rsidP="00494540">
            <w:pPr>
              <w:widowControl/>
              <w:adjustRightInd w:val="0"/>
              <w:snapToGrid w:val="0"/>
              <w:jc w:val="center"/>
              <w:rPr>
                <w:rFonts w:ascii="Cambria Math" w:eastAsia="SimSun" w:hAnsi="Cambria Math" w:cs="Cambria Math"/>
                <w:bCs/>
                <w:color w:val="000000" w:themeColor="text1"/>
                <w:kern w:val="0"/>
                <w:sz w:val="24"/>
                <w14:ligatures w14:val="none"/>
              </w:rPr>
            </w:pPr>
            <w:r w:rsidRPr="002F1DCC">
              <w:rPr>
                <w:rFonts w:ascii="Cambria Math" w:eastAsia="SimSun" w:hAnsi="Cambria Math" w:cs="Cambria Math" w:hint="eastAsia"/>
                <w:bCs/>
                <w:color w:val="000000" w:themeColor="text1"/>
                <w:kern w:val="0"/>
                <w:sz w:val="24"/>
                <w14:ligatures w14:val="none"/>
              </w:rPr>
              <w:lastRenderedPageBreak/>
              <w:t>A</w:t>
            </w:r>
            <w:r w:rsidRPr="002F1DCC">
              <w:rPr>
                <w:rFonts w:ascii="Cambria Math" w:eastAsia="SimSun" w:hAnsi="Cambria Math" w:cs="Cambria Math"/>
                <w:bCs/>
                <w:color w:val="000000" w:themeColor="text1"/>
                <w:kern w:val="0"/>
                <w:sz w:val="24"/>
                <w14:ligatures w14:val="none"/>
              </w:rPr>
              <w:t>ll patients in the control group will be treated to avoid MAP &lt;60-70 mm Hg. Ephedrine boluses (5 mg each, up to 25 mg total intravenous dose) will be recommended as a first-line hypotension treatment</w:t>
            </w:r>
          </w:p>
        </w:tc>
        <w:tc>
          <w:tcPr>
            <w:tcW w:w="639" w:type="pct"/>
            <w:vAlign w:val="center"/>
          </w:tcPr>
          <w:p w14:paraId="0E09B676"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Cambria Math" w:eastAsia="SimSun" w:hAnsi="Cambria Math" w:cs="Cambria Math"/>
                <w:bCs/>
                <w:color w:val="000000" w:themeColor="text1"/>
                <w:kern w:val="0"/>
                <w:sz w:val="24"/>
                <w14:ligatures w14:val="none"/>
              </w:rPr>
              <w:t>Perioperative hypotension</w:t>
            </w:r>
            <w:r w:rsidRPr="002F1DCC">
              <w:rPr>
                <w:rFonts w:ascii="Cambria Math" w:eastAsia="SimSun" w:hAnsi="Cambria Math" w:cs="Cambria Math" w:hint="eastAsia"/>
                <w:bCs/>
                <w:color w:val="000000" w:themeColor="text1"/>
                <w:kern w:val="0"/>
                <w:sz w:val="24"/>
                <w14:ligatures w14:val="none"/>
              </w:rPr>
              <w:t xml:space="preserve"> (</w:t>
            </w:r>
            <w:r w:rsidRPr="002F1DCC">
              <w:rPr>
                <w:rFonts w:ascii="Cambria Math" w:eastAsia="SimSun" w:hAnsi="Cambria Math" w:cs="Cambria Math"/>
                <w:bCs/>
                <w:color w:val="000000" w:themeColor="text1"/>
                <w:kern w:val="0"/>
                <w:sz w:val="24"/>
                <w14:ligatures w14:val="none"/>
              </w:rPr>
              <w:t>Number of episodes of perioperative hypotension defined as any MAP reading ≤55 mm Hg in the setting of a continuous blood pressure measurement</w:t>
            </w:r>
            <w:r w:rsidRPr="002F1DCC">
              <w:rPr>
                <w:rFonts w:ascii="Cambria Math" w:eastAsia="SimSun" w:hAnsi="Cambria Math" w:cs="Cambria Math" w:hint="eastAsia"/>
                <w:bCs/>
                <w:color w:val="000000" w:themeColor="text1"/>
                <w:kern w:val="0"/>
                <w:sz w:val="24"/>
                <w14:ligatures w14:val="none"/>
              </w:rPr>
              <w:t>)</w:t>
            </w:r>
          </w:p>
        </w:tc>
      </w:tr>
      <w:tr w:rsidR="0005713D" w:rsidRPr="002F1DCC" w14:paraId="0A48437F" w14:textId="77777777" w:rsidTr="002F1DCC">
        <w:trPr>
          <w:trHeight w:val="1125"/>
        </w:trPr>
        <w:tc>
          <w:tcPr>
            <w:tcW w:w="666" w:type="pct"/>
            <w:tcBorders>
              <w:bottom w:val="single" w:sz="18" w:space="0" w:color="auto"/>
            </w:tcBorders>
            <w:vAlign w:val="center"/>
          </w:tcPr>
          <w:p w14:paraId="746DED76"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NCT06711432</w:t>
            </w:r>
          </w:p>
        </w:tc>
        <w:tc>
          <w:tcPr>
            <w:tcW w:w="478" w:type="pct"/>
            <w:tcBorders>
              <w:bottom w:val="single" w:sz="18" w:space="0" w:color="auto"/>
            </w:tcBorders>
            <w:vAlign w:val="center"/>
          </w:tcPr>
          <w:p w14:paraId="383BD0E9" w14:textId="77777777" w:rsidR="0005713D" w:rsidRPr="002F1DCC" w:rsidRDefault="0005713D" w:rsidP="00494540">
            <w:pPr>
              <w:widowControl/>
              <w:adjustRightInd w:val="0"/>
              <w:snapToGrid w:val="0"/>
              <w:jc w:val="center"/>
              <w:rPr>
                <w:rFonts w:ascii="Times New Roman" w:eastAsia="SimSun" w:hAnsi="Times New Roman" w:cs="Times New Roman"/>
                <w:b/>
                <w:color w:val="000000" w:themeColor="text1"/>
                <w:kern w:val="0"/>
                <w:sz w:val="24"/>
                <w14:ligatures w14:val="none"/>
              </w:rPr>
            </w:pPr>
            <w:r w:rsidRPr="002F1DCC">
              <w:rPr>
                <w:rFonts w:ascii="Times New Roman" w:eastAsia="SimSun" w:hAnsi="Times New Roman" w:cs="Times New Roman"/>
                <w:b/>
                <w:color w:val="000000" w:themeColor="text1"/>
                <w:kern w:val="0"/>
                <w:sz w:val="24"/>
                <w14:ligatures w14:val="none"/>
              </w:rPr>
              <w:t>Zhu Yejing</w:t>
            </w:r>
          </w:p>
        </w:tc>
        <w:tc>
          <w:tcPr>
            <w:tcW w:w="357" w:type="pct"/>
            <w:tcBorders>
              <w:bottom w:val="single" w:sz="18" w:space="0" w:color="auto"/>
            </w:tcBorders>
            <w:vAlign w:val="center"/>
          </w:tcPr>
          <w:p w14:paraId="69CA5D06"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China</w:t>
            </w:r>
          </w:p>
        </w:tc>
        <w:tc>
          <w:tcPr>
            <w:tcW w:w="461" w:type="pct"/>
            <w:tcBorders>
              <w:bottom w:val="single" w:sz="18" w:space="0" w:color="auto"/>
            </w:tcBorders>
            <w:vAlign w:val="center"/>
          </w:tcPr>
          <w:p w14:paraId="135F9BFB"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214</w:t>
            </w:r>
          </w:p>
        </w:tc>
        <w:tc>
          <w:tcPr>
            <w:tcW w:w="560" w:type="pct"/>
            <w:tcBorders>
              <w:bottom w:val="single" w:sz="18" w:space="0" w:color="auto"/>
            </w:tcBorders>
            <w:vAlign w:val="center"/>
          </w:tcPr>
          <w:p w14:paraId="55EF95C5"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surgery for abdominal tumors (gynecological, urinary, hepatobiliary, and gastrointestinal tumors)</w:t>
            </w:r>
          </w:p>
        </w:tc>
        <w:tc>
          <w:tcPr>
            <w:tcW w:w="522" w:type="pct"/>
            <w:tcBorders>
              <w:bottom w:val="single" w:sz="18" w:space="0" w:color="auto"/>
            </w:tcBorders>
            <w:vAlign w:val="center"/>
          </w:tcPr>
          <w:p w14:paraId="63517923"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hint="eastAsia"/>
                <w:bCs/>
                <w:color w:val="000000" w:themeColor="text1"/>
                <w:kern w:val="0"/>
                <w:sz w:val="24"/>
                <w14:ligatures w14:val="none"/>
              </w:rPr>
              <w:t>F</w:t>
            </w:r>
            <w:r w:rsidRPr="002F1DCC">
              <w:rPr>
                <w:rFonts w:ascii="Times New Roman" w:eastAsia="SimSun" w:hAnsi="Times New Roman" w:cs="Times New Roman"/>
                <w:bCs/>
                <w:color w:val="000000" w:themeColor="text1"/>
                <w:kern w:val="0"/>
                <w:sz w:val="24"/>
                <w14:ligatures w14:val="none"/>
              </w:rPr>
              <w:t>ixed higher-target strategy</w:t>
            </w:r>
          </w:p>
        </w:tc>
        <w:tc>
          <w:tcPr>
            <w:tcW w:w="590" w:type="pct"/>
            <w:tcBorders>
              <w:bottom w:val="single" w:sz="18" w:space="0" w:color="auto"/>
            </w:tcBorders>
            <w:vAlign w:val="center"/>
          </w:tcPr>
          <w:p w14:paraId="47A113FF"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p>
          <w:p w14:paraId="09890724"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stop taking ACEI</w:t>
            </w:r>
            <w:r w:rsidRPr="002F1DCC">
              <w:rPr>
                <w:rFonts w:ascii="Times New Roman" w:eastAsia="SimSun" w:hAnsi="Times New Roman" w:cs="Times New Roman" w:hint="eastAsia"/>
                <w:bCs/>
                <w:color w:val="000000" w:themeColor="text1"/>
                <w:kern w:val="0"/>
                <w:sz w:val="24"/>
                <w14:ligatures w14:val="none"/>
              </w:rPr>
              <w:t xml:space="preserve"> </w:t>
            </w:r>
            <w:r w:rsidRPr="002F1DCC">
              <w:rPr>
                <w:rFonts w:ascii="Times New Roman" w:eastAsia="SimSun" w:hAnsi="Times New Roman" w:cs="Times New Roman"/>
                <w:bCs/>
                <w:color w:val="000000" w:themeColor="text1"/>
                <w:kern w:val="0"/>
                <w:sz w:val="24"/>
                <w14:ligatures w14:val="none"/>
              </w:rPr>
              <w:t>or ARB</w:t>
            </w:r>
            <w:r w:rsidRPr="002F1DCC">
              <w:rPr>
                <w:rFonts w:ascii="Times New Roman" w:eastAsia="SimSun" w:hAnsi="Times New Roman" w:cs="Times New Roman" w:hint="eastAsia"/>
                <w:bCs/>
                <w:color w:val="000000" w:themeColor="text1"/>
                <w:kern w:val="0"/>
                <w:sz w:val="24"/>
                <w14:ligatures w14:val="none"/>
              </w:rPr>
              <w:t xml:space="preserve"> </w:t>
            </w:r>
            <w:r w:rsidRPr="002F1DCC">
              <w:rPr>
                <w:rFonts w:ascii="Times New Roman" w:eastAsia="SimSun" w:hAnsi="Times New Roman" w:cs="Times New Roman"/>
                <w:bCs/>
                <w:color w:val="000000" w:themeColor="text1"/>
                <w:kern w:val="0"/>
                <w:sz w:val="24"/>
                <w14:ligatures w14:val="none"/>
              </w:rPr>
              <w:t>on the day of surgery</w:t>
            </w:r>
            <w:r w:rsidRPr="002F1DCC">
              <w:rPr>
                <w:rFonts w:ascii="Times New Roman" w:eastAsia="SimSun" w:hAnsi="Times New Roman" w:cs="Times New Roman" w:hint="eastAsia"/>
                <w:bCs/>
                <w:color w:val="000000" w:themeColor="text1"/>
                <w:kern w:val="0"/>
                <w:sz w:val="24"/>
                <w14:ligatures w14:val="none"/>
              </w:rPr>
              <w:t xml:space="preserve">. </w:t>
            </w:r>
            <w:r w:rsidRPr="002F1DCC">
              <w:rPr>
                <w:rFonts w:ascii="Times New Roman" w:eastAsia="SimSun" w:hAnsi="Times New Roman" w:cs="Times New Roman"/>
                <w:bCs/>
                <w:color w:val="000000" w:themeColor="text1"/>
                <w:kern w:val="0"/>
                <w:sz w:val="24"/>
                <w14:ligatures w14:val="none"/>
              </w:rPr>
              <w:t>Intraoperative use of norepinephrine or phenylephrine</w:t>
            </w:r>
            <w:r w:rsidRPr="002F1DCC">
              <w:rPr>
                <w:rFonts w:ascii="Times New Roman" w:eastAsia="SimSun" w:hAnsi="Times New Roman" w:cs="Times New Roman" w:hint="eastAsia"/>
                <w:bCs/>
                <w:color w:val="000000" w:themeColor="text1"/>
                <w:kern w:val="0"/>
                <w:sz w:val="24"/>
                <w14:ligatures w14:val="none"/>
              </w:rPr>
              <w:t xml:space="preserve">. Target </w:t>
            </w:r>
            <w:r w:rsidRPr="002F1DCC">
              <w:rPr>
                <w:rFonts w:ascii="Times New Roman" w:eastAsia="SimSun" w:hAnsi="Times New Roman" w:cs="Times New Roman"/>
                <w:bCs/>
                <w:color w:val="000000" w:themeColor="text1"/>
                <w:kern w:val="0"/>
                <w:sz w:val="24"/>
                <w14:ligatures w14:val="none"/>
              </w:rPr>
              <w:t>MAP &gt; 80 mmHg</w:t>
            </w:r>
          </w:p>
        </w:tc>
        <w:tc>
          <w:tcPr>
            <w:tcW w:w="728" w:type="pct"/>
            <w:tcBorders>
              <w:bottom w:val="single" w:sz="18" w:space="0" w:color="auto"/>
            </w:tcBorders>
            <w:vAlign w:val="center"/>
          </w:tcPr>
          <w:p w14:paraId="68E399F6"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p>
          <w:p w14:paraId="7E9660CF"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ACEI, ARB or calcium antagonists can be used until the morning of the day of surgery</w:t>
            </w:r>
            <w:r w:rsidRPr="002F1DCC">
              <w:rPr>
                <w:rFonts w:ascii="Times New Roman" w:eastAsia="SimSun" w:hAnsi="Times New Roman" w:cs="Times New Roman" w:hint="eastAsia"/>
                <w:bCs/>
                <w:color w:val="000000" w:themeColor="text1"/>
                <w:kern w:val="0"/>
                <w:sz w:val="24"/>
                <w14:ligatures w14:val="none"/>
              </w:rPr>
              <w:t>.</w:t>
            </w:r>
            <w:r w:rsidRPr="002F1DCC">
              <w:rPr>
                <w:rFonts w:ascii="Roboto" w:hAnsi="Roboto"/>
                <w:color w:val="000000" w:themeColor="text1"/>
                <w:shd w:val="clear" w:color="auto" w:fill="FFFFFF"/>
              </w:rPr>
              <w:t xml:space="preserve"> Intraoperative blood pressure management is based on routine, and it is not necessary to use pressor drugs prophylactically</w:t>
            </w:r>
            <w:r w:rsidRPr="002F1DCC">
              <w:rPr>
                <w:rFonts w:ascii="Roboto" w:hAnsi="Roboto" w:hint="eastAsia"/>
                <w:color w:val="000000" w:themeColor="text1"/>
                <w:shd w:val="clear" w:color="auto" w:fill="FFFFFF"/>
              </w:rPr>
              <w:t>. I</w:t>
            </w:r>
            <w:r w:rsidRPr="002F1DCC">
              <w:rPr>
                <w:rFonts w:ascii="Times New Roman" w:eastAsia="SimSun" w:hAnsi="Times New Roman" w:cs="Times New Roman"/>
                <w:bCs/>
                <w:color w:val="000000" w:themeColor="text1"/>
                <w:kern w:val="0"/>
                <w:sz w:val="24"/>
                <w14:ligatures w14:val="none"/>
              </w:rPr>
              <w:t>ntraoperative MAP should not be lower than 65mmHg.</w:t>
            </w:r>
            <w:r w:rsidRPr="002F1DCC">
              <w:rPr>
                <w:rFonts w:ascii="Roboto" w:hAnsi="Roboto"/>
                <w:color w:val="000000" w:themeColor="text1"/>
                <w:shd w:val="clear" w:color="auto" w:fill="FFFFFF"/>
              </w:rPr>
              <w:t xml:space="preserve"> </w:t>
            </w:r>
            <w:r w:rsidRPr="002F1DCC">
              <w:rPr>
                <w:rFonts w:ascii="Times New Roman" w:eastAsia="SimSun" w:hAnsi="Times New Roman" w:cs="Times New Roman" w:hint="eastAsia"/>
                <w:bCs/>
                <w:color w:val="000000" w:themeColor="text1"/>
                <w:kern w:val="0"/>
                <w:sz w:val="24"/>
                <w14:ligatures w14:val="none"/>
              </w:rPr>
              <w:t>Target</w:t>
            </w:r>
            <w:r w:rsidRPr="002F1DCC">
              <w:rPr>
                <w:rFonts w:ascii="Times New Roman" w:eastAsia="SimSun" w:hAnsi="Times New Roman" w:cs="Times New Roman"/>
                <w:bCs/>
                <w:color w:val="000000" w:themeColor="text1"/>
                <w:kern w:val="0"/>
                <w:sz w:val="24"/>
                <w14:ligatures w14:val="none"/>
              </w:rPr>
              <w:t xml:space="preserve"> MAP</w:t>
            </w:r>
            <w:r w:rsidRPr="002F1DCC">
              <w:rPr>
                <w:rFonts w:ascii="Times New Roman" w:eastAsia="SimSun" w:hAnsi="Times New Roman" w:cs="Times New Roman" w:hint="eastAsia"/>
                <w:bCs/>
                <w:color w:val="000000" w:themeColor="text1"/>
                <w:kern w:val="0"/>
                <w:sz w:val="24"/>
                <w14:ligatures w14:val="none"/>
              </w:rPr>
              <w:t xml:space="preserve"> </w:t>
            </w:r>
            <w:r w:rsidRPr="002F1DCC">
              <w:rPr>
                <w:rFonts w:ascii="Times New Roman" w:eastAsia="SimSun" w:hAnsi="Times New Roman" w:cs="Times New Roman"/>
                <w:bCs/>
                <w:color w:val="000000" w:themeColor="text1"/>
                <w:kern w:val="0"/>
                <w:sz w:val="24"/>
                <w14:ligatures w14:val="none"/>
              </w:rPr>
              <w:t>&gt;</w:t>
            </w:r>
            <w:r w:rsidRPr="002F1DCC">
              <w:rPr>
                <w:rFonts w:ascii="Times New Roman" w:eastAsia="SimSun" w:hAnsi="Times New Roman" w:cs="Times New Roman" w:hint="eastAsia"/>
                <w:bCs/>
                <w:color w:val="000000" w:themeColor="text1"/>
                <w:kern w:val="0"/>
                <w:sz w:val="24"/>
                <w14:ligatures w14:val="none"/>
              </w:rPr>
              <w:t xml:space="preserve"> </w:t>
            </w:r>
            <w:r w:rsidRPr="002F1DCC">
              <w:rPr>
                <w:rFonts w:ascii="Times New Roman" w:eastAsia="SimSun" w:hAnsi="Times New Roman" w:cs="Times New Roman"/>
                <w:bCs/>
                <w:color w:val="000000" w:themeColor="text1"/>
                <w:kern w:val="0"/>
                <w:sz w:val="24"/>
                <w14:ligatures w14:val="none"/>
              </w:rPr>
              <w:t>65mmHg</w:t>
            </w:r>
          </w:p>
        </w:tc>
        <w:tc>
          <w:tcPr>
            <w:tcW w:w="639" w:type="pct"/>
            <w:tcBorders>
              <w:bottom w:val="single" w:sz="18" w:space="0" w:color="auto"/>
            </w:tcBorders>
            <w:vAlign w:val="center"/>
          </w:tcPr>
          <w:p w14:paraId="6A0CDB5C" w14:textId="77777777" w:rsidR="0005713D" w:rsidRPr="002F1DCC" w:rsidRDefault="0005713D" w:rsidP="00494540">
            <w:pPr>
              <w:widowControl/>
              <w:adjustRightInd w:val="0"/>
              <w:snapToGrid w:val="0"/>
              <w:jc w:val="center"/>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Postoperative delirium and cognitive function in patients with high-risk stroke.</w:t>
            </w:r>
          </w:p>
        </w:tc>
      </w:tr>
    </w:tbl>
    <w:p w14:paraId="11522845" w14:textId="77777777" w:rsidR="0005713D" w:rsidRPr="002F1DCC" w:rsidRDefault="0005713D" w:rsidP="0005713D">
      <w:pPr>
        <w:adjustRightInd w:val="0"/>
        <w:snapToGrid w:val="0"/>
        <w:spacing w:after="0" w:line="240" w:lineRule="auto"/>
        <w:rPr>
          <w:rFonts w:ascii="Times New Roman" w:eastAsia="SimSun" w:hAnsi="Times New Roman" w:cs="Times New Roman"/>
          <w:bCs/>
          <w:color w:val="000000" w:themeColor="text1"/>
          <w:kern w:val="0"/>
          <w:sz w:val="24"/>
          <w14:ligatures w14:val="none"/>
        </w:rPr>
      </w:pPr>
      <w:r w:rsidRPr="002F1DCC">
        <w:rPr>
          <w:rFonts w:ascii="Times New Roman" w:eastAsia="SimSun" w:hAnsi="Times New Roman" w:cs="Times New Roman"/>
          <w:bCs/>
          <w:color w:val="000000" w:themeColor="text1"/>
          <w:kern w:val="0"/>
          <w:sz w:val="24"/>
          <w14:ligatures w14:val="none"/>
        </w:rPr>
        <w:t xml:space="preserve">Note: ACEI, Angiotensin-Converting Enzyme Inhibitors; ARB, Angiotensin II Receptor Blockers; </w:t>
      </w:r>
      <w:bookmarkStart w:id="15" w:name="_Hlk228307920"/>
      <w:r w:rsidRPr="002F1DCC">
        <w:rPr>
          <w:rFonts w:ascii="Times New Roman" w:eastAsia="SimSun" w:hAnsi="Times New Roman" w:cs="Times New Roman"/>
          <w:bCs/>
          <w:color w:val="000000" w:themeColor="text1"/>
          <w:kern w:val="0"/>
          <w:sz w:val="24"/>
          <w14:ligatures w14:val="none"/>
        </w:rPr>
        <w:t>MAP, Mean Arterial Press</w:t>
      </w:r>
      <w:bookmarkEnd w:id="15"/>
    </w:p>
    <w:p w14:paraId="604A5FC3" w14:textId="54F383F8" w:rsidR="003D5B7D" w:rsidRPr="00650968" w:rsidRDefault="003D5B7D" w:rsidP="00726E58">
      <w:pPr>
        <w:rPr>
          <w:rFonts w:ascii="Times New Roman" w:hAnsi="Times New Roman" w:cs="Times New Roman"/>
          <w:b/>
          <w:color w:val="000000" w:themeColor="text1"/>
          <w:sz w:val="24"/>
        </w:rPr>
      </w:pPr>
    </w:p>
    <w:sectPr w:rsidR="003D5B7D" w:rsidRPr="00650968" w:rsidSect="00650968">
      <w:pgSz w:w="16838" w:h="11906" w:orient="landscape" w:code="9"/>
      <w:pgMar w:top="720" w:right="720" w:bottom="720" w:left="720" w:header="851" w:footer="992" w:gutter="0"/>
      <w:cols w:space="425"/>
      <w:docGrid w:type="lines" w:linePitch="317" w:charSpace="9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1EFA2" w14:textId="77777777" w:rsidR="002B00DB" w:rsidRDefault="002B00DB" w:rsidP="002C076F">
      <w:pPr>
        <w:spacing w:after="0" w:line="240" w:lineRule="auto"/>
      </w:pPr>
      <w:r>
        <w:separator/>
      </w:r>
    </w:p>
  </w:endnote>
  <w:endnote w:type="continuationSeparator" w:id="0">
    <w:p w14:paraId="1EDD96A4" w14:textId="77777777" w:rsidR="002B00DB" w:rsidRDefault="002B00DB" w:rsidP="002C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A804D" w14:textId="77777777" w:rsidR="002B00DB" w:rsidRDefault="002B00DB" w:rsidP="002C076F">
      <w:pPr>
        <w:spacing w:after="0" w:line="240" w:lineRule="auto"/>
      </w:pPr>
      <w:r>
        <w:separator/>
      </w:r>
    </w:p>
  </w:footnote>
  <w:footnote w:type="continuationSeparator" w:id="0">
    <w:p w14:paraId="22DF0CC4" w14:textId="77777777" w:rsidR="002B00DB" w:rsidRDefault="002B00DB" w:rsidP="002C07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12"/>
  <w:drawingGridVerticalSpacing w:val="31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Brit J Anaesthesia Copy&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z99xv569se9te02sq5ssa22r0edxsvafdf&quot;&gt;My EndNote Library&lt;record-ids&gt;&lt;item&gt;138675&lt;/item&gt;&lt;item&gt;138687&lt;/item&gt;&lt;item&gt;138691&lt;/item&gt;&lt;item&gt;138695&lt;/item&gt;&lt;item&gt;138696&lt;/item&gt;&lt;item&gt;138714&lt;/item&gt;&lt;item&gt;138722&lt;/item&gt;&lt;item&gt;138724&lt;/item&gt;&lt;item&gt;138725&lt;/item&gt;&lt;item&gt;138726&lt;/item&gt;&lt;item&gt;138727&lt;/item&gt;&lt;/record-ids&gt;&lt;/item&gt;&lt;/Libraries&gt;"/>
  </w:docVars>
  <w:rsids>
    <w:rsidRoot w:val="00B43CC7"/>
    <w:rsid w:val="00024EF2"/>
    <w:rsid w:val="000346F7"/>
    <w:rsid w:val="0005713D"/>
    <w:rsid w:val="000841F5"/>
    <w:rsid w:val="00094A26"/>
    <w:rsid w:val="000B0377"/>
    <w:rsid w:val="000C5054"/>
    <w:rsid w:val="000F5D3C"/>
    <w:rsid w:val="00101F14"/>
    <w:rsid w:val="0011290B"/>
    <w:rsid w:val="00123649"/>
    <w:rsid w:val="001929C1"/>
    <w:rsid w:val="00196BB4"/>
    <w:rsid w:val="001E359D"/>
    <w:rsid w:val="00200587"/>
    <w:rsid w:val="00234649"/>
    <w:rsid w:val="00240036"/>
    <w:rsid w:val="00287233"/>
    <w:rsid w:val="0029486F"/>
    <w:rsid w:val="002B00DB"/>
    <w:rsid w:val="002C076F"/>
    <w:rsid w:val="002C5733"/>
    <w:rsid w:val="002F1DCC"/>
    <w:rsid w:val="002F7E1A"/>
    <w:rsid w:val="0031028F"/>
    <w:rsid w:val="00313A9C"/>
    <w:rsid w:val="0035394B"/>
    <w:rsid w:val="00364334"/>
    <w:rsid w:val="00395885"/>
    <w:rsid w:val="003C63F4"/>
    <w:rsid w:val="003D2511"/>
    <w:rsid w:val="003D5B7D"/>
    <w:rsid w:val="003F1E5F"/>
    <w:rsid w:val="00443538"/>
    <w:rsid w:val="00467AA7"/>
    <w:rsid w:val="004766EB"/>
    <w:rsid w:val="0048374F"/>
    <w:rsid w:val="004A41D4"/>
    <w:rsid w:val="004A5DF7"/>
    <w:rsid w:val="004A69A3"/>
    <w:rsid w:val="004B1874"/>
    <w:rsid w:val="004E7309"/>
    <w:rsid w:val="00501AE4"/>
    <w:rsid w:val="00582B15"/>
    <w:rsid w:val="005A3395"/>
    <w:rsid w:val="005B06CC"/>
    <w:rsid w:val="00645960"/>
    <w:rsid w:val="00650968"/>
    <w:rsid w:val="00654CCE"/>
    <w:rsid w:val="00672D89"/>
    <w:rsid w:val="006F463E"/>
    <w:rsid w:val="006F58BA"/>
    <w:rsid w:val="00726E58"/>
    <w:rsid w:val="007314AC"/>
    <w:rsid w:val="007325FB"/>
    <w:rsid w:val="00734599"/>
    <w:rsid w:val="0076764D"/>
    <w:rsid w:val="0077477B"/>
    <w:rsid w:val="00781D1B"/>
    <w:rsid w:val="007948A1"/>
    <w:rsid w:val="00795B49"/>
    <w:rsid w:val="007A7DE2"/>
    <w:rsid w:val="007B43B9"/>
    <w:rsid w:val="007D78CA"/>
    <w:rsid w:val="008301FB"/>
    <w:rsid w:val="00830EAC"/>
    <w:rsid w:val="00837F5B"/>
    <w:rsid w:val="00845B8E"/>
    <w:rsid w:val="008768F9"/>
    <w:rsid w:val="00892F29"/>
    <w:rsid w:val="008A2E55"/>
    <w:rsid w:val="008C72C0"/>
    <w:rsid w:val="008F0F72"/>
    <w:rsid w:val="008F7669"/>
    <w:rsid w:val="00900C1A"/>
    <w:rsid w:val="00920ACC"/>
    <w:rsid w:val="009451AE"/>
    <w:rsid w:val="0097474E"/>
    <w:rsid w:val="009B2C85"/>
    <w:rsid w:val="009E149A"/>
    <w:rsid w:val="00A10FDE"/>
    <w:rsid w:val="00A14635"/>
    <w:rsid w:val="00A939CA"/>
    <w:rsid w:val="00B11312"/>
    <w:rsid w:val="00B13D03"/>
    <w:rsid w:val="00B43178"/>
    <w:rsid w:val="00B43CC7"/>
    <w:rsid w:val="00B52A11"/>
    <w:rsid w:val="00B5572F"/>
    <w:rsid w:val="00B564C1"/>
    <w:rsid w:val="00B6447F"/>
    <w:rsid w:val="00BB4FC5"/>
    <w:rsid w:val="00BE2AFE"/>
    <w:rsid w:val="00BF3840"/>
    <w:rsid w:val="00BF72FE"/>
    <w:rsid w:val="00C10048"/>
    <w:rsid w:val="00C1250E"/>
    <w:rsid w:val="00C20D8C"/>
    <w:rsid w:val="00C216D1"/>
    <w:rsid w:val="00C30355"/>
    <w:rsid w:val="00C83E5D"/>
    <w:rsid w:val="00CA6A97"/>
    <w:rsid w:val="00CC2DA7"/>
    <w:rsid w:val="00CE0577"/>
    <w:rsid w:val="00D11EB4"/>
    <w:rsid w:val="00D13730"/>
    <w:rsid w:val="00D26401"/>
    <w:rsid w:val="00D55C68"/>
    <w:rsid w:val="00D868EB"/>
    <w:rsid w:val="00D876E5"/>
    <w:rsid w:val="00DC20ED"/>
    <w:rsid w:val="00E21341"/>
    <w:rsid w:val="00E26190"/>
    <w:rsid w:val="00E63596"/>
    <w:rsid w:val="00F45A33"/>
    <w:rsid w:val="00F731BC"/>
    <w:rsid w:val="00F745C4"/>
    <w:rsid w:val="00F85075"/>
    <w:rsid w:val="00F9713D"/>
    <w:rsid w:val="00FA37C8"/>
    <w:rsid w:val="00FB0310"/>
    <w:rsid w:val="00FD0674"/>
    <w:rsid w:val="00FF4232"/>
    <w:rsid w:val="00FF4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B6635"/>
  <w15:chartTrackingRefBased/>
  <w15:docId w15:val="{1AB0937A-D4E3-B140-8256-614E77C1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BB4"/>
    <w:pPr>
      <w:widowControl w:val="0"/>
    </w:pPr>
    <w:rPr>
      <w:lang w:val="en-GB"/>
    </w:rPr>
  </w:style>
  <w:style w:type="paragraph" w:styleId="1">
    <w:name w:val="heading 1"/>
    <w:basedOn w:val="a"/>
    <w:next w:val="a"/>
    <w:link w:val="10"/>
    <w:uiPriority w:val="9"/>
    <w:qFormat/>
    <w:rsid w:val="00B43CC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43CC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43CC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43CC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43CC7"/>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43CC7"/>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43CC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43CC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43CC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43CC7"/>
    <w:rPr>
      <w:rFonts w:asciiTheme="majorHAnsi" w:eastAsiaTheme="majorEastAsia" w:hAnsiTheme="majorHAnsi" w:cstheme="majorBidi"/>
      <w:color w:val="2F5496" w:themeColor="accent1" w:themeShade="BF"/>
      <w:sz w:val="48"/>
      <w:szCs w:val="48"/>
      <w:lang w:val="en-GB"/>
    </w:rPr>
  </w:style>
  <w:style w:type="character" w:customStyle="1" w:styleId="20">
    <w:name w:val="标题 2 字符"/>
    <w:basedOn w:val="a0"/>
    <w:link w:val="2"/>
    <w:uiPriority w:val="9"/>
    <w:semiHidden/>
    <w:rsid w:val="00B43CC7"/>
    <w:rPr>
      <w:rFonts w:asciiTheme="majorHAnsi" w:eastAsiaTheme="majorEastAsia" w:hAnsiTheme="majorHAnsi" w:cstheme="majorBidi"/>
      <w:color w:val="2F5496" w:themeColor="accent1" w:themeShade="BF"/>
      <w:sz w:val="40"/>
      <w:szCs w:val="40"/>
      <w:lang w:val="en-GB"/>
    </w:rPr>
  </w:style>
  <w:style w:type="character" w:customStyle="1" w:styleId="30">
    <w:name w:val="标题 3 字符"/>
    <w:basedOn w:val="a0"/>
    <w:link w:val="3"/>
    <w:uiPriority w:val="9"/>
    <w:semiHidden/>
    <w:rsid w:val="00B43CC7"/>
    <w:rPr>
      <w:rFonts w:asciiTheme="majorHAnsi" w:eastAsiaTheme="majorEastAsia" w:hAnsiTheme="majorHAnsi" w:cstheme="majorBidi"/>
      <w:color w:val="2F5496" w:themeColor="accent1" w:themeShade="BF"/>
      <w:sz w:val="32"/>
      <w:szCs w:val="32"/>
      <w:lang w:val="en-GB"/>
    </w:rPr>
  </w:style>
  <w:style w:type="character" w:customStyle="1" w:styleId="40">
    <w:name w:val="标题 4 字符"/>
    <w:basedOn w:val="a0"/>
    <w:link w:val="4"/>
    <w:uiPriority w:val="9"/>
    <w:semiHidden/>
    <w:rsid w:val="00B43CC7"/>
    <w:rPr>
      <w:rFonts w:cstheme="majorBidi"/>
      <w:color w:val="2F5496" w:themeColor="accent1" w:themeShade="BF"/>
      <w:sz w:val="28"/>
      <w:szCs w:val="28"/>
      <w:lang w:val="en-GB"/>
    </w:rPr>
  </w:style>
  <w:style w:type="character" w:customStyle="1" w:styleId="50">
    <w:name w:val="标题 5 字符"/>
    <w:basedOn w:val="a0"/>
    <w:link w:val="5"/>
    <w:uiPriority w:val="9"/>
    <w:semiHidden/>
    <w:rsid w:val="00B43CC7"/>
    <w:rPr>
      <w:rFonts w:cstheme="majorBidi"/>
      <w:color w:val="2F5496" w:themeColor="accent1" w:themeShade="BF"/>
      <w:sz w:val="24"/>
      <w:lang w:val="en-GB"/>
    </w:rPr>
  </w:style>
  <w:style w:type="character" w:customStyle="1" w:styleId="60">
    <w:name w:val="标题 6 字符"/>
    <w:basedOn w:val="a0"/>
    <w:link w:val="6"/>
    <w:uiPriority w:val="9"/>
    <w:semiHidden/>
    <w:rsid w:val="00B43CC7"/>
    <w:rPr>
      <w:rFonts w:cstheme="majorBidi"/>
      <w:b/>
      <w:bCs/>
      <w:color w:val="2F5496" w:themeColor="accent1" w:themeShade="BF"/>
      <w:lang w:val="en-GB"/>
    </w:rPr>
  </w:style>
  <w:style w:type="character" w:customStyle="1" w:styleId="70">
    <w:name w:val="标题 7 字符"/>
    <w:basedOn w:val="a0"/>
    <w:link w:val="7"/>
    <w:uiPriority w:val="9"/>
    <w:semiHidden/>
    <w:rsid w:val="00B43CC7"/>
    <w:rPr>
      <w:rFonts w:cstheme="majorBidi"/>
      <w:b/>
      <w:bCs/>
      <w:color w:val="595959" w:themeColor="text1" w:themeTint="A6"/>
      <w:lang w:val="en-GB"/>
    </w:rPr>
  </w:style>
  <w:style w:type="character" w:customStyle="1" w:styleId="80">
    <w:name w:val="标题 8 字符"/>
    <w:basedOn w:val="a0"/>
    <w:link w:val="8"/>
    <w:uiPriority w:val="9"/>
    <w:semiHidden/>
    <w:rsid w:val="00B43CC7"/>
    <w:rPr>
      <w:rFonts w:cstheme="majorBidi"/>
      <w:color w:val="595959" w:themeColor="text1" w:themeTint="A6"/>
      <w:lang w:val="en-GB"/>
    </w:rPr>
  </w:style>
  <w:style w:type="character" w:customStyle="1" w:styleId="90">
    <w:name w:val="标题 9 字符"/>
    <w:basedOn w:val="a0"/>
    <w:link w:val="9"/>
    <w:uiPriority w:val="9"/>
    <w:semiHidden/>
    <w:rsid w:val="00B43CC7"/>
    <w:rPr>
      <w:rFonts w:eastAsiaTheme="majorEastAsia" w:cstheme="majorBidi"/>
      <w:color w:val="595959" w:themeColor="text1" w:themeTint="A6"/>
      <w:lang w:val="en-GB"/>
    </w:rPr>
  </w:style>
  <w:style w:type="paragraph" w:styleId="a3">
    <w:name w:val="Title"/>
    <w:basedOn w:val="a"/>
    <w:next w:val="a"/>
    <w:link w:val="a4"/>
    <w:uiPriority w:val="10"/>
    <w:qFormat/>
    <w:rsid w:val="00B43CC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43CC7"/>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B43CC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43CC7"/>
    <w:rPr>
      <w:rFonts w:asciiTheme="majorHAnsi" w:eastAsiaTheme="majorEastAsia" w:hAnsiTheme="majorHAnsi" w:cstheme="majorBidi"/>
      <w:color w:val="595959" w:themeColor="text1" w:themeTint="A6"/>
      <w:spacing w:val="15"/>
      <w:sz w:val="28"/>
      <w:szCs w:val="28"/>
      <w:lang w:val="en-GB"/>
    </w:rPr>
  </w:style>
  <w:style w:type="paragraph" w:styleId="a7">
    <w:name w:val="Quote"/>
    <w:basedOn w:val="a"/>
    <w:next w:val="a"/>
    <w:link w:val="a8"/>
    <w:uiPriority w:val="29"/>
    <w:qFormat/>
    <w:rsid w:val="00B43CC7"/>
    <w:pPr>
      <w:spacing w:before="160"/>
      <w:jc w:val="center"/>
    </w:pPr>
    <w:rPr>
      <w:i/>
      <w:iCs/>
      <w:color w:val="404040" w:themeColor="text1" w:themeTint="BF"/>
    </w:rPr>
  </w:style>
  <w:style w:type="character" w:customStyle="1" w:styleId="a8">
    <w:name w:val="引用 字符"/>
    <w:basedOn w:val="a0"/>
    <w:link w:val="a7"/>
    <w:uiPriority w:val="29"/>
    <w:rsid w:val="00B43CC7"/>
    <w:rPr>
      <w:i/>
      <w:iCs/>
      <w:color w:val="404040" w:themeColor="text1" w:themeTint="BF"/>
      <w:lang w:val="en-GB"/>
    </w:rPr>
  </w:style>
  <w:style w:type="paragraph" w:styleId="a9">
    <w:name w:val="List Paragraph"/>
    <w:basedOn w:val="a"/>
    <w:uiPriority w:val="34"/>
    <w:qFormat/>
    <w:rsid w:val="00B43CC7"/>
    <w:pPr>
      <w:ind w:left="720"/>
      <w:contextualSpacing/>
    </w:pPr>
  </w:style>
  <w:style w:type="character" w:styleId="aa">
    <w:name w:val="Intense Emphasis"/>
    <w:basedOn w:val="a0"/>
    <w:uiPriority w:val="21"/>
    <w:qFormat/>
    <w:rsid w:val="00B43CC7"/>
    <w:rPr>
      <w:i/>
      <w:iCs/>
      <w:color w:val="2F5496" w:themeColor="accent1" w:themeShade="BF"/>
    </w:rPr>
  </w:style>
  <w:style w:type="paragraph" w:styleId="ab">
    <w:name w:val="Intense Quote"/>
    <w:basedOn w:val="a"/>
    <w:next w:val="a"/>
    <w:link w:val="ac"/>
    <w:uiPriority w:val="30"/>
    <w:qFormat/>
    <w:rsid w:val="00B43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43CC7"/>
    <w:rPr>
      <w:i/>
      <w:iCs/>
      <w:color w:val="2F5496" w:themeColor="accent1" w:themeShade="BF"/>
      <w:lang w:val="en-GB"/>
    </w:rPr>
  </w:style>
  <w:style w:type="character" w:styleId="ad">
    <w:name w:val="Intense Reference"/>
    <w:basedOn w:val="a0"/>
    <w:uiPriority w:val="32"/>
    <w:qFormat/>
    <w:rsid w:val="00B43CC7"/>
    <w:rPr>
      <w:b/>
      <w:bCs/>
      <w:smallCaps/>
      <w:color w:val="2F5496" w:themeColor="accent1" w:themeShade="BF"/>
      <w:spacing w:val="5"/>
    </w:rPr>
  </w:style>
  <w:style w:type="table" w:styleId="ae">
    <w:name w:val="Table Grid"/>
    <w:basedOn w:val="a1"/>
    <w:uiPriority w:val="39"/>
    <w:rsid w:val="00B64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C076F"/>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2C076F"/>
    <w:rPr>
      <w:sz w:val="18"/>
      <w:szCs w:val="18"/>
      <w:lang w:val="en-GB"/>
    </w:rPr>
  </w:style>
  <w:style w:type="paragraph" w:styleId="af1">
    <w:name w:val="footer"/>
    <w:basedOn w:val="a"/>
    <w:link w:val="af2"/>
    <w:uiPriority w:val="99"/>
    <w:unhideWhenUsed/>
    <w:rsid w:val="002C076F"/>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2C076F"/>
    <w:rPr>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6763D-A151-164B-8492-5D988695D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4615</Words>
  <Characters>26308</Characters>
  <Application>Microsoft Office Word</Application>
  <DocSecurity>0</DocSecurity>
  <Lines>219</Lines>
  <Paragraphs>61</Paragraphs>
  <ScaleCrop>false</ScaleCrop>
  <Company/>
  <LinksUpToDate>false</LinksUpToDate>
  <CharactersWithSpaces>30862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韩</dc:creator>
  <cp:keywords/>
  <dc:description/>
  <cp:lastModifiedBy>Editor</cp:lastModifiedBy>
  <cp:revision>41</cp:revision>
  <dcterms:created xsi:type="dcterms:W3CDTF">2026-05-16T02:19:00Z</dcterms:created>
  <dcterms:modified xsi:type="dcterms:W3CDTF">2026-08-13T09:56:00Z</dcterms:modified>
</cp:coreProperties>
</file>