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F7C4" w14:textId="7CB92074" w:rsidR="001D064C" w:rsidRDefault="001D064C" w:rsidP="00D81EAB">
      <w:pPr>
        <w:rPr>
          <w:rFonts w:ascii="Times New Roman" w:hAnsi="Times New Roman" w:cs="Times New Roman"/>
          <w:b/>
          <w:bCs/>
          <w:szCs w:val="21"/>
        </w:rPr>
      </w:pPr>
      <w:r w:rsidRPr="007963C4">
        <w:rPr>
          <w:rFonts w:ascii="Times New Roman" w:hAnsi="Times New Roman" w:cs="Times New Roman"/>
          <w:b/>
          <w:bCs/>
          <w:szCs w:val="21"/>
        </w:rPr>
        <w:t>Supplementary Table S1</w:t>
      </w:r>
      <w:r w:rsidR="00D81EAB">
        <w:rPr>
          <w:rFonts w:ascii="Times New Roman" w:hAnsi="Times New Roman" w:cs="Times New Roman" w:hint="eastAsia"/>
          <w:b/>
          <w:bCs/>
          <w:szCs w:val="21"/>
        </w:rPr>
        <w:t>.</w:t>
      </w:r>
      <w:r w:rsidRPr="007963C4">
        <w:rPr>
          <w:rFonts w:ascii="Times New Roman" w:hAnsi="Times New Roman" w:cs="Times New Roman"/>
          <w:b/>
          <w:bCs/>
          <w:szCs w:val="21"/>
        </w:rPr>
        <w:t xml:space="preserve"> Literature Search Architecture and Screening Breakdown</w:t>
      </w:r>
    </w:p>
    <w:p w14:paraId="76CDB3F4" w14:textId="77777777" w:rsidR="00D81EAB" w:rsidRPr="007963C4" w:rsidRDefault="00D81EAB" w:rsidP="00D81EAB">
      <w:pPr>
        <w:rPr>
          <w:rFonts w:ascii="Times New Roman" w:hAnsi="Times New Roman" w:cs="Times New Roman" w:hint="eastAsia"/>
          <w:b/>
          <w:bCs/>
          <w:szCs w:val="21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00"/>
        <w:gridCol w:w="6496"/>
      </w:tblGrid>
      <w:tr w:rsidR="001D064C" w:rsidRPr="007963C4" w14:paraId="302E20FB" w14:textId="77777777" w:rsidTr="00D81EAB">
        <w:tc>
          <w:tcPr>
            <w:tcW w:w="1085" w:type="pct"/>
            <w:hideMark/>
          </w:tcPr>
          <w:p w14:paraId="02F4EB81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Parameter</w:t>
            </w:r>
          </w:p>
        </w:tc>
        <w:tc>
          <w:tcPr>
            <w:tcW w:w="3915" w:type="pct"/>
            <w:hideMark/>
          </w:tcPr>
          <w:p w14:paraId="08FB6A6A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Details and Specifications</w:t>
            </w:r>
          </w:p>
        </w:tc>
      </w:tr>
      <w:tr w:rsidR="001D064C" w:rsidRPr="007963C4" w14:paraId="1AF2B726" w14:textId="77777777" w:rsidTr="00D81EAB">
        <w:tc>
          <w:tcPr>
            <w:tcW w:w="1085" w:type="pct"/>
            <w:hideMark/>
          </w:tcPr>
          <w:p w14:paraId="74B3F7B1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Databases Searched</w:t>
            </w:r>
          </w:p>
        </w:tc>
        <w:tc>
          <w:tcPr>
            <w:tcW w:w="3915" w:type="pct"/>
            <w:hideMark/>
          </w:tcPr>
          <w:p w14:paraId="37322CF0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PubMed, Embase, The Cochrane Library, and China Biomedical Literature Database (CBM). </w:t>
            </w:r>
          </w:p>
        </w:tc>
      </w:tr>
      <w:tr w:rsidR="001D064C" w:rsidRPr="007963C4" w14:paraId="1AD2399B" w14:textId="77777777" w:rsidTr="00D81EAB">
        <w:tc>
          <w:tcPr>
            <w:tcW w:w="1085" w:type="pct"/>
            <w:hideMark/>
          </w:tcPr>
          <w:p w14:paraId="6C68FCFA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Search Period</w:t>
            </w:r>
          </w:p>
        </w:tc>
        <w:tc>
          <w:tcPr>
            <w:tcW w:w="3915" w:type="pct"/>
            <w:hideMark/>
          </w:tcPr>
          <w:p w14:paraId="12BDEA4D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From the respective inception of each database up to </w:t>
            </w: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April 2026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. </w:t>
            </w:r>
          </w:p>
        </w:tc>
      </w:tr>
      <w:tr w:rsidR="001D064C" w:rsidRPr="007963C4" w14:paraId="4C62E108" w14:textId="77777777" w:rsidTr="00D81EAB">
        <w:tc>
          <w:tcPr>
            <w:tcW w:w="1085" w:type="pct"/>
            <w:hideMark/>
          </w:tcPr>
          <w:p w14:paraId="0DF8BA8A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Search Terms (English)</w:t>
            </w:r>
          </w:p>
        </w:tc>
        <w:tc>
          <w:tcPr>
            <w:tcW w:w="3915" w:type="pct"/>
            <w:hideMark/>
          </w:tcPr>
          <w:p w14:paraId="1A1901B3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>("Heart-Assist Devices"[Mesh] OR "Left Ventricular Assist Device*" OR "LVAD" OR "Mechanical Circulatory Support" OR "Durable MCS") AND ("Anesthesia"[Mesh] OR "Perioperative Care"[Mesh] OR "Intraoperative Management" OR "Hemodynamic Monitoring" OR "Blood Conservation" OR "Right Heart Failure" OR "Echocardiography, Transesophageal").</w:t>
            </w:r>
          </w:p>
        </w:tc>
      </w:tr>
      <w:tr w:rsidR="001D064C" w:rsidRPr="007963C4" w14:paraId="38551E6E" w14:textId="77777777" w:rsidTr="00D81EAB">
        <w:tc>
          <w:tcPr>
            <w:tcW w:w="1085" w:type="pct"/>
            <w:hideMark/>
          </w:tcPr>
          <w:p w14:paraId="085FC1CE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Search Terms (Chinese/CBM)</w:t>
            </w:r>
          </w:p>
        </w:tc>
        <w:tc>
          <w:tcPr>
            <w:tcW w:w="3915" w:type="pct"/>
            <w:hideMark/>
          </w:tcPr>
          <w:p w14:paraId="5C9AC3C4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>(</w:t>
            </w:r>
            <w:r w:rsidRPr="007963C4">
              <w:rPr>
                <w:rFonts w:ascii="Times New Roman" w:hAnsi="Times New Roman" w:cs="Times New Roman"/>
                <w:szCs w:val="21"/>
              </w:rPr>
              <w:t>左心室辅助装置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心室辅助系统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LVAD OR </w:t>
            </w:r>
            <w:r w:rsidRPr="007963C4">
              <w:rPr>
                <w:rFonts w:ascii="Times New Roman" w:hAnsi="Times New Roman" w:cs="Times New Roman"/>
                <w:szCs w:val="21"/>
              </w:rPr>
              <w:t>人工心脏</w:t>
            </w:r>
            <w:r w:rsidRPr="007963C4">
              <w:rPr>
                <w:rFonts w:ascii="Times New Roman" w:hAnsi="Times New Roman" w:cs="Times New Roman"/>
                <w:szCs w:val="21"/>
              </w:rPr>
              <w:t>) AND (</w:t>
            </w:r>
            <w:r w:rsidRPr="007963C4">
              <w:rPr>
                <w:rFonts w:ascii="Times New Roman" w:hAnsi="Times New Roman" w:cs="Times New Roman"/>
                <w:szCs w:val="21"/>
              </w:rPr>
              <w:t>麻醉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围术期管理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术中监测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血流动力学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血液保护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右心衰竭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 OR </w:t>
            </w:r>
            <w:r w:rsidRPr="007963C4">
              <w:rPr>
                <w:rFonts w:ascii="Times New Roman" w:hAnsi="Times New Roman" w:cs="Times New Roman"/>
                <w:szCs w:val="21"/>
              </w:rPr>
              <w:t>经食管超声心动图</w:t>
            </w:r>
            <w:r w:rsidRPr="007963C4">
              <w:rPr>
                <w:rFonts w:ascii="Times New Roman" w:hAnsi="Times New Roman" w:cs="Times New Roman"/>
                <w:szCs w:val="21"/>
              </w:rPr>
              <w:t>).</w:t>
            </w:r>
          </w:p>
        </w:tc>
      </w:tr>
      <w:tr w:rsidR="001D064C" w:rsidRPr="007963C4" w14:paraId="4D1F949E" w14:textId="77777777" w:rsidTr="00D81EAB">
        <w:tc>
          <w:tcPr>
            <w:tcW w:w="1085" w:type="pct"/>
            <w:hideMark/>
          </w:tcPr>
          <w:p w14:paraId="347D2ED7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Inclusion Criteria</w:t>
            </w:r>
          </w:p>
        </w:tc>
        <w:tc>
          <w:tcPr>
            <w:tcW w:w="3915" w:type="pct"/>
            <w:hideMark/>
          </w:tcPr>
          <w:p w14:paraId="1AAC4AC0" w14:textId="3371D233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(1) Studies focusing on adult patients undergoing durable left ventricular assist device (LVAD) implantation; </w:t>
            </w:r>
          </w:p>
          <w:p w14:paraId="7B101139" w14:textId="14472B3E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(2) Relevant study designs: systematic reviews/meta-analyses, randomized controlled trials (RCTs), prospective/retrospective cohort studies, case-control studies, and epidemiological surveys; </w:t>
            </w:r>
          </w:p>
          <w:p w14:paraId="3271A6FA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(3) Official guidelines/consensus declarations from international/domestic professional societies (e.g., ISHLT, AHA, EACTS, STS). </w:t>
            </w:r>
          </w:p>
        </w:tc>
      </w:tr>
      <w:tr w:rsidR="001D064C" w:rsidRPr="007963C4" w14:paraId="0E3C4CE0" w14:textId="77777777" w:rsidTr="00D81EAB">
        <w:tc>
          <w:tcPr>
            <w:tcW w:w="1085" w:type="pct"/>
            <w:hideMark/>
          </w:tcPr>
          <w:p w14:paraId="4F955C65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Exclusion Criteria</w:t>
            </w:r>
          </w:p>
        </w:tc>
        <w:tc>
          <w:tcPr>
            <w:tcW w:w="3915" w:type="pct"/>
            <w:hideMark/>
          </w:tcPr>
          <w:p w14:paraId="031861BC" w14:textId="3FFF2A73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(1) Isolated temporary MCS (e.g., ECMO, Impella, IABP) outside the context of durable LVAD perioperative weaning/management; </w:t>
            </w:r>
          </w:p>
          <w:p w14:paraId="567CEE00" w14:textId="641413DC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>(2) Pediatric populations;</w:t>
            </w:r>
          </w:p>
          <w:p w14:paraId="11C3590F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>(3) Non-peer-reviewed abstracts, editorials, or redundant duplicate registries.</w:t>
            </w:r>
          </w:p>
        </w:tc>
      </w:tr>
      <w:tr w:rsidR="001D064C" w:rsidRPr="007963C4" w14:paraId="738F789C" w14:textId="77777777" w:rsidTr="00D81EAB">
        <w:tc>
          <w:tcPr>
            <w:tcW w:w="1085" w:type="pct"/>
            <w:hideMark/>
          </w:tcPr>
          <w:p w14:paraId="3A5DD83C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Screening Process</w:t>
            </w:r>
          </w:p>
        </w:tc>
        <w:tc>
          <w:tcPr>
            <w:tcW w:w="3915" w:type="pct"/>
            <w:hideMark/>
          </w:tcPr>
          <w:p w14:paraId="3D3D4BBD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Double-independent screening protocol: two researchers independently reviewed titles, abstracts, and full texts to determine inclusion; discrepancies resolved via steering committee adjudication. </w:t>
            </w:r>
          </w:p>
        </w:tc>
      </w:tr>
      <w:tr w:rsidR="001D064C" w:rsidRPr="007963C4" w14:paraId="3E2B1035" w14:textId="77777777" w:rsidTr="00D81EAB">
        <w:tc>
          <w:tcPr>
            <w:tcW w:w="1085" w:type="pct"/>
            <w:hideMark/>
          </w:tcPr>
          <w:p w14:paraId="6212E88A" w14:textId="77777777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Screening Numbers</w:t>
            </w:r>
          </w:p>
        </w:tc>
        <w:tc>
          <w:tcPr>
            <w:tcW w:w="3915" w:type="pct"/>
            <w:hideMark/>
          </w:tcPr>
          <w:p w14:paraId="7FA40874" w14:textId="5F676B6B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• </w:t>
            </w: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Initial Records Identified</w:t>
            </w:r>
            <w:r w:rsidRPr="007963C4">
              <w:rPr>
                <w:rFonts w:ascii="Times New Roman" w:hAnsi="Times New Roman" w:cs="Times New Roman"/>
                <w:szCs w:val="21"/>
              </w:rPr>
              <w:t>: 1,482 (PubMed: 524, Embase: 618, Cochrane: 72, CBM: 268)</w:t>
            </w:r>
          </w:p>
          <w:p w14:paraId="3E488769" w14:textId="56B1A5C9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• </w:t>
            </w: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Duplicates Removed</w:t>
            </w:r>
            <w:r w:rsidRPr="007963C4">
              <w:rPr>
                <w:rFonts w:ascii="Times New Roman" w:hAnsi="Times New Roman" w:cs="Times New Roman"/>
                <w:szCs w:val="21"/>
              </w:rPr>
              <w:t>: 412</w:t>
            </w:r>
          </w:p>
          <w:p w14:paraId="5D44613F" w14:textId="30ED8BAD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• </w:t>
            </w: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Records Screened (Title/Abstract)</w:t>
            </w:r>
            <w:r w:rsidRPr="007963C4">
              <w:rPr>
                <w:rFonts w:ascii="Times New Roman" w:hAnsi="Times New Roman" w:cs="Times New Roman"/>
                <w:szCs w:val="21"/>
              </w:rPr>
              <w:t>: 1,070</w:t>
            </w:r>
          </w:p>
          <w:p w14:paraId="566DFD89" w14:textId="38AB43A5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• </w:t>
            </w: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Full-Text Articles Assessed</w:t>
            </w:r>
            <w:r w:rsidRPr="007963C4">
              <w:rPr>
                <w:rFonts w:ascii="Times New Roman" w:hAnsi="Times New Roman" w:cs="Times New Roman"/>
                <w:szCs w:val="21"/>
              </w:rPr>
              <w:t>: 146</w:t>
            </w:r>
          </w:p>
          <w:p w14:paraId="54A44D01" w14:textId="2127D9E3" w:rsidR="001D064C" w:rsidRPr="007963C4" w:rsidRDefault="001D064C" w:rsidP="001D064C">
            <w:pPr>
              <w:rPr>
                <w:rFonts w:ascii="Times New Roman" w:hAnsi="Times New Roman" w:cs="Times New Roman"/>
                <w:szCs w:val="21"/>
              </w:rPr>
            </w:pPr>
            <w:r w:rsidRPr="007963C4">
              <w:rPr>
                <w:rFonts w:ascii="Times New Roman" w:hAnsi="Times New Roman" w:cs="Times New Roman"/>
                <w:szCs w:val="21"/>
              </w:rPr>
              <w:t xml:space="preserve">• </w:t>
            </w:r>
            <w:r w:rsidRPr="007963C4">
              <w:rPr>
                <w:rFonts w:ascii="Times New Roman" w:hAnsi="Times New Roman" w:cs="Times New Roman"/>
                <w:b/>
                <w:bCs/>
                <w:szCs w:val="21"/>
              </w:rPr>
              <w:t>Studies Included in Final Synthesis</w:t>
            </w:r>
            <w:r w:rsidRPr="007963C4">
              <w:rPr>
                <w:rFonts w:ascii="Times New Roman" w:hAnsi="Times New Roman" w:cs="Times New Roman"/>
                <w:szCs w:val="21"/>
              </w:rPr>
              <w:t xml:space="preserve">: 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963C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</w:tbl>
    <w:p w14:paraId="17A906B1" w14:textId="596D1283" w:rsidR="00D71804" w:rsidRPr="007963C4" w:rsidRDefault="00D81EAB" w:rsidP="00D81EAB">
      <w:pPr>
        <w:widowControl/>
        <w:jc w:val="left"/>
        <w:rPr>
          <w:rFonts w:ascii="Times New Roman" w:hAnsi="Times New Roman" w:cs="Times New Roman" w:hint="eastAsia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85F6C29" w14:textId="651EEFFC" w:rsidR="007B4F85" w:rsidRPr="007B4F85" w:rsidRDefault="00D81EAB" w:rsidP="00D81EAB">
      <w:pPr>
        <w:rPr>
          <w:rFonts w:ascii="Times New Roman" w:hAnsi="Times New Roman" w:cs="Times New Roman"/>
          <w:b/>
          <w:bCs/>
          <w:szCs w:val="21"/>
        </w:rPr>
      </w:pPr>
      <w:r w:rsidRPr="007963C4">
        <w:rPr>
          <w:rFonts w:ascii="Times New Roman" w:hAnsi="Times New Roman" w:cs="Times New Roman"/>
          <w:b/>
          <w:bCs/>
          <w:szCs w:val="21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2. </w:t>
      </w:r>
      <w:r w:rsidR="007B4F85" w:rsidRPr="007B4F85">
        <w:rPr>
          <w:rFonts w:ascii="Times New Roman" w:hAnsi="Times New Roman" w:cs="Times New Roman"/>
          <w:b/>
          <w:bCs/>
          <w:szCs w:val="21"/>
        </w:rPr>
        <w:t>Delphi Round Consensus Voting Matrix &amp; Breakdown of Dissent</w:t>
      </w:r>
    </w:p>
    <w:p w14:paraId="1FC528FA" w14:textId="6BAEA2C4" w:rsidR="007B4F85" w:rsidRPr="007B4F85" w:rsidRDefault="007B4F85" w:rsidP="007B4F85">
      <w:pPr>
        <w:rPr>
          <w:rFonts w:ascii="Times New Roman" w:hAnsi="Times New Roman" w:cs="Times New Roman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5"/>
        <w:gridCol w:w="1872"/>
        <w:gridCol w:w="1249"/>
        <w:gridCol w:w="1033"/>
        <w:gridCol w:w="1180"/>
        <w:gridCol w:w="2397"/>
      </w:tblGrid>
      <w:tr w:rsidR="007B4F85" w:rsidRPr="007B4F85" w14:paraId="4EBAEC0D" w14:textId="77777777" w:rsidTr="00D81EAB">
        <w:tc>
          <w:tcPr>
            <w:tcW w:w="0" w:type="auto"/>
            <w:hideMark/>
          </w:tcPr>
          <w:p w14:paraId="69C1CE9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Rec No.</w:t>
            </w:r>
          </w:p>
        </w:tc>
        <w:tc>
          <w:tcPr>
            <w:tcW w:w="0" w:type="auto"/>
            <w:hideMark/>
          </w:tcPr>
          <w:p w14:paraId="4B206E6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Recommendation Scope</w:t>
            </w:r>
          </w:p>
        </w:tc>
        <w:tc>
          <w:tcPr>
            <w:tcW w:w="0" w:type="auto"/>
            <w:hideMark/>
          </w:tcPr>
          <w:p w14:paraId="36380138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GRADE Strength / Quality</w:t>
            </w:r>
          </w:p>
        </w:tc>
        <w:tc>
          <w:tcPr>
            <w:tcW w:w="0" w:type="auto"/>
            <w:hideMark/>
          </w:tcPr>
          <w:p w14:paraId="1D9383B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Approve / Total (%)</w:t>
            </w:r>
          </w:p>
        </w:tc>
        <w:tc>
          <w:tcPr>
            <w:tcW w:w="0" w:type="auto"/>
            <w:hideMark/>
          </w:tcPr>
          <w:p w14:paraId="3F31743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Dissent (Disagree) Votes (%)</w:t>
            </w:r>
          </w:p>
        </w:tc>
        <w:tc>
          <w:tcPr>
            <w:tcW w:w="0" w:type="auto"/>
            <w:hideMark/>
          </w:tcPr>
          <w:p w14:paraId="67449FF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Panelist Comments &amp; Committee Resolutions</w:t>
            </w:r>
          </w:p>
        </w:tc>
      </w:tr>
      <w:tr w:rsidR="007B4F85" w:rsidRPr="007B4F85" w14:paraId="703C928F" w14:textId="77777777" w:rsidTr="00D81EAB">
        <w:tc>
          <w:tcPr>
            <w:tcW w:w="0" w:type="auto"/>
            <w:hideMark/>
          </w:tcPr>
          <w:p w14:paraId="73FE969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0" w:type="auto"/>
            <w:hideMark/>
          </w:tcPr>
          <w:p w14:paraId="08E355C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BTT/BTC Intent Indications </w:t>
            </w:r>
          </w:p>
        </w:tc>
        <w:tc>
          <w:tcPr>
            <w:tcW w:w="0" w:type="auto"/>
            <w:hideMark/>
          </w:tcPr>
          <w:p w14:paraId="145F6F9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A </w:t>
            </w:r>
          </w:p>
        </w:tc>
        <w:tc>
          <w:tcPr>
            <w:tcW w:w="0" w:type="auto"/>
            <w:hideMark/>
          </w:tcPr>
          <w:p w14:paraId="2C47DC3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</w:t>
            </w: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100%</w:t>
            </w:r>
            <w:r w:rsidRPr="007B4F8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14:paraId="5BD7782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</w:t>
            </w: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0%</w:t>
            </w:r>
            <w:r w:rsidRPr="007B4F8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14:paraId="7429520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unanimously. Wording updated to incorporate the most recent 2025/2026 STS INTERMACS Registry data for survival updates. </w:t>
            </w:r>
          </w:p>
        </w:tc>
      </w:tr>
      <w:tr w:rsidR="007B4F85" w:rsidRPr="007B4F85" w14:paraId="3D750F1C" w14:textId="77777777" w:rsidTr="00D81EAB">
        <w:tc>
          <w:tcPr>
            <w:tcW w:w="0" w:type="auto"/>
            <w:hideMark/>
          </w:tcPr>
          <w:p w14:paraId="5ECF64D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555BA348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Destination Therapy (DT) Intent </w:t>
            </w:r>
          </w:p>
        </w:tc>
        <w:tc>
          <w:tcPr>
            <w:tcW w:w="0" w:type="auto"/>
            <w:hideMark/>
          </w:tcPr>
          <w:p w14:paraId="3793D69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A </w:t>
            </w:r>
          </w:p>
        </w:tc>
        <w:tc>
          <w:tcPr>
            <w:tcW w:w="0" w:type="auto"/>
            <w:hideMark/>
          </w:tcPr>
          <w:p w14:paraId="3D9BA1F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16A05A8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20BE3E9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text refined to clarify patient flow transitions. </w:t>
            </w:r>
          </w:p>
        </w:tc>
      </w:tr>
      <w:tr w:rsidR="007B4F85" w:rsidRPr="007B4F85" w14:paraId="3BA7F97D" w14:textId="77777777" w:rsidTr="00D81EAB">
        <w:tc>
          <w:tcPr>
            <w:tcW w:w="0" w:type="auto"/>
            <w:hideMark/>
          </w:tcPr>
          <w:p w14:paraId="4ED18B9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57E5520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Bridge to Recovery (BTR) Pathway </w:t>
            </w:r>
          </w:p>
        </w:tc>
        <w:tc>
          <w:tcPr>
            <w:tcW w:w="0" w:type="auto"/>
            <w:hideMark/>
          </w:tcPr>
          <w:p w14:paraId="1388FADD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090CB0B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46E48B2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48BAA71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narrowed the primary target population to early-onset non-ischemic cardiomyopathy. </w:t>
            </w:r>
          </w:p>
        </w:tc>
      </w:tr>
      <w:tr w:rsidR="007B4F85" w:rsidRPr="007B4F85" w14:paraId="1F061EC6" w14:textId="77777777" w:rsidTr="00D81EAB">
        <w:tc>
          <w:tcPr>
            <w:tcW w:w="0" w:type="auto"/>
            <w:hideMark/>
          </w:tcPr>
          <w:p w14:paraId="361B00B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14:paraId="44F7FB5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INTERMACS Profiles 1–3 </w:t>
            </w:r>
          </w:p>
        </w:tc>
        <w:tc>
          <w:tcPr>
            <w:tcW w:w="0" w:type="auto"/>
            <w:hideMark/>
          </w:tcPr>
          <w:p w14:paraId="7872510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A </w:t>
            </w:r>
          </w:p>
        </w:tc>
        <w:tc>
          <w:tcPr>
            <w:tcW w:w="0" w:type="auto"/>
            <w:hideMark/>
          </w:tcPr>
          <w:p w14:paraId="549AA51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4BBC952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1CB3210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Wording optimized to emphasize clear operational language and survival benefits. </w:t>
            </w:r>
          </w:p>
        </w:tc>
      </w:tr>
      <w:tr w:rsidR="007B4F85" w:rsidRPr="007B4F85" w14:paraId="07FF9C4D" w14:textId="77777777" w:rsidTr="00D81EAB">
        <w:tc>
          <w:tcPr>
            <w:tcW w:w="0" w:type="auto"/>
            <w:hideMark/>
          </w:tcPr>
          <w:p w14:paraId="48D74BA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067D0DB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INTERMACS Profile 4 </w:t>
            </w:r>
          </w:p>
        </w:tc>
        <w:tc>
          <w:tcPr>
            <w:tcW w:w="0" w:type="auto"/>
            <w:hideMark/>
          </w:tcPr>
          <w:p w14:paraId="0684287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1710D77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7C26A43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7177478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 dissents. </w:t>
            </w:r>
          </w:p>
        </w:tc>
      </w:tr>
      <w:tr w:rsidR="007B4F85" w:rsidRPr="007B4F85" w14:paraId="202A10AA" w14:textId="77777777" w:rsidTr="00D81EAB">
        <w:tc>
          <w:tcPr>
            <w:tcW w:w="0" w:type="auto"/>
            <w:hideMark/>
          </w:tcPr>
          <w:p w14:paraId="741BE77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6D8CF5C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INTERMACS Profiles 5–7 </w:t>
            </w:r>
          </w:p>
        </w:tc>
        <w:tc>
          <w:tcPr>
            <w:tcW w:w="0" w:type="auto"/>
            <w:hideMark/>
          </w:tcPr>
          <w:p w14:paraId="53BEFE0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61237DA6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29982ADD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4DB126C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noted that routine device placement is not supported by current evidence. </w:t>
            </w:r>
          </w:p>
        </w:tc>
      </w:tr>
      <w:tr w:rsidR="007B4F85" w:rsidRPr="007B4F85" w14:paraId="5E7E3301" w14:textId="77777777" w:rsidTr="00D81EAB">
        <w:tc>
          <w:tcPr>
            <w:tcW w:w="0" w:type="auto"/>
            <w:hideMark/>
          </w:tcPr>
          <w:p w14:paraId="08CE1836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14:paraId="658389E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Multidisciplinary Preop Evaluation </w:t>
            </w:r>
          </w:p>
        </w:tc>
        <w:tc>
          <w:tcPr>
            <w:tcW w:w="0" w:type="auto"/>
            <w:hideMark/>
          </w:tcPr>
          <w:p w14:paraId="024E95A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GPS / — </w:t>
            </w:r>
          </w:p>
        </w:tc>
        <w:tc>
          <w:tcPr>
            <w:tcW w:w="0" w:type="auto"/>
            <w:hideMark/>
          </w:tcPr>
          <w:p w14:paraId="1BCED6C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69120D8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749DA2D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clarified that GPS tracks require no universal laboratory cutoff grading. </w:t>
            </w:r>
          </w:p>
        </w:tc>
      </w:tr>
      <w:tr w:rsidR="007B4F85" w:rsidRPr="007B4F85" w14:paraId="3C46AF9B" w14:textId="77777777" w:rsidTr="00D81EAB">
        <w:tc>
          <w:tcPr>
            <w:tcW w:w="0" w:type="auto"/>
            <w:hideMark/>
          </w:tcPr>
          <w:p w14:paraId="2A77A01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4A44FCA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Preoperative Right Heart Catheterization </w:t>
            </w:r>
          </w:p>
        </w:tc>
        <w:tc>
          <w:tcPr>
            <w:tcW w:w="0" w:type="auto"/>
            <w:hideMark/>
          </w:tcPr>
          <w:p w14:paraId="539C6C67" w14:textId="44A331DF" w:rsidR="007B4F85" w:rsidRPr="007B4F85" w:rsidRDefault="006F6D24" w:rsidP="007B4F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GP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7B4F85" w:rsidRPr="007B4F85">
              <w:rPr>
                <w:rFonts w:ascii="Times New Roman" w:hAnsi="Times New Roman" w:cs="Times New Roman"/>
                <w:szCs w:val="21"/>
              </w:rPr>
              <w:t xml:space="preserve"> /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—</w:t>
            </w:r>
            <w:r w:rsidR="007B4F85"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32F782E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5C66EAA8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7345151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 dissents. </w:t>
            </w:r>
          </w:p>
        </w:tc>
      </w:tr>
      <w:tr w:rsidR="007B4F85" w:rsidRPr="007B4F85" w14:paraId="40B391DF" w14:textId="77777777" w:rsidTr="00D81EAB">
        <w:tc>
          <w:tcPr>
            <w:tcW w:w="0" w:type="auto"/>
            <w:hideMark/>
          </w:tcPr>
          <w:p w14:paraId="7ECB933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62DB90E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Preoperative Post-LVAD RHF Risk Scoring </w:t>
            </w:r>
          </w:p>
        </w:tc>
        <w:tc>
          <w:tcPr>
            <w:tcW w:w="0" w:type="auto"/>
            <w:hideMark/>
          </w:tcPr>
          <w:p w14:paraId="1C51D0C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GPS / — </w:t>
            </w:r>
          </w:p>
        </w:tc>
        <w:tc>
          <w:tcPr>
            <w:tcW w:w="0" w:type="auto"/>
            <w:hideMark/>
          </w:tcPr>
          <w:p w14:paraId="09C3D96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3978469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5638161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 dissents. </w:t>
            </w:r>
          </w:p>
        </w:tc>
      </w:tr>
      <w:tr w:rsidR="007B4F85" w:rsidRPr="007B4F85" w14:paraId="1BFE02AD" w14:textId="77777777" w:rsidTr="00D81EAB">
        <w:tc>
          <w:tcPr>
            <w:tcW w:w="0" w:type="auto"/>
            <w:hideMark/>
          </w:tcPr>
          <w:p w14:paraId="43EFEFF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0" w:type="auto"/>
            <w:hideMark/>
          </w:tcPr>
          <w:p w14:paraId="66D62D1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Preoperative Invasive Optimization of RV </w:t>
            </w:r>
          </w:p>
        </w:tc>
        <w:tc>
          <w:tcPr>
            <w:tcW w:w="0" w:type="auto"/>
            <w:hideMark/>
          </w:tcPr>
          <w:p w14:paraId="418D0BC6" w14:textId="48CCD992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5B096FC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38 / 40 (95.00%)</w:t>
            </w:r>
          </w:p>
        </w:tc>
        <w:tc>
          <w:tcPr>
            <w:tcW w:w="0" w:type="auto"/>
            <w:hideMark/>
          </w:tcPr>
          <w:p w14:paraId="14126F7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224A6B2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No dissents. 2 panel members abstained due to wording choices; "dialysis" was formally </w:t>
            </w:r>
            <w:r w:rsidRPr="007B4F85">
              <w:rPr>
                <w:rFonts w:ascii="Times New Roman" w:hAnsi="Times New Roman" w:cs="Times New Roman"/>
                <w:szCs w:val="21"/>
              </w:rPr>
              <w:lastRenderedPageBreak/>
              <w:t xml:space="preserve">updated to "Continuous Renal Replacement Therapy (CRRT)" for clinical accuracy. </w:t>
            </w:r>
          </w:p>
        </w:tc>
      </w:tr>
      <w:tr w:rsidR="007B4F85" w:rsidRPr="007B4F85" w14:paraId="11A213A9" w14:textId="77777777" w:rsidTr="00D81EAB">
        <w:tc>
          <w:tcPr>
            <w:tcW w:w="0" w:type="auto"/>
            <w:hideMark/>
          </w:tcPr>
          <w:p w14:paraId="7AB9673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35B95D9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Vascular Access (PAC, Central Line, etc.) </w:t>
            </w:r>
          </w:p>
        </w:tc>
        <w:tc>
          <w:tcPr>
            <w:tcW w:w="0" w:type="auto"/>
            <w:hideMark/>
          </w:tcPr>
          <w:p w14:paraId="2347E46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GPS / — </w:t>
            </w:r>
          </w:p>
        </w:tc>
        <w:tc>
          <w:tcPr>
            <w:tcW w:w="0" w:type="auto"/>
            <w:hideMark/>
          </w:tcPr>
          <w:p w14:paraId="181179D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39 / 40 (97.50%)</w:t>
            </w:r>
          </w:p>
        </w:tc>
        <w:tc>
          <w:tcPr>
            <w:tcW w:w="0" w:type="auto"/>
            <w:hideMark/>
          </w:tcPr>
          <w:p w14:paraId="717BF8B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3C011C2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No dissents. 1 panelist abstained and requested clarification regarding simultaneous placement; text amended to mandate all mentioned access points. </w:t>
            </w:r>
          </w:p>
        </w:tc>
      </w:tr>
      <w:tr w:rsidR="007B4F85" w:rsidRPr="007B4F85" w14:paraId="70D8108D" w14:textId="77777777" w:rsidTr="00D81EAB">
        <w:tc>
          <w:tcPr>
            <w:tcW w:w="0" w:type="auto"/>
            <w:hideMark/>
          </w:tcPr>
          <w:p w14:paraId="11D8E7C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4941802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Cerebral Oximetry (NIRS) Monitoring </w:t>
            </w:r>
          </w:p>
        </w:tc>
        <w:tc>
          <w:tcPr>
            <w:tcW w:w="0" w:type="auto"/>
            <w:hideMark/>
          </w:tcPr>
          <w:p w14:paraId="70DE72D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20E7B88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39 / 40 (97.50%)</w:t>
            </w:r>
          </w:p>
        </w:tc>
        <w:tc>
          <w:tcPr>
            <w:tcW w:w="0" w:type="auto"/>
            <w:hideMark/>
          </w:tcPr>
          <w:p w14:paraId="749F15F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1619A4E8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Approved; 1 panelist abstained, noting that no Level A evidence currently supports it specifically for LVADs. </w:t>
            </w:r>
          </w:p>
        </w:tc>
      </w:tr>
      <w:tr w:rsidR="007B4F85" w:rsidRPr="007B4F85" w14:paraId="7D482D19" w14:textId="77777777" w:rsidTr="00D81EAB">
        <w:tc>
          <w:tcPr>
            <w:tcW w:w="0" w:type="auto"/>
            <w:hideMark/>
          </w:tcPr>
          <w:p w14:paraId="2BFFDAE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0" w:type="auto"/>
            <w:hideMark/>
          </w:tcPr>
          <w:p w14:paraId="117C7B5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Pacemaker and ICD Reprogramming </w:t>
            </w:r>
          </w:p>
        </w:tc>
        <w:tc>
          <w:tcPr>
            <w:tcW w:w="0" w:type="auto"/>
            <w:hideMark/>
          </w:tcPr>
          <w:p w14:paraId="6F94D31B" w14:textId="381407FE" w:rsidR="007B4F85" w:rsidRPr="007B4F85" w:rsidRDefault="004F3D22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GPS / — </w:t>
            </w:r>
          </w:p>
        </w:tc>
        <w:tc>
          <w:tcPr>
            <w:tcW w:w="0" w:type="auto"/>
            <w:hideMark/>
          </w:tcPr>
          <w:p w14:paraId="3B73A17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5E06AA1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40B866A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 dissents. </w:t>
            </w:r>
          </w:p>
        </w:tc>
      </w:tr>
      <w:tr w:rsidR="007B4F85" w:rsidRPr="007B4F85" w14:paraId="608486EB" w14:textId="77777777" w:rsidTr="00D81EAB">
        <w:tc>
          <w:tcPr>
            <w:tcW w:w="0" w:type="auto"/>
            <w:hideMark/>
          </w:tcPr>
          <w:p w14:paraId="54F71D0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0" w:type="auto"/>
            <w:hideMark/>
          </w:tcPr>
          <w:p w14:paraId="2720923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Intraoperative Transesophageal Echo (TEE) </w:t>
            </w:r>
          </w:p>
        </w:tc>
        <w:tc>
          <w:tcPr>
            <w:tcW w:w="0" w:type="auto"/>
            <w:hideMark/>
          </w:tcPr>
          <w:p w14:paraId="2795520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B </w:t>
            </w:r>
          </w:p>
        </w:tc>
        <w:tc>
          <w:tcPr>
            <w:tcW w:w="0" w:type="auto"/>
            <w:hideMark/>
          </w:tcPr>
          <w:p w14:paraId="26794D9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16A221F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64FD326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unanimously. Per expert comments, a backup clause specifying epicardial ultrasound/TTE for rare TEE contraindications was added. </w:t>
            </w:r>
          </w:p>
        </w:tc>
      </w:tr>
      <w:tr w:rsidR="007B4F85" w:rsidRPr="007B4F85" w14:paraId="3E9017EB" w14:textId="77777777" w:rsidTr="00D81EAB">
        <w:tc>
          <w:tcPr>
            <w:tcW w:w="0" w:type="auto"/>
            <w:hideMark/>
          </w:tcPr>
          <w:p w14:paraId="5738C0D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0" w:type="auto"/>
            <w:hideMark/>
          </w:tcPr>
          <w:p w14:paraId="374B897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Separation from CPB &amp; PAC Guidance </w:t>
            </w:r>
          </w:p>
        </w:tc>
        <w:tc>
          <w:tcPr>
            <w:tcW w:w="0" w:type="auto"/>
            <w:hideMark/>
          </w:tcPr>
          <w:p w14:paraId="67E4A5DD" w14:textId="60838727" w:rsidR="007B4F85" w:rsidRPr="007B4F85" w:rsidRDefault="004F3D22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GPS / — </w:t>
            </w:r>
            <w:r w:rsidR="007B4F85"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49BC0C1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39 / 40 (97.50%)</w:t>
            </w:r>
          </w:p>
        </w:tc>
        <w:tc>
          <w:tcPr>
            <w:tcW w:w="0" w:type="auto"/>
            <w:hideMark/>
          </w:tcPr>
          <w:p w14:paraId="4E29A5E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2ECE61F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No dissents. 1 panel member abstained due to an asymmetry in recommendation levels, which is methodologically acceptable under GRADE. Text refined. </w:t>
            </w:r>
          </w:p>
        </w:tc>
      </w:tr>
      <w:tr w:rsidR="007B4F85" w:rsidRPr="007B4F85" w14:paraId="46AAB24B" w14:textId="77777777" w:rsidTr="00D81EAB">
        <w:tc>
          <w:tcPr>
            <w:tcW w:w="0" w:type="auto"/>
            <w:hideMark/>
          </w:tcPr>
          <w:p w14:paraId="38F2632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45D254F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Real-Time TEE Septal Shift Assessment </w:t>
            </w:r>
          </w:p>
        </w:tc>
        <w:tc>
          <w:tcPr>
            <w:tcW w:w="0" w:type="auto"/>
            <w:hideMark/>
          </w:tcPr>
          <w:p w14:paraId="31115481" w14:textId="212263AB" w:rsidR="007B4F85" w:rsidRPr="007B4F85" w:rsidRDefault="004F3D22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GPS / — </w:t>
            </w:r>
            <w:r w:rsidR="007B4F85"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00E3A02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3782952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27A02B5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Approved; no dissents. </w:t>
            </w:r>
          </w:p>
        </w:tc>
      </w:tr>
      <w:tr w:rsidR="007B4F85" w:rsidRPr="007B4F85" w14:paraId="06289261" w14:textId="77777777" w:rsidTr="00D81EAB">
        <w:tc>
          <w:tcPr>
            <w:tcW w:w="0" w:type="auto"/>
            <w:hideMark/>
          </w:tcPr>
          <w:p w14:paraId="1D86C85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56C10E1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Hemodynamic Targets (CI, MAP, CVP, PAWP) </w:t>
            </w:r>
          </w:p>
        </w:tc>
        <w:tc>
          <w:tcPr>
            <w:tcW w:w="0" w:type="auto"/>
            <w:hideMark/>
          </w:tcPr>
          <w:p w14:paraId="4747848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B </w:t>
            </w:r>
          </w:p>
        </w:tc>
        <w:tc>
          <w:tcPr>
            <w:tcW w:w="0" w:type="auto"/>
            <w:hideMark/>
          </w:tcPr>
          <w:p w14:paraId="1DB494B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33B9667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6A9C384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Approved; no dissents. </w:t>
            </w:r>
          </w:p>
        </w:tc>
      </w:tr>
      <w:tr w:rsidR="007B4F85" w:rsidRPr="007B4F85" w14:paraId="00603AFF" w14:textId="77777777" w:rsidTr="00D81EAB">
        <w:tc>
          <w:tcPr>
            <w:tcW w:w="0" w:type="auto"/>
            <w:hideMark/>
          </w:tcPr>
          <w:p w14:paraId="5D8453C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388DD5A6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Minimum Device Rotation Rate/Speed Targets </w:t>
            </w:r>
          </w:p>
        </w:tc>
        <w:tc>
          <w:tcPr>
            <w:tcW w:w="0" w:type="auto"/>
            <w:hideMark/>
          </w:tcPr>
          <w:p w14:paraId="344A2689" w14:textId="7019177B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1BB5187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39 / 40 (97.50%)</w:t>
            </w:r>
          </w:p>
        </w:tc>
        <w:tc>
          <w:tcPr>
            <w:tcW w:w="0" w:type="auto"/>
            <w:hideMark/>
          </w:tcPr>
          <w:p w14:paraId="0D780D4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51A34A2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Approved; text updated to highlight that maintaining biventricular septal equilibrium prevents </w:t>
            </w:r>
            <w:r w:rsidRPr="007B4F85">
              <w:rPr>
                <w:rFonts w:ascii="Times New Roman" w:hAnsi="Times New Roman" w:cs="Times New Roman"/>
                <w:szCs w:val="21"/>
              </w:rPr>
              <w:lastRenderedPageBreak/>
              <w:t xml:space="preserve">suction events. </w:t>
            </w:r>
          </w:p>
        </w:tc>
      </w:tr>
      <w:tr w:rsidR="007B4F85" w:rsidRPr="007B4F85" w14:paraId="1602DCF6" w14:textId="77777777" w:rsidTr="00D81EAB">
        <w:tc>
          <w:tcPr>
            <w:tcW w:w="0" w:type="auto"/>
            <w:hideMark/>
          </w:tcPr>
          <w:p w14:paraId="06C3FC0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14:paraId="27A8D65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Multi-Modal Strategic RV Protection </w:t>
            </w:r>
          </w:p>
        </w:tc>
        <w:tc>
          <w:tcPr>
            <w:tcW w:w="0" w:type="auto"/>
            <w:hideMark/>
          </w:tcPr>
          <w:p w14:paraId="13338D22" w14:textId="5C483415" w:rsidR="007B4F85" w:rsidRPr="007B4F85" w:rsidRDefault="004F3D22" w:rsidP="007B4F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GPS</w:t>
            </w:r>
            <w:r w:rsidR="007B4F85"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3BBA0B2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6B4AEFC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34DCCF2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added clarifications for inotropic titration protocols. </w:t>
            </w:r>
          </w:p>
        </w:tc>
      </w:tr>
      <w:tr w:rsidR="007B4F85" w:rsidRPr="007B4F85" w14:paraId="6B252F8D" w14:textId="77777777" w:rsidTr="00D81EAB">
        <w:tc>
          <w:tcPr>
            <w:tcW w:w="0" w:type="auto"/>
            <w:hideMark/>
          </w:tcPr>
          <w:p w14:paraId="06E39726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642A2EB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Immediate Clinical Warning Signs for RHF </w:t>
            </w:r>
          </w:p>
        </w:tc>
        <w:tc>
          <w:tcPr>
            <w:tcW w:w="0" w:type="auto"/>
            <w:hideMark/>
          </w:tcPr>
          <w:p w14:paraId="41503A17" w14:textId="5E2DEC2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3DD162F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24CF6D9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44AAE52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explicit diagnostic thresholds (CVP &gt; 16 mmHg, CI &lt; 2.2) defined. </w:t>
            </w:r>
          </w:p>
        </w:tc>
      </w:tr>
      <w:tr w:rsidR="007B4F85" w:rsidRPr="007B4F85" w14:paraId="34D8E6A5" w14:textId="77777777" w:rsidTr="00D81EAB">
        <w:tc>
          <w:tcPr>
            <w:tcW w:w="0" w:type="auto"/>
            <w:hideMark/>
          </w:tcPr>
          <w:p w14:paraId="0C9E2B2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2AE99B6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Lung-Protective Mechanical Ventilation </w:t>
            </w:r>
          </w:p>
        </w:tc>
        <w:tc>
          <w:tcPr>
            <w:tcW w:w="0" w:type="auto"/>
            <w:hideMark/>
          </w:tcPr>
          <w:p w14:paraId="5EFAC4E2" w14:textId="27AA5094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</w:t>
            </w:r>
            <w:r w:rsidR="004F3D22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7B4F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hideMark/>
          </w:tcPr>
          <w:p w14:paraId="555FFA7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5E18F52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7E80F8E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added target range parameters (PaCO2 35–40 mmHg, pH normalization). </w:t>
            </w:r>
          </w:p>
        </w:tc>
      </w:tr>
      <w:tr w:rsidR="007B4F85" w:rsidRPr="007B4F85" w14:paraId="4F5FABF5" w14:textId="77777777" w:rsidTr="00D81EAB">
        <w:tc>
          <w:tcPr>
            <w:tcW w:w="0" w:type="auto"/>
            <w:hideMark/>
          </w:tcPr>
          <w:p w14:paraId="00151B3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44C0D2B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Selective Inhaled Pulmonary Vasodilators </w:t>
            </w:r>
          </w:p>
        </w:tc>
        <w:tc>
          <w:tcPr>
            <w:tcW w:w="0" w:type="auto"/>
            <w:hideMark/>
          </w:tcPr>
          <w:p w14:paraId="3460548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6E97A04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49ED7AF8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3693639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noted that while NO does not reduce overall RHF rates, it improves pump flows. </w:t>
            </w:r>
          </w:p>
        </w:tc>
      </w:tr>
      <w:tr w:rsidR="007B4F85" w:rsidRPr="007B4F85" w14:paraId="3457D6F0" w14:textId="77777777" w:rsidTr="00D81EAB">
        <w:tc>
          <w:tcPr>
            <w:tcW w:w="0" w:type="auto"/>
            <w:hideMark/>
          </w:tcPr>
          <w:p w14:paraId="2454C0A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10</w:t>
            </w:r>
          </w:p>
        </w:tc>
        <w:tc>
          <w:tcPr>
            <w:tcW w:w="0" w:type="auto"/>
            <w:hideMark/>
          </w:tcPr>
          <w:p w14:paraId="626EA62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Cardiopulmonary Bypass Blood Conservation </w:t>
            </w:r>
          </w:p>
        </w:tc>
        <w:tc>
          <w:tcPr>
            <w:tcW w:w="0" w:type="auto"/>
            <w:hideMark/>
          </w:tcPr>
          <w:p w14:paraId="49E9BCF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A </w:t>
            </w:r>
          </w:p>
        </w:tc>
        <w:tc>
          <w:tcPr>
            <w:tcW w:w="0" w:type="auto"/>
            <w:hideMark/>
          </w:tcPr>
          <w:p w14:paraId="2703983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4FF438B2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672FEB0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detailed elements including iron/EPO regimens and TXA administration. </w:t>
            </w:r>
          </w:p>
        </w:tc>
      </w:tr>
      <w:tr w:rsidR="007B4F85" w:rsidRPr="007B4F85" w14:paraId="155573CB" w14:textId="77777777" w:rsidTr="00D81EAB">
        <w:tc>
          <w:tcPr>
            <w:tcW w:w="0" w:type="auto"/>
            <w:hideMark/>
          </w:tcPr>
          <w:p w14:paraId="28DD90E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570CADF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Restricted RBC Transfusion Strategy </w:t>
            </w:r>
          </w:p>
        </w:tc>
        <w:tc>
          <w:tcPr>
            <w:tcW w:w="0" w:type="auto"/>
            <w:hideMark/>
          </w:tcPr>
          <w:p w14:paraId="1C7B5BA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437753CE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39 / 40 (97.50%)</w:t>
            </w:r>
          </w:p>
        </w:tc>
        <w:tc>
          <w:tcPr>
            <w:tcW w:w="0" w:type="auto"/>
            <w:hideMark/>
          </w:tcPr>
          <w:p w14:paraId="53D6ECA3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1 / 40 (2.50%)</w:t>
            </w:r>
          </w:p>
        </w:tc>
        <w:tc>
          <w:tcPr>
            <w:tcW w:w="0" w:type="auto"/>
            <w:hideMark/>
          </w:tcPr>
          <w:p w14:paraId="77410B25" w14:textId="0D59EF7B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Adopted with 1 dissent (2.50%).</w:t>
            </w:r>
            <w:r w:rsidRPr="007B4F85">
              <w:rPr>
                <w:rFonts w:ascii="Times New Roman" w:hAnsi="Times New Roman" w:cs="Times New Roman"/>
                <w:szCs w:val="21"/>
              </w:rPr>
              <w:t xml:space="preserve"> One panelist voiced concern regarding restrictive thresholds (Hb &lt; 7.0 g/dL) during extracorporeal circulation for high-risk patients. Text was modified to explicitly emphasize "individualized physiological triggers based on oxygen delivery indices" to address this. </w:t>
            </w:r>
          </w:p>
        </w:tc>
      </w:tr>
      <w:tr w:rsidR="007B4F85" w:rsidRPr="007B4F85" w14:paraId="47B9F2B4" w14:textId="77777777" w:rsidTr="00D81EAB">
        <w:tc>
          <w:tcPr>
            <w:tcW w:w="0" w:type="auto"/>
            <w:hideMark/>
          </w:tcPr>
          <w:p w14:paraId="0A47F536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0596D08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Coagulopathy and Acquired vWS Management </w:t>
            </w:r>
          </w:p>
        </w:tc>
        <w:tc>
          <w:tcPr>
            <w:tcW w:w="0" w:type="auto"/>
            <w:hideMark/>
          </w:tcPr>
          <w:p w14:paraId="05CA1EC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360AEB4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5BF07408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32A0391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unanimously; no dissents. </w:t>
            </w:r>
          </w:p>
        </w:tc>
      </w:tr>
      <w:tr w:rsidR="007B4F85" w:rsidRPr="007B4F85" w14:paraId="1199381C" w14:textId="77777777" w:rsidTr="00D81EAB">
        <w:tc>
          <w:tcPr>
            <w:tcW w:w="0" w:type="auto"/>
            <w:hideMark/>
          </w:tcPr>
          <w:p w14:paraId="43A0BFB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>11</w:t>
            </w:r>
          </w:p>
        </w:tc>
        <w:tc>
          <w:tcPr>
            <w:tcW w:w="0" w:type="auto"/>
            <w:hideMark/>
          </w:tcPr>
          <w:p w14:paraId="08E72DD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Early Postoperative Extubation Window </w:t>
            </w:r>
          </w:p>
        </w:tc>
        <w:tc>
          <w:tcPr>
            <w:tcW w:w="0" w:type="auto"/>
            <w:hideMark/>
          </w:tcPr>
          <w:p w14:paraId="27D65597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Strong / B </w:t>
            </w:r>
          </w:p>
        </w:tc>
        <w:tc>
          <w:tcPr>
            <w:tcW w:w="0" w:type="auto"/>
            <w:hideMark/>
          </w:tcPr>
          <w:p w14:paraId="649E5C71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40 / 40 (100%)</w:t>
            </w:r>
          </w:p>
        </w:tc>
        <w:tc>
          <w:tcPr>
            <w:tcW w:w="0" w:type="auto"/>
            <w:hideMark/>
          </w:tcPr>
          <w:p w14:paraId="2A4D4C0B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726B188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 unanimously. Per panelist suggestions, the wording was tightened from generic </w:t>
            </w:r>
            <w:r w:rsidRPr="007B4F85">
              <w:rPr>
                <w:rFonts w:ascii="Times New Roman" w:hAnsi="Times New Roman" w:cs="Times New Roman"/>
                <w:szCs w:val="21"/>
              </w:rPr>
              <w:lastRenderedPageBreak/>
              <w:t xml:space="preserve">"mechanical ventilation" to "postoperative mechanical ventilation". </w:t>
            </w:r>
          </w:p>
        </w:tc>
      </w:tr>
      <w:tr w:rsidR="007B4F85" w:rsidRPr="007B4F85" w14:paraId="207BD738" w14:textId="77777777" w:rsidTr="00D81EAB">
        <w:tc>
          <w:tcPr>
            <w:tcW w:w="0" w:type="auto"/>
            <w:hideMark/>
          </w:tcPr>
          <w:p w14:paraId="3E0A32DC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284DED9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Fast-Track / Ultra-Fast-Track Anesthesia </w:t>
            </w:r>
          </w:p>
        </w:tc>
        <w:tc>
          <w:tcPr>
            <w:tcW w:w="0" w:type="auto"/>
            <w:hideMark/>
          </w:tcPr>
          <w:p w14:paraId="50A0F1F4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C </w:t>
            </w:r>
          </w:p>
        </w:tc>
        <w:tc>
          <w:tcPr>
            <w:tcW w:w="0" w:type="auto"/>
            <w:hideMark/>
          </w:tcPr>
          <w:p w14:paraId="496F02A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35 / 40 (87.50%)</w:t>
            </w:r>
          </w:p>
        </w:tc>
        <w:tc>
          <w:tcPr>
            <w:tcW w:w="0" w:type="auto"/>
            <w:hideMark/>
          </w:tcPr>
          <w:p w14:paraId="42C54816" w14:textId="734B1B20" w:rsidR="007B4F85" w:rsidRPr="007B4F85" w:rsidRDefault="001A3808" w:rsidP="007B4F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B4F85" w:rsidRPr="007B4F85">
              <w:rPr>
                <w:rFonts w:ascii="Times New Roman" w:hAnsi="Times New Roman" w:cs="Times New Roman"/>
                <w:szCs w:val="21"/>
              </w:rPr>
              <w:t xml:space="preserve"> / 40 (5%)</w:t>
            </w:r>
          </w:p>
        </w:tc>
        <w:tc>
          <w:tcPr>
            <w:tcW w:w="0" w:type="auto"/>
            <w:hideMark/>
          </w:tcPr>
          <w:p w14:paraId="256B4D29" w14:textId="490785E9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 xml:space="preserve">Adopted with </w:t>
            </w:r>
            <w:r w:rsidR="001A3808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7B4F85">
              <w:rPr>
                <w:rFonts w:ascii="Times New Roman" w:hAnsi="Times New Roman" w:cs="Times New Roman"/>
                <w:b/>
                <w:bCs/>
                <w:szCs w:val="21"/>
              </w:rPr>
              <w:t xml:space="preserve"> dissent (5%) and 4 abstentions.</w:t>
            </w:r>
            <w:r w:rsidRPr="007B4F85">
              <w:rPr>
                <w:rFonts w:ascii="Times New Roman" w:hAnsi="Times New Roman" w:cs="Times New Roman"/>
                <w:szCs w:val="21"/>
              </w:rPr>
              <w:t xml:space="preserve"> The dissenting and abstaining experts expressed caution over potential over-interpretation and premature weaning in lower-volume centers. The committee resolved this by embedding strict constraints: "based on individual institutional capacity and patient stability". </w:t>
            </w:r>
          </w:p>
        </w:tc>
      </w:tr>
      <w:tr w:rsidR="007B4F85" w:rsidRPr="007B4F85" w14:paraId="0593FB9C" w14:textId="77777777" w:rsidTr="00D81EAB">
        <w:tc>
          <w:tcPr>
            <w:tcW w:w="0" w:type="auto"/>
            <w:hideMark/>
          </w:tcPr>
          <w:p w14:paraId="49FC3119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hideMark/>
          </w:tcPr>
          <w:p w14:paraId="6AF456EF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Postoperative Multimodal Opioid-Sparing Analgesia </w:t>
            </w:r>
          </w:p>
        </w:tc>
        <w:tc>
          <w:tcPr>
            <w:tcW w:w="0" w:type="auto"/>
            <w:hideMark/>
          </w:tcPr>
          <w:p w14:paraId="3AB7FA46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Conditional / B </w:t>
            </w:r>
          </w:p>
        </w:tc>
        <w:tc>
          <w:tcPr>
            <w:tcW w:w="0" w:type="auto"/>
            <w:hideMark/>
          </w:tcPr>
          <w:p w14:paraId="3F091530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39 / 40 (97.50%)</w:t>
            </w:r>
          </w:p>
        </w:tc>
        <w:tc>
          <w:tcPr>
            <w:tcW w:w="0" w:type="auto"/>
            <w:hideMark/>
          </w:tcPr>
          <w:p w14:paraId="5A7EB065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0" w:type="auto"/>
            <w:hideMark/>
          </w:tcPr>
          <w:p w14:paraId="49420A5A" w14:textId="77777777" w:rsidR="007B4F85" w:rsidRPr="007B4F85" w:rsidRDefault="007B4F85" w:rsidP="007B4F85">
            <w:pPr>
              <w:rPr>
                <w:rFonts w:ascii="Times New Roman" w:hAnsi="Times New Roman" w:cs="Times New Roman"/>
                <w:szCs w:val="21"/>
              </w:rPr>
            </w:pPr>
            <w:r w:rsidRPr="007B4F85">
              <w:rPr>
                <w:rFonts w:ascii="Times New Roman" w:hAnsi="Times New Roman" w:cs="Times New Roman"/>
                <w:szCs w:val="21"/>
              </w:rPr>
              <w:t xml:space="preserve">Approved; 1 panelist abstained. Wording shifted from "nerve-block combination" to "multimodal analgesia strategy" to comprehensively integrate non-opioid options like acetaminophen. </w:t>
            </w:r>
          </w:p>
        </w:tc>
      </w:tr>
    </w:tbl>
    <w:p w14:paraId="1C896527" w14:textId="4F6BFC41" w:rsidR="008B6151" w:rsidRPr="00D81EAB" w:rsidRDefault="00D81EAB">
      <w:pPr>
        <w:rPr>
          <w:rFonts w:ascii="Times New Roman" w:hAnsi="Times New Roman" w:cs="Times New Roman"/>
          <w:sz w:val="20"/>
          <w:szCs w:val="20"/>
        </w:rPr>
      </w:pPr>
      <w:r w:rsidRPr="00D81EAB">
        <w:rPr>
          <w:rFonts w:ascii="Times New Roman" w:hAnsi="Times New Roman" w:cs="Times New Roman"/>
          <w:sz w:val="20"/>
          <w:szCs w:val="20"/>
        </w:rPr>
        <w:t>Note: The official consensus committee comprised 8</w:t>
      </w:r>
      <w:r w:rsidRPr="00D81EAB">
        <w:rPr>
          <w:rFonts w:ascii="Times New Roman" w:hAnsi="Times New Roman" w:cs="Times New Roman" w:hint="eastAsia"/>
          <w:sz w:val="20"/>
          <w:szCs w:val="20"/>
        </w:rPr>
        <w:t>3</w:t>
      </w:r>
      <w:r w:rsidRPr="00D81EAB">
        <w:rPr>
          <w:rFonts w:ascii="Times New Roman" w:hAnsi="Times New Roman" w:cs="Times New Roman"/>
          <w:sz w:val="20"/>
          <w:szCs w:val="20"/>
        </w:rPr>
        <w:t xml:space="preserve"> specialists from 4</w:t>
      </w:r>
      <w:r w:rsidRPr="00D81EAB">
        <w:rPr>
          <w:rFonts w:ascii="Times New Roman" w:hAnsi="Times New Roman" w:cs="Times New Roman" w:hint="eastAsia"/>
          <w:sz w:val="20"/>
          <w:szCs w:val="20"/>
        </w:rPr>
        <w:t>1</w:t>
      </w:r>
      <w:r w:rsidRPr="00D81EAB">
        <w:rPr>
          <w:rFonts w:ascii="Times New Roman" w:hAnsi="Times New Roman" w:cs="Times New Roman"/>
          <w:sz w:val="20"/>
          <w:szCs w:val="20"/>
        </w:rPr>
        <w:t xml:space="preserve"> national clinical centers. For the final consensus-binding stage, a core voting panel consisting of 4</w:t>
      </w:r>
      <w:r w:rsidRPr="00D81EAB">
        <w:rPr>
          <w:rFonts w:ascii="Times New Roman" w:hAnsi="Times New Roman" w:cs="Times New Roman" w:hint="eastAsia"/>
          <w:sz w:val="20"/>
          <w:szCs w:val="20"/>
        </w:rPr>
        <w:t>0</w:t>
      </w:r>
      <w:r w:rsidRPr="00D81EAB">
        <w:rPr>
          <w:rFonts w:ascii="Times New Roman" w:hAnsi="Times New Roman" w:cs="Times New Roman"/>
          <w:sz w:val="20"/>
          <w:szCs w:val="20"/>
        </w:rPr>
        <w:t xml:space="preserve"> principal investigators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D81EAB">
        <w:rPr>
          <w:rFonts w:ascii="Times New Roman" w:hAnsi="Times New Roman" w:cs="Times New Roman"/>
          <w:sz w:val="20"/>
          <w:szCs w:val="20"/>
        </w:rPr>
        <w:t>one leading expert representing each clinical center</w:t>
      </w:r>
      <w:r>
        <w:rPr>
          <w:rFonts w:ascii="Times New Roman" w:hAnsi="Times New Roman" w:cs="Times New Roman" w:hint="eastAsia"/>
          <w:sz w:val="20"/>
          <w:szCs w:val="20"/>
        </w:rPr>
        <w:t>)</w:t>
      </w:r>
      <w:r w:rsidRPr="00D81EAB">
        <w:rPr>
          <w:rFonts w:ascii="Times New Roman" w:hAnsi="Times New Roman" w:cs="Times New Roman"/>
          <w:sz w:val="20"/>
          <w:szCs w:val="20"/>
        </w:rPr>
        <w:t xml:space="preserve"> executed the formal electronic ballots. Per the established protocol, an approval threshold of ≥ 80% was required for the official adoption of any recommendation.</w:t>
      </w:r>
    </w:p>
    <w:sectPr w:rsidR="008B6151" w:rsidRPr="00D81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4080" w14:textId="77777777" w:rsidR="00434074" w:rsidRDefault="00434074" w:rsidP="001D064C">
      <w:r>
        <w:separator/>
      </w:r>
    </w:p>
  </w:endnote>
  <w:endnote w:type="continuationSeparator" w:id="0">
    <w:p w14:paraId="1F7E6EEF" w14:textId="77777777" w:rsidR="00434074" w:rsidRDefault="00434074" w:rsidP="001D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9CDF" w14:textId="77777777" w:rsidR="00434074" w:rsidRDefault="00434074" w:rsidP="001D064C">
      <w:r>
        <w:separator/>
      </w:r>
    </w:p>
  </w:footnote>
  <w:footnote w:type="continuationSeparator" w:id="0">
    <w:p w14:paraId="5128CA06" w14:textId="77777777" w:rsidR="00434074" w:rsidRDefault="00434074" w:rsidP="001D0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E51F5"/>
    <w:multiLevelType w:val="multilevel"/>
    <w:tmpl w:val="C730F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233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61"/>
    <w:rsid w:val="00007810"/>
    <w:rsid w:val="001A3808"/>
    <w:rsid w:val="001D064C"/>
    <w:rsid w:val="0024564A"/>
    <w:rsid w:val="00272FDC"/>
    <w:rsid w:val="002B60A9"/>
    <w:rsid w:val="003176A2"/>
    <w:rsid w:val="0039084D"/>
    <w:rsid w:val="00434074"/>
    <w:rsid w:val="004754C5"/>
    <w:rsid w:val="004F3D22"/>
    <w:rsid w:val="005218B8"/>
    <w:rsid w:val="006E1860"/>
    <w:rsid w:val="006F6D24"/>
    <w:rsid w:val="007963C4"/>
    <w:rsid w:val="007B4F85"/>
    <w:rsid w:val="007D6A86"/>
    <w:rsid w:val="007F298A"/>
    <w:rsid w:val="008B6151"/>
    <w:rsid w:val="00A55944"/>
    <w:rsid w:val="00A66D30"/>
    <w:rsid w:val="00B52717"/>
    <w:rsid w:val="00D37735"/>
    <w:rsid w:val="00D51FEF"/>
    <w:rsid w:val="00D71804"/>
    <w:rsid w:val="00D81EAB"/>
    <w:rsid w:val="00F9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2A977B"/>
  <w15:chartTrackingRefBased/>
  <w15:docId w15:val="{6E516F37-4728-448E-A334-1590BAA5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5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5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56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56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56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5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5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5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5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6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6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656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656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656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65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65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65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65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6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5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65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5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65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5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65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6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65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656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D06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D06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D0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D064C"/>
    <w:rPr>
      <w:sz w:val="18"/>
      <w:szCs w:val="18"/>
    </w:rPr>
  </w:style>
  <w:style w:type="table" w:styleId="af2">
    <w:name w:val="Table Grid"/>
    <w:basedOn w:val="a1"/>
    <w:uiPriority w:val="39"/>
    <w:rsid w:val="001D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飝 飛</dc:creator>
  <cp:keywords/>
  <dc:description/>
  <cp:lastModifiedBy>Editor</cp:lastModifiedBy>
  <cp:revision>17</cp:revision>
  <dcterms:created xsi:type="dcterms:W3CDTF">2026-06-07T08:14:00Z</dcterms:created>
  <dcterms:modified xsi:type="dcterms:W3CDTF">2026-08-14T05:55:00Z</dcterms:modified>
</cp:coreProperties>
</file>