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9E5EA1">
      <w:pPr>
        <w:rPr>
          <w:rFonts w:hint="default"/>
          <w:color w:val="auto"/>
          <w:lang w:val="en-US"/>
        </w:rPr>
      </w:pPr>
      <w:r>
        <w:rPr>
          <w:rFonts w:hint="eastAsia" w:ascii="Times New Roman" w:hAnsi="Times New Roman" w:cs="Times New Roman"/>
          <w:color w:val="auto"/>
          <w:lang w:val="en-US" w:eastAsia="zh-CN"/>
        </w:rPr>
        <w:t xml:space="preserve">Schedule 1. Clinical Characteristics of the </w:t>
      </w:r>
      <w:r>
        <w:rPr>
          <w:rFonts w:hint="default" w:ascii="Times New Roman" w:hAnsi="Times New Roman" w:cs="Times New Roman"/>
          <w:color w:val="auto"/>
        </w:rPr>
        <w:t>patients in the training cohort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.</w:t>
      </w:r>
    </w:p>
    <w:tbl>
      <w:tblPr>
        <w:tblStyle w:val="2"/>
        <w:tblW w:w="8422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98"/>
        <w:gridCol w:w="4424"/>
      </w:tblGrid>
      <w:tr w14:paraId="1B1AF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282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number</w:t>
            </w:r>
          </w:p>
        </w:tc>
        <w:tc>
          <w:tcPr>
            <w:tcW w:w="4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F72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</w:tr>
      <w:tr w14:paraId="5B442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0E7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gender = female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A7E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279 (55.4)</w:t>
            </w:r>
          </w:p>
        </w:tc>
      </w:tr>
      <w:tr w14:paraId="58A93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11F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30CEC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3B189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B5F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487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71 (14.1)</w:t>
            </w:r>
          </w:p>
        </w:tc>
      </w:tr>
      <w:tr w14:paraId="26671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996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313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53 (10.5)</w:t>
            </w:r>
          </w:p>
        </w:tc>
      </w:tr>
      <w:tr w14:paraId="6C60D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2B0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717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60 (11.9)</w:t>
            </w:r>
          </w:p>
        </w:tc>
      </w:tr>
      <w:tr w14:paraId="35081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E19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A09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141 (27.9)</w:t>
            </w:r>
          </w:p>
        </w:tc>
      </w:tr>
      <w:tr w14:paraId="7A926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EA5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5CB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86 (17.1)</w:t>
            </w:r>
          </w:p>
        </w:tc>
      </w:tr>
      <w:tr w14:paraId="0D6FC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4BA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D9F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 ( 5.9)</w:t>
            </w:r>
          </w:p>
        </w:tc>
      </w:tr>
      <w:tr w14:paraId="51AA3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7E0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867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44 ( 8.8)</w:t>
            </w:r>
          </w:p>
        </w:tc>
      </w:tr>
      <w:tr w14:paraId="3BAD7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439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F38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 ( 3.1)</w:t>
            </w:r>
          </w:p>
        </w:tc>
      </w:tr>
      <w:tr w14:paraId="2A36A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7E0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7A4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 ( 0.7)</w:t>
            </w:r>
          </w:p>
        </w:tc>
      </w:tr>
      <w:tr w14:paraId="097BC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69D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1D8D2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CE33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9A0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2C1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331 (65.7)</w:t>
            </w:r>
          </w:p>
        </w:tc>
      </w:tr>
      <w:tr w14:paraId="3216D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9EE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CCD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92 (18.2)</w:t>
            </w:r>
          </w:p>
        </w:tc>
      </w:tr>
      <w:tr w14:paraId="17D4A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1F5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B7D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67 (13.4)</w:t>
            </w:r>
          </w:p>
        </w:tc>
      </w:tr>
      <w:tr w14:paraId="72F16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A62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F01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 ( 0.2)</w:t>
            </w:r>
          </w:p>
        </w:tc>
      </w:tr>
      <w:tr w14:paraId="10A05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B21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738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 (2.5)</w:t>
            </w:r>
          </w:p>
        </w:tc>
      </w:tr>
      <w:tr w14:paraId="30911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2CE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27FD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0E96B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E85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8D0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325 (64.6)</w:t>
            </w:r>
          </w:p>
        </w:tc>
      </w:tr>
      <w:tr w14:paraId="0F8A1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5E3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4FE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 ( 2.9)</w:t>
            </w:r>
          </w:p>
        </w:tc>
      </w:tr>
      <w:tr w14:paraId="51F09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2F1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950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 ( 0.4)</w:t>
            </w:r>
          </w:p>
        </w:tc>
      </w:tr>
      <w:tr w14:paraId="46F19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AB1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1CD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 ( 1.1)</w:t>
            </w:r>
          </w:p>
        </w:tc>
      </w:tr>
      <w:tr w14:paraId="578B5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096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D92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156 (31)</w:t>
            </w:r>
          </w:p>
        </w:tc>
      </w:tr>
      <w:tr w14:paraId="0CB16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656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stage(%)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40E00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0A425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D2D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stage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33E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 ( 1.8)</w:t>
            </w:r>
          </w:p>
        </w:tc>
      </w:tr>
      <w:tr w14:paraId="78A3D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486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stage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E89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 ( 1.1)</w:t>
            </w:r>
          </w:p>
        </w:tc>
      </w:tr>
      <w:tr w14:paraId="3856A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C3A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stage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8C9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144 (28.6)</w:t>
            </w:r>
          </w:p>
        </w:tc>
      </w:tr>
      <w:tr w14:paraId="771FA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F3C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stage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IB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FE1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125 (24.8)</w:t>
            </w:r>
          </w:p>
        </w:tc>
      </w:tr>
      <w:tr w14:paraId="3F1C1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0D5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stage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B42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 ( 0.2)</w:t>
            </w:r>
          </w:p>
        </w:tc>
      </w:tr>
      <w:tr w14:paraId="23190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21C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stage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IIA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950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53 (10.5)</w:t>
            </w:r>
          </w:p>
        </w:tc>
      </w:tr>
      <w:tr w14:paraId="54532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41E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stage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IIB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2D9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67 (13.2)</w:t>
            </w:r>
          </w:p>
        </w:tc>
      </w:tr>
      <w:tr w14:paraId="77239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23A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stage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IIIA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DC4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69 (13.6)</w:t>
            </w:r>
          </w:p>
        </w:tc>
      </w:tr>
      <w:tr w14:paraId="28A51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084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stage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IIIB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DC3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 ( 1.5)</w:t>
            </w:r>
          </w:p>
        </w:tc>
      </w:tr>
      <w:tr w14:paraId="26C43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B6F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stage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IV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45B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 ( 4.6)</w:t>
            </w:r>
          </w:p>
        </w:tc>
      </w:tr>
      <w:tr w14:paraId="1FA4A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83A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vital_status = 1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655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216 (42.9)</w:t>
            </w:r>
          </w:p>
        </w:tc>
      </w:tr>
      <w:tr w14:paraId="3E741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E44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race_list.race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35F9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8FE8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5DB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American Indians or Alaskans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597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 ( 0.2)</w:t>
            </w:r>
          </w:p>
        </w:tc>
      </w:tr>
      <w:tr w14:paraId="2C0B2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CC9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Asiana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B59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 ( 1.8)</w:t>
            </w:r>
          </w:p>
        </w:tc>
      </w:tr>
      <w:tr w14:paraId="5E9D0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644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Black or African American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B37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58 (11.6)</w:t>
            </w:r>
          </w:p>
        </w:tc>
      </w:tr>
      <w:tr w14:paraId="3F1F0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AB5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W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F79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435 (86.4)</w:t>
            </w:r>
          </w:p>
        </w:tc>
      </w:tr>
      <w:tr w14:paraId="2CC2D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F18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age = &gt;60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4B9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341 (67.7)</w:t>
            </w:r>
          </w:p>
        </w:tc>
      </w:tr>
    </w:tbl>
    <w:p w14:paraId="0E52A22F">
      <w:pPr>
        <w:rPr>
          <w:color w:val="auto"/>
        </w:rPr>
      </w:pPr>
    </w:p>
    <w:p w14:paraId="3406B65B">
      <w:pPr>
        <w:rPr>
          <w:color w:val="auto"/>
        </w:rPr>
      </w:pPr>
    </w:p>
    <w:p w14:paraId="06BCF2A5">
      <w:pPr>
        <w:rPr>
          <w:rFonts w:hint="default"/>
          <w:i w:val="0"/>
          <w:iCs w:val="0"/>
          <w:lang w:val="en-US" w:eastAsia="zh-CN"/>
        </w:rPr>
      </w:pPr>
      <w:r>
        <w:rPr>
          <w:rFonts w:hint="eastAsia"/>
          <w:i w:val="0"/>
          <w:iCs w:val="0"/>
          <w:lang w:val="en-US" w:eastAsia="zh-CN"/>
        </w:rPr>
        <w:t>Figure The prognostic curve for lysosome-associated features in LUSC.</w:t>
      </w:r>
      <w:bookmarkStart w:id="0" w:name="_GoBack"/>
      <w:bookmarkEnd w:id="0"/>
    </w:p>
    <w:p w14:paraId="7B96A166">
      <w:pPr>
        <w:rPr>
          <w:rFonts w:hint="eastAsia"/>
          <w:i w:val="0"/>
          <w:iCs w:val="0"/>
          <w:lang w:val="en-US" w:eastAsia="zh-CN"/>
        </w:rPr>
      </w:pPr>
      <w:r>
        <w:rPr>
          <w:rFonts w:hint="eastAsia"/>
          <w:i w:val="0"/>
          <w:iCs w:val="0"/>
          <w:lang w:val="en-US" w:eastAsia="zh-CN"/>
        </w:rPr>
        <w:drawing>
          <wp:inline distT="0" distB="0" distL="114300" distR="114300">
            <wp:extent cx="1799590" cy="1799590"/>
            <wp:effectExtent l="0" t="0" r="635" b="635"/>
            <wp:docPr id="2" name="图片 2" descr="生存曲线图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生存曲线图 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8E457E7"/>
    <w:rsid w:val="7A8C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167</Words>
  <Characters>601</Characters>
  <Lines>0</Lines>
  <Paragraphs>0</Paragraphs>
  <TotalTime>0</TotalTime>
  <ScaleCrop>false</ScaleCrop>
  <LinksUpToDate>false</LinksUpToDate>
  <CharactersWithSpaces>688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2025-02-09T14:45:00Z</dcterms:created>
  <dc:creator>94816</dc:creator>
  <cp:lastModifiedBy>WPS_1476115139</cp:lastModifiedBy>
  <dcterms:modified xsi:type="dcterms:W3CDTF">2025-02-09T15:30:01Z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eyJoZGlkIjoiNzI1MzljODBiNDliMzEyMzFlZWNlN2EzYjU0N2YzMWEiLCJ1c2VySWQiOiIyNDQ2Mjk0NjgifQ==</vt:lpwstr>
  </property>
  <property fmtid="{D5CDD505-2E9C-101B-9397-08002B2CF9AE}" pid="4" name="ICV">
    <vt:lpwstr>8CCD6ABF427A4CC2A6F536DEAEAEE3C6_12</vt:lpwstr>
  </property>
</Properties>
</file>