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89B" w:rsidRPr="00AA7F4C" w:rsidRDefault="00D8789B" w:rsidP="00D8789B">
      <w:pPr>
        <w:rPr>
          <w:color w:val="000000" w:themeColor="text1"/>
          <w:sz w:val="20"/>
        </w:rPr>
      </w:pPr>
      <w:r w:rsidRPr="00AA7F4C">
        <w:rPr>
          <w:rFonts w:ascii="Times New Roman" w:hAnsi="Times New Roman" w:cs="Times New Roman"/>
          <w:b/>
          <w:color w:val="000000" w:themeColor="text1"/>
          <w:sz w:val="20"/>
        </w:rPr>
        <w:t xml:space="preserve">Table S1 </w:t>
      </w:r>
      <w:r w:rsidRPr="00AA7F4C">
        <w:rPr>
          <w:rFonts w:ascii="Times New Roman" w:hAnsi="Times New Roman" w:cs="Times New Roman"/>
          <w:color w:val="000000" w:themeColor="text1"/>
          <w:sz w:val="20"/>
        </w:rPr>
        <w:t xml:space="preserve">Contamination characteristics, ecological and toxicity indicators </w:t>
      </w: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567"/>
        <w:gridCol w:w="2835"/>
        <w:gridCol w:w="425"/>
        <w:gridCol w:w="3544"/>
        <w:gridCol w:w="147"/>
      </w:tblGrid>
      <w:tr w:rsidR="00AA7F4C" w:rsidRPr="00AA7F4C" w:rsidTr="00D958F4">
        <w:trPr>
          <w:gridAfter w:val="1"/>
          <w:wAfter w:w="147" w:type="dxa"/>
          <w:trHeight w:val="35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Indices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              Equations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Classification</w:t>
            </w:r>
          </w:p>
        </w:tc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noProof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noProof/>
                <w:color w:val="000000" w:themeColor="text1"/>
                <w:sz w:val="18"/>
                <w:szCs w:val="18"/>
              </w:rPr>
              <w:t>Contamination factor (Cf)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Cf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  <w:lang w:val="fr-FR"/>
                    </w:rPr>
                    <m:t>Content of metal in sample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  <w:lang w:val="fr-FR"/>
                    </w:rPr>
                    <m:t>Background content of metal</m:t>
                  </m:r>
                </m:den>
              </m:f>
            </m:oMath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             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Hakanson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, 1980)</w:t>
            </w:r>
            <w:r w:rsidRPr="00AA7F4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Cf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&lt; 1: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Low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- 1 &lt;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Cf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&lt; 3: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Moderate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- 3 &lt;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Cf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&lt; 6: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Considerable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Cf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&gt; 6: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High contamination</w:t>
            </w: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.</w:t>
            </w:r>
          </w:p>
        </w:tc>
        <w:bookmarkStart w:id="0" w:name="_GoBack"/>
        <w:bookmarkEnd w:id="0"/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Contamination degree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C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deg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tabs>
                <w:tab w:val="left" w:pos="2372"/>
              </w:tabs>
              <w:spacing w:line="360" w:lineRule="auto"/>
              <w:ind w:left="360"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HAnsi" w:hAnsi="Cambria Math"/>
                    <w:color w:val="000000" w:themeColor="text1"/>
                    <w:sz w:val="18"/>
                    <w:szCs w:val="18"/>
                  </w:rPr>
                  <m:t>Cdeg</m:t>
                </m:r>
                <m:r>
                  <m:rPr>
                    <m:sty m:val="p"/>
                  </m:rPr>
                  <w:rPr>
                    <w:rFonts w:ascii="Cambria Math" w:eastAsia="Cambria Math" w:hAnsi="Cambria Math"/>
                    <w:color w:val="000000" w:themeColor="text1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eastAsiaTheme="minorHAnsi" w:hAnsi="Cambria Math"/>
                        <w:color w:val="000000" w:themeColor="text1"/>
                        <w:sz w:val="18"/>
                        <w:szCs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  <w:color w:val="000000" w:themeColor="text1"/>
                        <w:sz w:val="18"/>
                        <w:szCs w:val="18"/>
                      </w:rPr>
                      <m:t>i=1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Cambria Math" w:hAnsi="Cambria Math"/>
                        <w:color w:val="000000" w:themeColor="text1"/>
                        <w:sz w:val="18"/>
                        <w:szCs w:val="18"/>
                      </w:rPr>
                      <m:t>8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color w:val="000000" w:themeColor="text1"/>
                        <w:sz w:val="18"/>
                        <w:szCs w:val="18"/>
                      </w:rPr>
                      <m:t>CI</m:t>
                    </m:r>
                  </m:e>
                </m:nary>
              </m:oMath>
            </m:oMathPara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               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 xml:space="preserve">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Hakanson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, 1980)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C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deg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 xml:space="preserve">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&lt; 6: Low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- 6 &lt;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  <w:lang w:val="fr-FR"/>
              </w:rPr>
              <w:t>deg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&lt; 12: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Moderate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- 12 &lt;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  <w:lang w:val="fr-FR"/>
              </w:rPr>
              <w:t>deg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&lt; 24: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Considerable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C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  <w:lang w:val="fr-FR"/>
              </w:rPr>
              <w:t>deg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&gt;24: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Significant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contamination.</w:t>
            </w:r>
          </w:p>
        </w:tc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bCs/>
                <w:color w:val="000000" w:themeColor="text1"/>
                <w:sz w:val="18"/>
                <w:szCs w:val="18"/>
              </w:rPr>
              <w:t xml:space="preserve">Modified contamination degree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mCdeg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  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</w:rPr>
              <w:t>mC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</w:rPr>
              <w:t>deg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bdr w:val="none" w:sz="0" w:space="0" w:color="auto" w:frame="1"/>
                    </w:rPr>
                    <m:t>∑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bdr w:val="none" w:sz="0" w:space="0" w:color="auto" w:frame="1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bdr w:val="none" w:sz="0" w:space="0" w:color="auto" w:frame="1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bdr w:val="none" w:sz="0" w:space="0" w:color="auto" w:frame="1"/>
                        </w:rPr>
                        <m:t>F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</w:rPr>
                    <m:t>n</m:t>
                  </m:r>
                </m:den>
              </m:f>
            </m:oMath>
            <w:r w:rsidRPr="00AA7F4C">
              <w:rPr>
                <w:color w:val="000000" w:themeColor="text1"/>
                <w:sz w:val="18"/>
                <w:szCs w:val="18"/>
              </w:rPr>
              <w:t xml:space="preserve">                                          </w:t>
            </w: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               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Hakanson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 xml:space="preserve">, 1980) </w:t>
            </w:r>
            <w:r w:rsidRPr="00AA7F4C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mCdeg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&lt;1.5 &lt; 1: Nil to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low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- 1.5-2: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Low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- 2-4: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Moderate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-4-8 : signifiant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-8-16: High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-16-32: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Very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high contamination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-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mCdeg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&gt; 32 : Ultra high contamination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>degree</w:t>
            </w:r>
            <w:proofErr w:type="spellEnd"/>
          </w:p>
        </w:tc>
      </w:tr>
      <w:tr w:rsidR="00AA7F4C" w:rsidRPr="00AA7F4C" w:rsidTr="00D958F4">
        <w:trPr>
          <w:gridAfter w:val="1"/>
          <w:wAfter w:w="147" w:type="dxa"/>
          <w:trHeight w:val="133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  <w:lang w:val="fr-FR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The pollution load index (PLI)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      PLI = (CF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</w:rPr>
              <w:t>1</w:t>
            </w:r>
            <w:r w:rsidRPr="00AA7F4C">
              <w:rPr>
                <w:color w:val="000000" w:themeColor="text1"/>
                <w:sz w:val="18"/>
                <w:szCs w:val="18"/>
              </w:rPr>
              <w:t xml:space="preserve"> × CF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AA7F4C">
              <w:rPr>
                <w:color w:val="000000" w:themeColor="text1"/>
                <w:sz w:val="18"/>
                <w:szCs w:val="18"/>
              </w:rPr>
              <w:t xml:space="preserve"> × .... × </w:t>
            </w:r>
            <w:proofErr w:type="spellStart"/>
            <w:r w:rsidRPr="00AA7F4C">
              <w:rPr>
                <w:color w:val="000000" w:themeColor="text1"/>
                <w:sz w:val="18"/>
                <w:szCs w:val="18"/>
              </w:rPr>
              <w:t>CF</w:t>
            </w:r>
            <w:r w:rsidRPr="00AA7F4C">
              <w:rPr>
                <w:color w:val="000000" w:themeColor="text1"/>
                <w:sz w:val="18"/>
                <w:szCs w:val="18"/>
                <w:vertAlign w:val="subscript"/>
              </w:rPr>
              <w:t>n</w:t>
            </w:r>
            <w:proofErr w:type="spellEnd"/>
            <w:r w:rsidRPr="00AA7F4C">
              <w:rPr>
                <w:color w:val="000000" w:themeColor="text1"/>
                <w:sz w:val="18"/>
                <w:szCs w:val="18"/>
              </w:rPr>
              <w:t>)</w:t>
            </w:r>
            <w:r w:rsidRPr="00AA7F4C">
              <w:rPr>
                <w:color w:val="000000" w:themeColor="text1"/>
                <w:sz w:val="18"/>
                <w:szCs w:val="18"/>
                <w:vertAlign w:val="superscript"/>
              </w:rPr>
              <w:t xml:space="preserve">1/n  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                  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 xml:space="preserve">(Tomlinson et al., 1980) </w:t>
            </w: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  <w:lang w:val="fr-FR"/>
              </w:rPr>
              <w:t>- PLI =0 : Baseline.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  <w:lang w:val="fr-FR"/>
              </w:rPr>
              <w:t>- PLI &lt; 1: No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PlI</w:t>
            </w:r>
            <w:proofErr w:type="spellEnd"/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 &gt; 1: Pollution.</w:t>
            </w:r>
          </w:p>
        </w:tc>
      </w:tr>
      <w:tr w:rsidR="00AA7F4C" w:rsidRPr="00AA7F4C" w:rsidTr="00D958F4">
        <w:trPr>
          <w:gridAfter w:val="1"/>
          <w:wAfter w:w="147" w:type="dxa"/>
          <w:trHeight w:val="1335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noProof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noProof/>
                <w:color w:val="000000" w:themeColor="text1"/>
                <w:sz w:val="18"/>
                <w:szCs w:val="18"/>
              </w:rPr>
              <w:t>Enrichment factor (EF)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EF = me/Fe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O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3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 xml:space="preserve"> sample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/ (me/Fe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O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3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 xml:space="preserve"> sample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background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(Xu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et al., 2018)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- EF &lt; 1: No enrichment.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- EF &lt; 2: Minimal enrichment.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- 2 = EF &lt; 5: Moderate enrichment.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- 5 = EF &lt; 20: Significant enrichment.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- 20 = EF &lt; 40: Severe enrichment.</w:t>
            </w:r>
          </w:p>
        </w:tc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Geo-accumulation index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jc w:val="center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jc w:val="center"/>
              <w:rPr>
                <w:rFonts w:eastAsiaTheme="minorHAns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= Log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vertAlign w:val="subscript"/>
              </w:rPr>
              <w:t>2</w:t>
            </w: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color w:val="000000" w:themeColor="text1"/>
                  <w:sz w:val="18"/>
                  <w:szCs w:val="18"/>
                  <w:vertAlign w:val="subscript"/>
                </w:rPr>
                <m:t xml:space="preserve"> (</m:t>
              </m:r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  <w:vertAlign w:val="subscript"/>
                    </w:rPr>
                    <m:t>Cn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HAnsi" w:hAnsi="Cambria Math"/>
                      <w:color w:val="000000" w:themeColor="text1"/>
                      <w:sz w:val="18"/>
                      <w:szCs w:val="18"/>
                      <w:vertAlign w:val="subscript"/>
                    </w:rPr>
                    <m:t>1.5×Bn</m:t>
                  </m:r>
                </m:den>
              </m:f>
            </m:oMath>
            <w:r w:rsidRPr="00AA7F4C">
              <w:rPr>
                <w:rFonts w:eastAsiaTheme="minorHAnsi"/>
                <w:b/>
                <w:color w:val="000000" w:themeColor="text1"/>
                <w:sz w:val="18"/>
                <w:szCs w:val="18"/>
              </w:rPr>
              <w:t>)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                           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(Müller, 1981)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= 0: Low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&lt; 1: Low to moderate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&lt; 2: Moderate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= 2 – 3: Moderate to strong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= 3 – 4: Strong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= 4 - 5: Strong to extreme pollution.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Igeo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&gt; 5: Extreme pollution.</w:t>
            </w:r>
          </w:p>
        </w:tc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Toxic risk index (TRI) 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iCs/>
                <w:color w:val="000000" w:themeColor="text1"/>
                <w:sz w:val="18"/>
                <w:szCs w:val="18"/>
              </w:rPr>
              <w:t xml:space="preserve">Toxic units analysis       (TUs)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vertAlign w:val="superscript"/>
              </w:rPr>
              <w:t xml:space="preserve">    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18"/>
                  <w:szCs w:val="18"/>
                  <w:vertAlign w:val="superscript"/>
                </w:rPr>
                <m:t xml:space="preserve"> TR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vertAlign w:val="super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vertAlign w:val="superscript"/>
                    </w:rPr>
                    <m:t>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vertAlign w:val="superscript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18"/>
                  <w:szCs w:val="18"/>
                  <w:vertAlign w:val="superscript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 w:themeColor="text1"/>
                      <w:sz w:val="18"/>
                      <w:szCs w:val="18"/>
                      <w:vertAlign w:val="superscript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18"/>
                              <w:szCs w:val="18"/>
                              <w:vertAlign w:val="superscri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18"/>
                                  <w:szCs w:val="18"/>
                                  <w:vertAlign w:val="superscript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  <w:vertAlign w:val="superscript"/>
                                </w:rPr>
                                <m:t>∕TE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  <w:vertAlign w:val="superscript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color w:val="000000" w:themeColor="text1"/>
                              <w:sz w:val="18"/>
                              <w:szCs w:val="18"/>
                              <w:vertAlign w:val="superscript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18"/>
                                  <w:szCs w:val="18"/>
                                  <w:vertAlign w:val="superscript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18"/>
                                  <w:szCs w:val="18"/>
                                  <w:vertAlign w:val="superscript"/>
                                </w:rPr>
                                <m:t>∕PE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L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  <w:sz w:val="18"/>
                                      <w:szCs w:val="18"/>
                                      <w:vertAlign w:val="superscript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color w:val="000000" w:themeColor="text1"/>
                              <w:sz w:val="18"/>
                              <w:szCs w:val="18"/>
                              <w:vertAlign w:val="superscript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vertAlign w:val="superscript"/>
                        </w:rPr>
                        <m:t>2</m:t>
                      </m:r>
                    </m:den>
                  </m:f>
                </m:e>
              </m:rad>
            </m:oMath>
            <w:r w:rsidRPr="00AA7F4C">
              <w:rPr>
                <w:color w:val="000000" w:themeColor="text1"/>
                <w:sz w:val="18"/>
                <w:szCs w:val="18"/>
                <w:vertAlign w:val="superscript"/>
              </w:rPr>
              <w:t xml:space="preserve">                 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                  (</w:t>
            </w:r>
            <w:r w:rsidRPr="00AA7F4C">
              <w:rPr>
                <w:noProof/>
                <w:color w:val="000000" w:themeColor="text1"/>
                <w:sz w:val="18"/>
                <w:szCs w:val="18"/>
              </w:rPr>
              <w:t>Ustaoğlu</w:t>
            </w:r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et </w:t>
            </w:r>
            <w:proofErr w:type="gramStart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>al.,</w:t>
            </w:r>
            <w:proofErr w:type="gramEnd"/>
            <w:r w:rsidRPr="00AA7F4C">
              <w:rPr>
                <w:color w:val="000000" w:themeColor="text1"/>
                <w:sz w:val="18"/>
                <w:szCs w:val="18"/>
                <w:lang w:val="fr-FR"/>
              </w:rPr>
              <w:t xml:space="preserve"> 2020)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    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EastAsia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EastAsia"/>
                <w:color w:val="000000" w:themeColor="text1"/>
                <w:sz w:val="18"/>
                <w:szCs w:val="18"/>
              </w:rPr>
              <w:t xml:space="preserve">TUs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18"/>
                  <w:szCs w:val="18"/>
                </w:rPr>
                <m:t>=Ci/Pi</m:t>
              </m:r>
            </m:oMath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EastAsia"/>
                <w:color w:val="000000" w:themeColor="text1"/>
                <w:sz w:val="18"/>
                <w:szCs w:val="18"/>
              </w:rPr>
              <w:t>(</w:t>
            </w:r>
            <w:r w:rsidRPr="00AA7F4C">
              <w:rPr>
                <w:color w:val="000000" w:themeColor="text1"/>
                <w:sz w:val="18"/>
                <w:szCs w:val="18"/>
              </w:rPr>
              <w:t>Zhang et al., 2016)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- TRI &lt; 5: No toxic risk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-5-10: Low 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-10-15: Moderate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-15-20: Significant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TRI &gt; 20: Very high toxic risk.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>TUs &lt;4 low toxicity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4≤TUs≤6, moderately toxicity</w:t>
            </w:r>
          </w:p>
          <w:p w:rsidR="00D8789B" w:rsidRPr="00AA7F4C" w:rsidRDefault="00D8789B" w:rsidP="00D958F4">
            <w:pPr>
              <w:spacing w:line="360" w:lineRule="auto"/>
              <w:rPr>
                <w:color w:val="000000" w:themeColor="text1"/>
                <w:sz w:val="18"/>
                <w:szCs w:val="18"/>
              </w:rPr>
            </w:pPr>
            <w:r w:rsidRPr="00AA7F4C">
              <w:rPr>
                <w:color w:val="000000" w:themeColor="text1"/>
                <w:sz w:val="18"/>
                <w:szCs w:val="18"/>
              </w:rPr>
              <w:t xml:space="preserve"> TUs&gt;6, heavily toxicity</w:t>
            </w:r>
          </w:p>
        </w:tc>
      </w:tr>
      <w:tr w:rsidR="00AA7F4C" w:rsidRPr="00AA7F4C" w:rsidTr="00D958F4">
        <w:trPr>
          <w:gridAfter w:val="1"/>
          <w:wAfter w:w="147" w:type="dxa"/>
        </w:trPr>
        <w:tc>
          <w:tcPr>
            <w:tcW w:w="1980" w:type="dxa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Potential ecological risk index (</w:t>
            </w:r>
            <w:r w:rsidRPr="00AA7F4C">
              <w:rPr>
                <w:rFonts w:eastAsiaTheme="minorHAnsi"/>
                <w:noProof/>
                <w:color w:val="000000" w:themeColor="text1"/>
                <w:sz w:val="18"/>
                <w:szCs w:val="18"/>
              </w:rPr>
              <w:t>RI)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=</w:t>
            </w:r>
            <w:r w:rsidRPr="00AA7F4C">
              <w:rPr>
                <w:rFonts w:eastAsiaTheme="minorEastAsia"/>
                <w:color w:val="000000" w:themeColor="text1"/>
                <w:sz w:val="18"/>
                <w:szCs w:val="18"/>
                <w:lang w:val="en-GB"/>
              </w:rPr>
              <w:t xml:space="preserve">                                                                            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18"/>
                  <w:szCs w:val="18"/>
                  <w:lang w:val="en-GB"/>
                </w:rPr>
                <m:t xml:space="preserve">PERI=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r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i</m:t>
                      </m:r>
                    </m:sup>
                  </m:sSubSup>
                </m:e>
              </m:nary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18"/>
                  <w:szCs w:val="18"/>
                  <w:lang w:val="en-GB"/>
                </w:rPr>
                <m:t xml:space="preserve">= 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r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sz w:val="18"/>
                          <w:szCs w:val="18"/>
                          <w:lang w:val="en-GB"/>
                        </w:rPr>
                        <m:t>i</m:t>
                      </m:r>
                    </m:sup>
                  </m:sSubSup>
                </m:e>
              </m:nary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18"/>
                  <w:szCs w:val="18"/>
                  <w:lang w:val="en-GB"/>
                </w:rPr>
                <m:t xml:space="preserve">× </m:t>
              </m:r>
              <m:sSubSup>
                <m:sSubSupPr>
                  <m:ctrl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r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18"/>
                      <w:szCs w:val="18"/>
                      <w:lang w:val="en-GB"/>
                    </w:rPr>
                    <m:t>i</m:t>
                  </m:r>
                </m:sup>
              </m:sSubSup>
            </m:oMath>
            <w:r w:rsidRPr="00AA7F4C">
              <w:rPr>
                <w:rFonts w:eastAsiaTheme="minorEastAsia"/>
                <w:color w:val="000000" w:themeColor="text1"/>
                <w:sz w:val="18"/>
                <w:szCs w:val="18"/>
                <w:lang w:val="en-GB"/>
              </w:rPr>
              <w:t xml:space="preserve">                                       </w:t>
            </w: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        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 xml:space="preserve">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Hakanson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bidi="ar-SA"/>
              </w:rPr>
              <w:t>, 1980)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- RI &lt; 150: Low ecological risk.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- RI = 150 &lt; 300: Moderate.</w:t>
            </w: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line="360" w:lineRule="auto"/>
              <w:ind w:right="-360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>- RI = 300 &lt; 600: High.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="Calibri"/>
                <w:color w:val="000000" w:themeColor="text1"/>
                <w:sz w:val="18"/>
                <w:szCs w:val="18"/>
              </w:rPr>
              <w:t xml:space="preserve">- RI ≥ 600: Very high environmental risk index. </w:t>
            </w:r>
          </w:p>
        </w:tc>
      </w:tr>
      <w:tr w:rsidR="00D8789B" w:rsidRPr="00AA7F4C" w:rsidTr="00D958F4">
        <w:tc>
          <w:tcPr>
            <w:tcW w:w="2547" w:type="dxa"/>
            <w:gridSpan w:val="2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b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Modified hazard quotient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autoSpaceDE w:val="0"/>
              <w:autoSpaceDN w:val="0"/>
              <w:adjustRightInd w:val="0"/>
              <w:spacing w:after="260" w:line="360" w:lineRule="auto"/>
              <w:ind w:right="-360"/>
              <w:rPr>
                <w:rFonts w:eastAsia="Calibri"/>
                <w:color w:val="000000" w:themeColor="text1"/>
                <w:sz w:val="18"/>
                <w:szCs w:val="18"/>
              </w:rPr>
            </w:pPr>
          </w:p>
          <w:p w:rsidR="00D8789B" w:rsidRPr="00AA7F4C" w:rsidRDefault="00D8789B" w:rsidP="00D958F4">
            <w:pPr>
              <w:autoSpaceDE w:val="0"/>
              <w:autoSpaceDN w:val="0"/>
              <w:adjustRightInd w:val="0"/>
              <w:spacing w:after="260" w:line="360" w:lineRule="auto"/>
              <w:ind w:right="-360"/>
              <w:rPr>
                <w:color w:val="000000" w:themeColor="text1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Theme="minorHAnsi" w:hAnsi="Cambria Math"/>
                    <w:color w:val="000000" w:themeColor="text1"/>
                    <w:sz w:val="18"/>
                    <w:szCs w:val="18"/>
                  </w:rPr>
                  <m:t>mHQ=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color w:val="000000" w:themeColor="text1"/>
                        <w:sz w:val="18"/>
                        <w:szCs w:val="18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HAnsi" w:hAnsi="Cambria Math"/>
                            <w:color w:val="000000" w:themeColor="text1"/>
                            <w:sz w:val="18"/>
                            <w:szCs w:val="1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TEL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PEL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color w:val="000000" w:themeColor="text1"/>
                                <w:sz w:val="18"/>
                                <w:szCs w:val="18"/>
                              </w:rPr>
                              <m:t>+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HAnsi" w:hAnsi="Cambria Math"/>
                                    <w:color w:val="000000" w:themeColor="text1"/>
                                    <w:sz w:val="18"/>
                                    <w:szCs w:val="18"/>
                                  </w:rPr>
                                  <m:t>1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SEL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HAnsi" w:hAnsi="Cambria Math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Theme="minorHAnsi" w:hAnsi="Cambria Math"/>
                            <w:color w:val="000000" w:themeColor="text1"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color w:val="000000" w:themeColor="text1"/>
                            <w:sz w:val="18"/>
                            <w:szCs w:val="18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color w:val="000000" w:themeColor="text1"/>
                            <w:sz w:val="18"/>
                            <w:szCs w:val="18"/>
                          </w:rPr>
                          <m:t>2</m:t>
                        </m:r>
                      </m:den>
                    </m:f>
                  </m:sup>
                </m:sSup>
              </m:oMath>
            </m:oMathPara>
          </w:p>
          <w:p w:rsidR="00D8789B" w:rsidRPr="00AA7F4C" w:rsidRDefault="00D8789B" w:rsidP="00D958F4">
            <w:pPr>
              <w:spacing w:line="360" w:lineRule="auto"/>
              <w:rPr>
                <w:rFonts w:eastAsia="Calibri"/>
                <w:b/>
                <w:color w:val="000000" w:themeColor="text1"/>
                <w:sz w:val="18"/>
                <w:szCs w:val="18"/>
                <w:lang w:val="fr-FR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                   (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Emenike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et </w:t>
            </w:r>
            <w:proofErr w:type="gram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al.,</w:t>
            </w:r>
            <w:proofErr w:type="gram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2020)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</w:tcBorders>
          </w:tcPr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proofErr w:type="gram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proofErr w:type="gram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&lt; 0.5: Nil severity of contamination.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- 0.5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 xml:space="preserve">&lt;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1: Very low severity.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- 1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1.5: Low severity.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- 1.5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 xml:space="preserve">&lt;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2: Moderate severity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- 2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 xml:space="preserve">&lt;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2.5: Considerable severity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- 2.5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 xml:space="preserve">&lt;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3: High severity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- 3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>&lt;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</w:t>
            </w:r>
            <w:r w:rsidRPr="00AA7F4C">
              <w:rPr>
                <w:rFonts w:eastAsiaTheme="minorHAnsi"/>
                <w:iCs/>
                <w:color w:val="000000" w:themeColor="text1"/>
                <w:sz w:val="18"/>
                <w:szCs w:val="18"/>
              </w:rPr>
              <w:t xml:space="preserve">&lt; </w:t>
            </w: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3.5: Very high severity </w:t>
            </w:r>
          </w:p>
          <w:p w:rsidR="00D8789B" w:rsidRPr="00AA7F4C" w:rsidRDefault="00D8789B" w:rsidP="00D958F4">
            <w:pPr>
              <w:spacing w:line="360" w:lineRule="auto"/>
              <w:rPr>
                <w:rFonts w:eastAsiaTheme="minorHAnsi"/>
                <w:color w:val="000000" w:themeColor="text1"/>
                <w:sz w:val="18"/>
                <w:szCs w:val="18"/>
              </w:rPr>
            </w:pPr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- </w:t>
            </w:r>
            <w:proofErr w:type="spellStart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>mHQ</w:t>
            </w:r>
            <w:proofErr w:type="spellEnd"/>
            <w:r w:rsidRPr="00AA7F4C">
              <w:rPr>
                <w:rFonts w:eastAsiaTheme="minorHAnsi"/>
                <w:color w:val="000000" w:themeColor="text1"/>
                <w:sz w:val="18"/>
                <w:szCs w:val="18"/>
              </w:rPr>
              <w:t xml:space="preserve"> &gt; 3.5: Extreme severity of contamination</w:t>
            </w:r>
          </w:p>
        </w:tc>
      </w:tr>
    </w:tbl>
    <w:p w:rsidR="008355E7" w:rsidRPr="00AA7F4C" w:rsidRDefault="008355E7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D8789B" w:rsidRPr="00AA7F4C" w:rsidRDefault="00D8789B" w:rsidP="00D8789B">
      <w:pPr>
        <w:rPr>
          <w:rFonts w:ascii="MinionPro-Bold" w:hAnsi="MinionPro-Bold"/>
          <w:b/>
          <w:bCs/>
          <w:color w:val="000000" w:themeColor="text1"/>
          <w:sz w:val="18"/>
          <w:szCs w:val="18"/>
        </w:rPr>
      </w:pPr>
      <w:r w:rsidRPr="00AA7F4C">
        <w:rPr>
          <w:rFonts w:ascii="MinionPro-Bold" w:hAnsi="MinionPro-Bold"/>
          <w:b/>
          <w:bCs/>
          <w:color w:val="000000" w:themeColor="text1"/>
          <w:sz w:val="18"/>
          <w:szCs w:val="18"/>
        </w:rPr>
        <w:t xml:space="preserve">Table S2 </w:t>
      </w:r>
      <w:r w:rsidRPr="00AA7F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Input values for exposure assessment of PTEs through ingestion and dermal routes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66"/>
        <w:gridCol w:w="1044"/>
        <w:gridCol w:w="1044"/>
        <w:gridCol w:w="931"/>
        <w:gridCol w:w="250"/>
      </w:tblGrid>
      <w:tr w:rsidR="00AA7F4C" w:rsidRPr="00AA7F4C" w:rsidTr="00D958F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Exposure 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Adults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Children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Units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mg/L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IngR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mg/day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InhR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/day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Days/year</w:t>
            </w: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cm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ABS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unitless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AA7F4C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mg/cm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/day</w:t>
            </w:r>
          </w:p>
        </w:tc>
      </w:tr>
      <w:tr w:rsidR="00D8789B" w:rsidRPr="00AA7F4C" w:rsidTr="00D958F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1.36 × 10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1.36 × 10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/kg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789B" w:rsidRPr="00AA7F4C" w:rsidRDefault="00D8789B" w:rsidP="00D958F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:rsidR="00F243D0" w:rsidRPr="00AA7F4C" w:rsidRDefault="00F243D0" w:rsidP="00D8789B">
      <w:pPr>
        <w:tabs>
          <w:tab w:val="left" w:pos="2602"/>
        </w:tabs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F243D0" w:rsidRPr="00AA7F4C" w:rsidRDefault="00F243D0" w:rsidP="00D8789B">
      <w:pPr>
        <w:tabs>
          <w:tab w:val="left" w:pos="2602"/>
        </w:tabs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F243D0" w:rsidRPr="00AA7F4C" w:rsidRDefault="00F243D0" w:rsidP="00F243D0">
      <w:pPr>
        <w:tabs>
          <w:tab w:val="left" w:pos="2602"/>
        </w:tabs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A7F4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S3 </w:t>
      </w:r>
      <w:proofErr w:type="spellStart"/>
      <w:r w:rsidRPr="00AA7F4C">
        <w:rPr>
          <w:rFonts w:ascii="Times New Roman" w:hAnsi="Times New Roman" w:cs="Times New Roman"/>
          <w:color w:val="000000" w:themeColor="text1"/>
          <w:sz w:val="20"/>
          <w:szCs w:val="20"/>
        </w:rPr>
        <w:t>Rfds</w:t>
      </w:r>
      <w:proofErr w:type="spellEnd"/>
      <w:r w:rsidRPr="00AA7F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CSFs used for health risk assessment in this Study </w:t>
      </w:r>
    </w:p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6"/>
        <w:gridCol w:w="960"/>
        <w:gridCol w:w="966"/>
      </w:tblGrid>
      <w:tr w:rsidR="00AA7F4C" w:rsidRPr="00AA7F4C" w:rsidTr="009404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Mn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As</w:t>
            </w:r>
          </w:p>
        </w:tc>
      </w:tr>
      <w:tr w:rsidR="00AA7F4C" w:rsidRPr="00AA7F4C" w:rsidTr="009404F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RfD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ing</w:t>
            </w:r>
            <w:proofErr w:type="spellEnd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0.047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0.0035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0.3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0.0003</w:t>
            </w:r>
          </w:p>
        </w:tc>
      </w:tr>
      <w:tr w:rsidR="00AA7F4C" w:rsidRPr="00AA7F4C" w:rsidTr="009404F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RfD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derm</w:t>
            </w:r>
            <w:proofErr w:type="spellEnd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0.000301</w:t>
            </w:r>
          </w:p>
        </w:tc>
      </w:tr>
      <w:tr w:rsidR="00AA7F4C" w:rsidRPr="00AA7F4C" w:rsidTr="009404FE">
        <w:trPr>
          <w:trHeight w:val="300"/>
        </w:trPr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CSF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ing</w:t>
            </w:r>
            <w:proofErr w:type="spellEnd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0.0038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–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1.70E + 00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0.0085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1.50E + 00</w:t>
            </w:r>
          </w:p>
        </w:tc>
      </w:tr>
      <w:tr w:rsidR="00F243D0" w:rsidRPr="00AA7F4C" w:rsidTr="009404F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CSF</w:t>
            </w: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derm</w:t>
            </w:r>
            <w:proofErr w:type="spellEnd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2.00E + 01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4.25E + 01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–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9404FE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3.66E + 00</w:t>
            </w:r>
          </w:p>
        </w:tc>
      </w:tr>
    </w:tbl>
    <w:p w:rsidR="00F243D0" w:rsidRPr="00AA7F4C" w:rsidRDefault="00F243D0" w:rsidP="00F243D0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F243D0" w:rsidRPr="00AA7F4C" w:rsidRDefault="00F243D0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A7F4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:rsidR="00D8789B" w:rsidRPr="00AA7F4C" w:rsidRDefault="00F243D0" w:rsidP="00D8789B">
      <w:pPr>
        <w:tabs>
          <w:tab w:val="left" w:pos="2602"/>
        </w:tabs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A7F4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S4 </w:t>
      </w:r>
      <w:r w:rsidRPr="00AA7F4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Sample location and geographical coordinates of the study area</w:t>
      </w:r>
      <w:r w:rsidRPr="00AA7F4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20"/>
        <w:gridCol w:w="327"/>
        <w:gridCol w:w="1513"/>
        <w:gridCol w:w="1712"/>
        <w:gridCol w:w="1860"/>
        <w:gridCol w:w="1444"/>
      </w:tblGrid>
      <w:tr w:rsidR="00AA7F4C" w:rsidRPr="00AA7F4C" w:rsidTr="00F243D0">
        <w:trPr>
          <w:trHeight w:val="300"/>
        </w:trPr>
        <w:tc>
          <w:tcPr>
            <w:tcW w:w="1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Sample code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Location </w:t>
            </w: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Latitude 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Longitude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      Elevation </w:t>
            </w:r>
          </w:p>
        </w:tc>
      </w:tr>
      <w:tr w:rsidR="00AA7F4C" w:rsidRPr="00AA7F4C" w:rsidTr="00F243D0">
        <w:trPr>
          <w:trHeight w:val="300"/>
        </w:trPr>
        <w:tc>
          <w:tcPr>
            <w:tcW w:w="15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ST1 and ST2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Ngodilom</w:t>
            </w:r>
            <w:proofErr w:type="spellEnd"/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04°1'20.9"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010°42'52.3"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303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5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ST3and ST4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Ngodilom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0401'14.7"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01043'01.8"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281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ST5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Ngodilom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04°01'15.3"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010°43'04.1"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290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ST6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Ngodilom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04°01'53.5"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010°43'53.7"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300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ST7&amp;ST8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sokla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04°01'35.2"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010°43'46.9"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336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ST9&amp;ST10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Lepaha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04°01'34.5"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010°43'47.7"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313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5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ST11A &amp;ST11B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Lepaha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04°01'35.8"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010°43'46.8"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406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ST12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Pogue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04°01'66.7"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010°43'27.9"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293</w:t>
            </w: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A7F4C" w:rsidRPr="00AA7F4C" w:rsidTr="00F243D0">
        <w:trPr>
          <w:trHeight w:val="300"/>
        </w:trPr>
        <w:tc>
          <w:tcPr>
            <w:tcW w:w="1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S13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Pogue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04°00'23.0"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010°41'39.9"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A7F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294</w:t>
            </w:r>
          </w:p>
        </w:tc>
      </w:tr>
      <w:tr w:rsidR="00F243D0" w:rsidRPr="00AA7F4C" w:rsidTr="00F243D0">
        <w:trPr>
          <w:trHeight w:val="300"/>
        </w:trPr>
        <w:tc>
          <w:tcPr>
            <w:tcW w:w="14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3D0" w:rsidRPr="00AA7F4C" w:rsidRDefault="00F243D0" w:rsidP="00F243D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D958F4" w:rsidRPr="00AA7F4C" w:rsidRDefault="00D958F4" w:rsidP="00E46CBC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sectPr w:rsidR="00D958F4" w:rsidRPr="00AA7F4C" w:rsidSect="00AA7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UnicodeM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2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92D"/>
    <w:rsid w:val="000240D3"/>
    <w:rsid w:val="000D4514"/>
    <w:rsid w:val="00207CBF"/>
    <w:rsid w:val="004F31F3"/>
    <w:rsid w:val="0067292D"/>
    <w:rsid w:val="0069770C"/>
    <w:rsid w:val="007F2137"/>
    <w:rsid w:val="008355E7"/>
    <w:rsid w:val="00932E3E"/>
    <w:rsid w:val="00967FE9"/>
    <w:rsid w:val="009C29F0"/>
    <w:rsid w:val="009D73F4"/>
    <w:rsid w:val="00AA7F4C"/>
    <w:rsid w:val="00B33DB4"/>
    <w:rsid w:val="00D8789B"/>
    <w:rsid w:val="00D90D9A"/>
    <w:rsid w:val="00D958F4"/>
    <w:rsid w:val="00E46CBC"/>
    <w:rsid w:val="00F22FEA"/>
    <w:rsid w:val="00F243D0"/>
    <w:rsid w:val="00F91226"/>
    <w:rsid w:val="00FB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357293-D316-4016-8463-4BF56337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CBC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E46CBC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E46CBC"/>
    <w:rPr>
      <w:rFonts w:ascii="ArialUnicodeMS" w:hAnsi="ArialUnicodeM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E46CBC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rsid w:val="00D87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gu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95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7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Tiabou</dc:creator>
  <cp:lastModifiedBy>Mythili  Venkatesan</cp:lastModifiedBy>
  <cp:revision>8</cp:revision>
  <dcterms:created xsi:type="dcterms:W3CDTF">2025-04-09T09:44:00Z</dcterms:created>
  <dcterms:modified xsi:type="dcterms:W3CDTF">2025-09-16T10:33:00Z</dcterms:modified>
</cp:coreProperties>
</file>