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496" w:rsidRPr="00D33820" w:rsidRDefault="004D7496" w:rsidP="004D7496">
      <w:pPr>
        <w:spacing w:before="104" w:line="271" w:lineRule="auto"/>
        <w:ind w:left="262" w:right="258"/>
        <w:jc w:val="center"/>
        <w:rPr>
          <w:rFonts w:ascii="Times New Roman" w:eastAsia="Calibri" w:hAnsi="Times New Roman" w:cs="Times New Roman"/>
          <w:b/>
          <w:sz w:val="34"/>
          <w:lang w:eastAsia="en-US"/>
        </w:rPr>
      </w:pPr>
      <w:bookmarkStart w:id="0" w:name="_GoBack"/>
      <w:r w:rsidRPr="004D7496">
        <w:rPr>
          <w:rFonts w:ascii="Times New Roman" w:eastAsia="Calibri" w:hAnsi="Times New Roman" w:cs="Times New Roman"/>
          <w:b/>
          <w:sz w:val="34"/>
          <w:lang w:eastAsia="en-US"/>
        </w:rPr>
        <w:t>Mechanisms of Microplastics Sorption of Antibiotics and Impacts on Aquatic Ecosystems for Sustainable Development Goals</w:t>
      </w:r>
    </w:p>
    <w:p w:rsidR="00821A92" w:rsidRPr="0042111E" w:rsidRDefault="00821A92" w:rsidP="0042111E">
      <w:pPr>
        <w:spacing w:before="104" w:line="271" w:lineRule="auto"/>
        <w:ind w:left="262" w:right="258"/>
        <w:jc w:val="center"/>
        <w:rPr>
          <w:rFonts w:ascii="Times New Roman" w:eastAsia="Calibri" w:hAnsi="Times New Roman" w:cs="Times New Roman"/>
          <w:b/>
          <w:sz w:val="34"/>
          <w:lang w:eastAsia="en-US"/>
        </w:rPr>
      </w:pPr>
    </w:p>
    <w:p w:rsidR="0042111E" w:rsidRPr="00C81F04" w:rsidRDefault="0042111E" w:rsidP="0042111E">
      <w:pPr>
        <w:widowControl w:val="0"/>
        <w:autoSpaceDE w:val="0"/>
        <w:autoSpaceDN w:val="0"/>
        <w:spacing w:before="286" w:after="0" w:line="240" w:lineRule="auto"/>
        <w:jc w:val="center"/>
        <w:rPr>
          <w:rFonts w:ascii="Times New Roman" w:eastAsia="Georgia" w:hAnsi="Times New Roman" w:cs="Times New Roman"/>
          <w:sz w:val="24"/>
          <w:szCs w:val="24"/>
          <w:lang w:eastAsia="en-US" w:bidi="en-US"/>
        </w:rPr>
      </w:pPr>
      <w:r w:rsidRPr="00C81F04">
        <w:rPr>
          <w:rFonts w:ascii="Times New Roman" w:eastAsia="Georgia" w:hAnsi="Times New Roman" w:cs="Times New Roman"/>
          <w:sz w:val="24"/>
          <w:szCs w:val="24"/>
          <w:lang w:eastAsia="en-US" w:bidi="en-US"/>
        </w:rPr>
        <w:t>Obed Nwasen Likpalimor</w:t>
      </w:r>
      <w:r w:rsidRPr="00C81F04">
        <w:rPr>
          <w:rFonts w:ascii="Times New Roman" w:eastAsia="Georgia" w:hAnsi="Times New Roman" w:cs="Times New Roman"/>
          <w:position w:val="9"/>
          <w:sz w:val="24"/>
          <w:szCs w:val="24"/>
          <w:lang w:eastAsia="en-US" w:bidi="en-US"/>
        </w:rPr>
        <w:t>a,d*</w:t>
      </w:r>
      <w:r w:rsidRPr="00C81F04">
        <w:rPr>
          <w:rFonts w:ascii="Times New Roman" w:eastAsia="Georgia" w:hAnsi="Times New Roman" w:cs="Times New Roman"/>
          <w:sz w:val="24"/>
          <w:szCs w:val="24"/>
          <w:lang w:eastAsia="en-US" w:bidi="en-US"/>
        </w:rPr>
        <w:t xml:space="preserve">, </w:t>
      </w:r>
      <w:r w:rsidRPr="00C81F04">
        <w:rPr>
          <w:rFonts w:ascii="Times New Roman" w:eastAsia="Georgia" w:hAnsi="Times New Roman" w:cs="Times New Roman" w:hint="eastAsia"/>
          <w:sz w:val="24"/>
          <w:szCs w:val="24"/>
          <w:lang w:eastAsia="en-US" w:bidi="en-US"/>
        </w:rPr>
        <w:t>Shiwen</w:t>
      </w:r>
      <w:r w:rsidRPr="00C81F04">
        <w:rPr>
          <w:rFonts w:ascii="Times New Roman" w:eastAsia="Georgia" w:hAnsi="Times New Roman" w:cs="Times New Roman"/>
          <w:sz w:val="24"/>
          <w:szCs w:val="24"/>
          <w:lang w:eastAsia="en-US" w:bidi="en-US"/>
        </w:rPr>
        <w:t xml:space="preserve"> </w:t>
      </w:r>
      <w:r w:rsidRPr="00C81F04">
        <w:rPr>
          <w:rFonts w:ascii="Times New Roman" w:eastAsia="Georgia" w:hAnsi="Times New Roman" w:cs="Times New Roman" w:hint="eastAsia"/>
          <w:sz w:val="24"/>
          <w:szCs w:val="24"/>
          <w:lang w:eastAsia="en-US" w:bidi="en-US"/>
        </w:rPr>
        <w:t>Zhang</w:t>
      </w:r>
      <w:r w:rsidRPr="00C81F04">
        <w:rPr>
          <w:rFonts w:ascii="Times New Roman" w:eastAsia="Georgia" w:hAnsi="Times New Roman" w:cs="Times New Roman"/>
          <w:position w:val="9"/>
          <w:sz w:val="24"/>
          <w:szCs w:val="24"/>
          <w:lang w:eastAsia="en-US" w:bidi="en-US"/>
        </w:rPr>
        <w:t>a</w:t>
      </w:r>
      <w:r w:rsidRPr="00C81F04">
        <w:rPr>
          <w:rFonts w:ascii="Times New Roman" w:eastAsia="Georgia" w:hAnsi="Times New Roman" w:cs="Times New Roman"/>
          <w:sz w:val="24"/>
          <w:szCs w:val="24"/>
          <w:lang w:eastAsia="en-US" w:bidi="en-US"/>
        </w:rPr>
        <w:t>, Favour</w:t>
      </w:r>
      <w:r w:rsidRPr="00C81F04">
        <w:rPr>
          <w:rFonts w:ascii="Times New Roman" w:eastAsia="Georgia" w:hAnsi="Times New Roman" w:cs="Times New Roman" w:hint="eastAsia"/>
          <w:sz w:val="24"/>
          <w:szCs w:val="24"/>
          <w:lang w:eastAsia="en-US" w:bidi="en-US"/>
        </w:rPr>
        <w:t xml:space="preserve"> </w:t>
      </w:r>
      <w:r w:rsidRPr="00C81F04">
        <w:rPr>
          <w:rFonts w:ascii="Times New Roman" w:eastAsia="Georgia" w:hAnsi="Times New Roman" w:cs="Times New Roman"/>
          <w:sz w:val="24"/>
          <w:szCs w:val="24"/>
          <w:lang w:eastAsia="en-US" w:bidi="en-US"/>
        </w:rPr>
        <w:t>Iwueseter Adagbga</w:t>
      </w:r>
      <w:r w:rsidRPr="00C81F04">
        <w:rPr>
          <w:rFonts w:ascii="Times New Roman" w:eastAsia="Georgia" w:hAnsi="Times New Roman" w:cs="Times New Roman"/>
          <w:position w:val="9"/>
          <w:sz w:val="24"/>
          <w:szCs w:val="24"/>
          <w:lang w:eastAsia="en-US" w:bidi="en-US"/>
        </w:rPr>
        <w:t>b</w:t>
      </w:r>
      <w:r w:rsidRPr="00C81F04">
        <w:rPr>
          <w:rFonts w:ascii="Times New Roman" w:eastAsia="Georgia" w:hAnsi="Times New Roman" w:cs="Times New Roman"/>
          <w:sz w:val="24"/>
          <w:szCs w:val="24"/>
          <w:lang w:eastAsia="en-US" w:bidi="en-US"/>
        </w:rPr>
        <w:t xml:space="preserve">, </w:t>
      </w:r>
      <w:bookmarkStart w:id="1" w:name="_Hlk194964277"/>
    </w:p>
    <w:p w:rsidR="0042111E" w:rsidRPr="00C81F04" w:rsidRDefault="00A72319" w:rsidP="0042111E">
      <w:pPr>
        <w:widowControl w:val="0"/>
        <w:autoSpaceDE w:val="0"/>
        <w:autoSpaceDN w:val="0"/>
        <w:spacing w:before="286" w:after="0" w:line="240" w:lineRule="auto"/>
        <w:jc w:val="center"/>
        <w:rPr>
          <w:rFonts w:ascii="Times New Roman" w:eastAsia="Georgia" w:hAnsi="Times New Roman" w:cs="Times New Roman"/>
          <w:sz w:val="24"/>
          <w:szCs w:val="24"/>
          <w:lang w:eastAsia="en-US" w:bidi="en-US"/>
        </w:rPr>
      </w:pPr>
      <w:r>
        <w:rPr>
          <w:rFonts w:ascii="Times New Roman" w:eastAsia="Georgia" w:hAnsi="Times New Roman" w:cs="Times New Roman"/>
          <w:sz w:val="24"/>
          <w:szCs w:val="24"/>
          <w:lang w:eastAsia="en-US" w:bidi="en-US"/>
        </w:rPr>
        <w:t>Sawyer</w:t>
      </w:r>
      <w:r w:rsidR="0042111E" w:rsidRPr="00C81F04">
        <w:rPr>
          <w:rFonts w:ascii="Times New Roman" w:eastAsia="Georgia" w:hAnsi="Times New Roman" w:cs="Times New Roman" w:hint="eastAsia"/>
          <w:sz w:val="24"/>
          <w:szCs w:val="24"/>
          <w:lang w:eastAsia="en-US" w:bidi="en-US"/>
        </w:rPr>
        <w:t xml:space="preserve"> </w:t>
      </w:r>
      <w:r w:rsidR="0042111E" w:rsidRPr="00C81F04">
        <w:rPr>
          <w:rFonts w:ascii="Times New Roman" w:eastAsia="Georgia" w:hAnsi="Times New Roman" w:cs="Times New Roman"/>
          <w:sz w:val="24"/>
          <w:szCs w:val="24"/>
          <w:lang w:eastAsia="en-US" w:bidi="en-US"/>
        </w:rPr>
        <w:t>Fatoye</w:t>
      </w:r>
      <w:bookmarkEnd w:id="1"/>
      <w:r w:rsidR="0042111E" w:rsidRPr="00C81F04">
        <w:rPr>
          <w:rFonts w:ascii="Times New Roman" w:eastAsia="Georgia" w:hAnsi="Times New Roman" w:cs="Times New Roman"/>
          <w:position w:val="9"/>
          <w:sz w:val="24"/>
          <w:szCs w:val="24"/>
          <w:lang w:eastAsia="en-US" w:bidi="en-US"/>
        </w:rPr>
        <w:t>c</w:t>
      </w:r>
      <w:r w:rsidR="0042111E" w:rsidRPr="00C81F04">
        <w:rPr>
          <w:rFonts w:ascii="Times New Roman" w:eastAsia="Georgia" w:hAnsi="Times New Roman" w:cs="Times New Roman"/>
          <w:sz w:val="24"/>
          <w:szCs w:val="24"/>
          <w:lang w:eastAsia="en-US" w:bidi="en-US"/>
        </w:rPr>
        <w:t>, King Jones Adega</w:t>
      </w:r>
      <w:r w:rsidR="0042111E" w:rsidRPr="00C81F04">
        <w:rPr>
          <w:rFonts w:ascii="Times New Roman" w:eastAsia="Georgia" w:hAnsi="Times New Roman" w:cs="Times New Roman"/>
          <w:position w:val="9"/>
          <w:sz w:val="24"/>
          <w:szCs w:val="24"/>
          <w:lang w:eastAsia="en-US" w:bidi="en-US"/>
        </w:rPr>
        <w:t>d</w:t>
      </w:r>
      <w:r w:rsidR="0042111E" w:rsidRPr="00C81F04">
        <w:rPr>
          <w:rFonts w:ascii="Times New Roman" w:eastAsia="Georgia" w:hAnsi="Times New Roman" w:cs="Times New Roman"/>
          <w:sz w:val="24"/>
          <w:szCs w:val="24"/>
          <w:lang w:eastAsia="en-US" w:bidi="en-US"/>
        </w:rPr>
        <w:t>, Joab Njue</w:t>
      </w:r>
      <w:r w:rsidR="0042111E" w:rsidRPr="00C81F04">
        <w:rPr>
          <w:rFonts w:ascii="Times New Roman" w:eastAsia="Georgia" w:hAnsi="Times New Roman" w:cs="Times New Roman"/>
          <w:position w:val="9"/>
          <w:sz w:val="24"/>
          <w:szCs w:val="24"/>
          <w:lang w:eastAsia="en-US" w:bidi="en-US"/>
        </w:rPr>
        <w:t>d</w:t>
      </w:r>
    </w:p>
    <w:p w:rsidR="0042111E" w:rsidRDefault="0042111E" w:rsidP="0042111E">
      <w:pPr>
        <w:spacing w:before="183"/>
        <w:ind w:left="1677" w:hanging="1278"/>
        <w:jc w:val="center"/>
        <w:rPr>
          <w:rFonts w:ascii="Times New Roman" w:eastAsia="Calibri" w:hAnsi="Times New Roman" w:cs="Times New Roman"/>
          <w:i/>
          <w:iCs/>
          <w:position w:val="7"/>
          <w:sz w:val="20"/>
          <w:szCs w:val="20"/>
          <w:lang w:eastAsia="en-US"/>
        </w:rPr>
      </w:pPr>
    </w:p>
    <w:p w:rsidR="00D33820" w:rsidRDefault="00D33820" w:rsidP="0042111E">
      <w:pPr>
        <w:spacing w:before="183"/>
        <w:ind w:left="1677" w:hanging="1278"/>
        <w:jc w:val="center"/>
        <w:rPr>
          <w:rFonts w:ascii="Times New Roman" w:eastAsia="Calibri" w:hAnsi="Times New Roman" w:cs="Times New Roman"/>
          <w:position w:val="7"/>
          <w:sz w:val="24"/>
          <w:szCs w:val="24"/>
          <w:lang w:eastAsia="en-US"/>
        </w:rPr>
      </w:pPr>
    </w:p>
    <w:p w:rsidR="00D33820" w:rsidRPr="00FD4BE4" w:rsidRDefault="00D33820" w:rsidP="00D33820">
      <w:pPr>
        <w:spacing w:before="183"/>
        <w:ind w:left="1677" w:hanging="1278"/>
        <w:jc w:val="center"/>
        <w:rPr>
          <w:rFonts w:ascii="Times New Roman" w:hAnsi="Times New Roman" w:cs="Times New Roman"/>
          <w:position w:val="7"/>
          <w:sz w:val="24"/>
          <w:szCs w:val="24"/>
        </w:rPr>
      </w:pPr>
      <w:r w:rsidRPr="00FD4BE4">
        <w:rPr>
          <w:rFonts w:ascii="Times New Roman" w:hAnsi="Times New Roman" w:cs="Times New Roman"/>
          <w:iCs/>
          <w:position w:val="7"/>
          <w:sz w:val="24"/>
          <w:szCs w:val="24"/>
          <w:vertAlign w:val="superscript"/>
        </w:rPr>
        <w:t>a</w:t>
      </w:r>
      <w:r w:rsidRPr="00FD4BE4">
        <w:rPr>
          <w:rFonts w:ascii="Times New Roman" w:hAnsi="Times New Roman" w:cs="Times New Roman"/>
          <w:position w:val="7"/>
          <w:sz w:val="24"/>
          <w:szCs w:val="24"/>
        </w:rPr>
        <w:t> School of Earth and Environment, Anhui University of Science and Technology,</w:t>
      </w:r>
      <w:r>
        <w:rPr>
          <w:rFonts w:ascii="Times New Roman" w:hAnsi="Times New Roman" w:cs="Times New Roman"/>
          <w:position w:val="7"/>
          <w:sz w:val="24"/>
          <w:szCs w:val="24"/>
        </w:rPr>
        <w:t xml:space="preserve"> </w:t>
      </w:r>
      <w:r w:rsidRPr="00313A48">
        <w:rPr>
          <w:rFonts w:ascii="Times New Roman" w:hAnsi="Times New Roman" w:cs="Times New Roman"/>
          <w:position w:val="7"/>
          <w:sz w:val="24"/>
          <w:szCs w:val="24"/>
        </w:rPr>
        <w:t>Huainan 232001, PR China.</w:t>
      </w:r>
    </w:p>
    <w:p w:rsidR="00D33820" w:rsidRPr="00FD4BE4" w:rsidRDefault="00D33820" w:rsidP="00D33820">
      <w:pPr>
        <w:spacing w:before="183"/>
        <w:ind w:left="1677" w:hanging="1278"/>
        <w:jc w:val="center"/>
        <w:rPr>
          <w:rFonts w:ascii="Times New Roman" w:hAnsi="Times New Roman" w:cs="Times New Roman"/>
          <w:iCs/>
          <w:position w:val="7"/>
          <w:sz w:val="24"/>
          <w:szCs w:val="24"/>
        </w:rPr>
      </w:pPr>
    </w:p>
    <w:p w:rsidR="00D33820" w:rsidRPr="00FD4BE4" w:rsidRDefault="00D33820" w:rsidP="00D33820">
      <w:pPr>
        <w:spacing w:before="183"/>
        <w:ind w:left="1677" w:hanging="1278"/>
        <w:jc w:val="center"/>
        <w:rPr>
          <w:rFonts w:ascii="Times New Roman" w:hAnsi="Times New Roman" w:cs="Times New Roman"/>
          <w:position w:val="7"/>
          <w:sz w:val="24"/>
          <w:szCs w:val="24"/>
        </w:rPr>
      </w:pPr>
      <w:r w:rsidRPr="00FD4BE4">
        <w:rPr>
          <w:rFonts w:ascii="Times New Roman" w:hAnsi="Times New Roman" w:cs="Times New Roman"/>
          <w:iCs/>
          <w:position w:val="7"/>
          <w:sz w:val="24"/>
          <w:szCs w:val="24"/>
          <w:vertAlign w:val="superscript"/>
        </w:rPr>
        <w:t>b</w:t>
      </w:r>
      <w:r w:rsidRPr="00FD4BE4">
        <w:rPr>
          <w:rFonts w:ascii="Times New Roman" w:hAnsi="Times New Roman" w:cs="Times New Roman"/>
          <w:position w:val="7"/>
          <w:sz w:val="24"/>
          <w:szCs w:val="24"/>
        </w:rPr>
        <w:t> School Economics and Management, Anhui University of Science and Technology,</w:t>
      </w:r>
      <w:r w:rsidRPr="00A57C5F">
        <w:rPr>
          <w:rFonts w:ascii="Times New Roman" w:hAnsi="Times New Roman" w:cs="Times New Roman"/>
          <w:position w:val="7"/>
          <w:sz w:val="24"/>
          <w:szCs w:val="24"/>
        </w:rPr>
        <w:t xml:space="preserve"> </w:t>
      </w:r>
      <w:r w:rsidRPr="00313A48">
        <w:rPr>
          <w:rFonts w:ascii="Times New Roman" w:hAnsi="Times New Roman" w:cs="Times New Roman"/>
          <w:position w:val="7"/>
          <w:sz w:val="24"/>
          <w:szCs w:val="24"/>
        </w:rPr>
        <w:t>Huainan 232001, PR China.</w:t>
      </w:r>
    </w:p>
    <w:p w:rsidR="00D33820" w:rsidRPr="00FD4BE4" w:rsidRDefault="00D33820" w:rsidP="00D33820">
      <w:pPr>
        <w:spacing w:before="183"/>
        <w:ind w:left="1677" w:hanging="1278"/>
        <w:jc w:val="center"/>
        <w:rPr>
          <w:rFonts w:ascii="Times New Roman" w:hAnsi="Times New Roman" w:cs="Times New Roman"/>
          <w:position w:val="7"/>
          <w:sz w:val="24"/>
          <w:szCs w:val="24"/>
        </w:rPr>
      </w:pPr>
    </w:p>
    <w:p w:rsidR="00D33820" w:rsidRPr="00FD4BE4" w:rsidRDefault="00D33820" w:rsidP="00D33820">
      <w:pPr>
        <w:spacing w:before="183"/>
        <w:ind w:left="1677" w:hanging="1278"/>
        <w:jc w:val="center"/>
        <w:rPr>
          <w:rFonts w:ascii="Times New Roman" w:hAnsi="Times New Roman" w:cs="Times New Roman"/>
          <w:position w:val="7"/>
          <w:sz w:val="24"/>
          <w:szCs w:val="24"/>
        </w:rPr>
      </w:pPr>
      <w:r w:rsidRPr="00FD4BE4">
        <w:rPr>
          <w:rFonts w:ascii="Times New Roman" w:hAnsi="Times New Roman" w:cs="Times New Roman"/>
          <w:iCs/>
          <w:position w:val="7"/>
          <w:sz w:val="24"/>
          <w:szCs w:val="24"/>
          <w:vertAlign w:val="superscript"/>
        </w:rPr>
        <w:t>c</w:t>
      </w:r>
      <w:r w:rsidRPr="00FD4BE4">
        <w:rPr>
          <w:rFonts w:ascii="Times New Roman" w:hAnsi="Times New Roman" w:cs="Times New Roman"/>
          <w:position w:val="7"/>
          <w:sz w:val="24"/>
          <w:szCs w:val="24"/>
        </w:rPr>
        <w:t xml:space="preserve"> School of Materials Science and Engineering, Northwestern Polytechnical University, </w:t>
      </w:r>
      <w:r w:rsidRPr="004D41A9">
        <w:rPr>
          <w:rFonts w:ascii="Times New Roman" w:hAnsi="Times New Roman" w:cs="Times New Roman"/>
          <w:bCs/>
          <w:position w:val="7"/>
          <w:sz w:val="24"/>
          <w:szCs w:val="24"/>
        </w:rPr>
        <w:t>Xi’an 710072, PR China</w:t>
      </w:r>
      <w:r>
        <w:rPr>
          <w:rFonts w:ascii="Times New Roman" w:hAnsi="Times New Roman" w:cs="Times New Roman"/>
          <w:bCs/>
          <w:position w:val="7"/>
          <w:sz w:val="24"/>
          <w:szCs w:val="24"/>
        </w:rPr>
        <w:t>.</w:t>
      </w:r>
    </w:p>
    <w:p w:rsidR="00D33820" w:rsidRPr="00FD4BE4" w:rsidRDefault="00D33820" w:rsidP="00D33820">
      <w:pPr>
        <w:spacing w:before="183"/>
        <w:ind w:left="1677" w:hanging="1278"/>
        <w:jc w:val="center"/>
        <w:rPr>
          <w:rFonts w:ascii="Times New Roman" w:hAnsi="Times New Roman" w:cs="Times New Roman"/>
          <w:position w:val="7"/>
          <w:sz w:val="24"/>
          <w:szCs w:val="24"/>
        </w:rPr>
      </w:pPr>
    </w:p>
    <w:p w:rsidR="00D33820" w:rsidRPr="00FD4BE4" w:rsidRDefault="00D33820" w:rsidP="00D33820">
      <w:pPr>
        <w:spacing w:before="183"/>
        <w:ind w:left="1677" w:hanging="1278"/>
        <w:jc w:val="center"/>
        <w:rPr>
          <w:rFonts w:ascii="Times New Roman" w:hAnsi="Times New Roman" w:cs="Times New Roman"/>
          <w:position w:val="7"/>
          <w:sz w:val="24"/>
          <w:szCs w:val="24"/>
        </w:rPr>
      </w:pPr>
      <w:r w:rsidRPr="00FD4BE4">
        <w:rPr>
          <w:rFonts w:ascii="Times New Roman" w:hAnsi="Times New Roman" w:cs="Times New Roman"/>
          <w:iCs/>
          <w:position w:val="7"/>
          <w:sz w:val="24"/>
          <w:szCs w:val="24"/>
          <w:vertAlign w:val="superscript"/>
        </w:rPr>
        <w:t>d</w:t>
      </w:r>
      <w:r w:rsidRPr="00FD4BE4">
        <w:rPr>
          <w:rFonts w:ascii="Times New Roman" w:hAnsi="Times New Roman" w:cs="Times New Roman"/>
          <w:position w:val="7"/>
          <w:sz w:val="24"/>
          <w:szCs w:val="24"/>
        </w:rPr>
        <w:t> School of Environmental Science and Engineering, Suzhou University of Science and Technology,</w:t>
      </w:r>
      <w:r>
        <w:rPr>
          <w:rFonts w:ascii="Times New Roman" w:hAnsi="Times New Roman" w:cs="Times New Roman"/>
          <w:position w:val="7"/>
          <w:sz w:val="24"/>
          <w:szCs w:val="24"/>
        </w:rPr>
        <w:t xml:space="preserve"> Suzhou </w:t>
      </w:r>
      <w:r w:rsidRPr="00154E25">
        <w:rPr>
          <w:rFonts w:ascii="Times New Roman" w:hAnsi="Times New Roman" w:cs="Times New Roman"/>
          <w:position w:val="7"/>
          <w:sz w:val="24"/>
          <w:szCs w:val="24"/>
        </w:rPr>
        <w:t>215009</w:t>
      </w:r>
      <w:r>
        <w:rPr>
          <w:rFonts w:ascii="Times New Roman" w:hAnsi="Times New Roman" w:cs="Times New Roman"/>
          <w:position w:val="7"/>
          <w:sz w:val="24"/>
          <w:szCs w:val="24"/>
        </w:rPr>
        <w:t>,</w:t>
      </w:r>
      <w:r w:rsidRPr="00FD4BE4">
        <w:rPr>
          <w:rFonts w:ascii="Times New Roman" w:hAnsi="Times New Roman" w:cs="Times New Roman"/>
          <w:position w:val="7"/>
          <w:sz w:val="24"/>
          <w:szCs w:val="24"/>
        </w:rPr>
        <w:t xml:space="preserve"> </w:t>
      </w:r>
      <w:r w:rsidRPr="004D41A9">
        <w:rPr>
          <w:rFonts w:ascii="Times New Roman" w:hAnsi="Times New Roman" w:cs="Times New Roman"/>
          <w:bCs/>
          <w:position w:val="7"/>
          <w:sz w:val="24"/>
          <w:szCs w:val="24"/>
        </w:rPr>
        <w:t>PR China</w:t>
      </w:r>
      <w:r>
        <w:rPr>
          <w:rFonts w:ascii="Times New Roman" w:hAnsi="Times New Roman" w:cs="Times New Roman"/>
          <w:bCs/>
          <w:position w:val="7"/>
          <w:sz w:val="24"/>
          <w:szCs w:val="24"/>
        </w:rPr>
        <w:t>.</w:t>
      </w:r>
    </w:p>
    <w:p w:rsidR="00D33820" w:rsidRDefault="00D33820" w:rsidP="00D33820">
      <w:pPr>
        <w:spacing w:before="183"/>
        <w:rPr>
          <w:rFonts w:ascii="Times New Roman" w:hAnsi="Times New Roman" w:cs="Times New Roman"/>
          <w:i/>
          <w:position w:val="7"/>
          <w:sz w:val="24"/>
          <w:szCs w:val="24"/>
        </w:rPr>
      </w:pPr>
    </w:p>
    <w:p w:rsidR="00D33820" w:rsidRPr="00C059C6" w:rsidRDefault="00D33820" w:rsidP="00D33820">
      <w:pPr>
        <w:spacing w:before="183"/>
        <w:ind w:left="1677" w:hanging="1278"/>
        <w:jc w:val="center"/>
        <w:rPr>
          <w:rFonts w:ascii="Times New Roman" w:hAnsi="Times New Roman" w:cs="Times New Roman"/>
          <w:i/>
          <w:position w:val="7"/>
          <w:sz w:val="24"/>
          <w:szCs w:val="24"/>
        </w:rPr>
      </w:pPr>
    </w:p>
    <w:p w:rsidR="00D33820" w:rsidRPr="00C059C6" w:rsidRDefault="00D33820" w:rsidP="00D33820">
      <w:pPr>
        <w:spacing w:line="252" w:lineRule="auto"/>
        <w:ind w:left="4"/>
        <w:jc w:val="center"/>
        <w:rPr>
          <w:rFonts w:ascii="Times New Roman" w:hAnsi="Times New Roman" w:cs="Times New Roman"/>
          <w:b/>
          <w:sz w:val="24"/>
          <w:szCs w:val="24"/>
        </w:rPr>
      </w:pPr>
      <w:r w:rsidRPr="00C059C6">
        <w:rPr>
          <w:rFonts w:ascii="Times New Roman" w:hAnsi="Times New Roman" w:cs="Times New Roman"/>
          <w:b/>
          <w:sz w:val="24"/>
          <w:szCs w:val="24"/>
        </w:rPr>
        <w:t>Obed Nwasen Likpalimor</w:t>
      </w:r>
      <w:r w:rsidRPr="00C059C6">
        <w:rPr>
          <w:rFonts w:ascii="Times New Roman" w:hAnsi="Times New Roman" w:cs="Times New Roman"/>
          <w:position w:val="9"/>
        </w:rPr>
        <w:t xml:space="preserve"> </w:t>
      </w:r>
      <w:r w:rsidRPr="00C059C6">
        <w:rPr>
          <w:rFonts w:ascii="Times New Roman" w:hAnsi="Times New Roman" w:cs="Times New Roman"/>
          <w:b/>
          <w:position w:val="9"/>
        </w:rPr>
        <w:t>a,d</w:t>
      </w:r>
      <w:r w:rsidRPr="00C059C6">
        <w:rPr>
          <w:rFonts w:ascii="Times New Roman" w:hAnsi="Times New Roman" w:cs="Times New Roman"/>
          <w:b/>
          <w:sz w:val="24"/>
          <w:szCs w:val="24"/>
        </w:rPr>
        <w:t xml:space="preserve"> (Corresponding Author)</w:t>
      </w:r>
      <w:r w:rsidRPr="00FD4BE4">
        <w:rPr>
          <w:rFonts w:ascii="Times New Roman" w:hAnsi="Times New Roman" w:cs="Times New Roman"/>
          <w:position w:val="9"/>
        </w:rPr>
        <w:t>*</w:t>
      </w:r>
    </w:p>
    <w:p w:rsidR="00D33820" w:rsidRPr="00C059C6" w:rsidRDefault="00D33820" w:rsidP="00D33820">
      <w:pPr>
        <w:spacing w:line="252" w:lineRule="auto"/>
        <w:ind w:left="4"/>
        <w:jc w:val="center"/>
        <w:rPr>
          <w:rFonts w:ascii="Times New Roman" w:hAnsi="Times New Roman" w:cs="Times New Roman"/>
          <w:i/>
          <w:sz w:val="24"/>
          <w:szCs w:val="24"/>
        </w:rPr>
      </w:pPr>
      <w:r w:rsidRPr="00C059C6">
        <w:rPr>
          <w:rFonts w:ascii="Times New Roman" w:hAnsi="Times New Roman" w:cs="Times New Roman"/>
          <w:i/>
          <w:sz w:val="24"/>
          <w:szCs w:val="24"/>
        </w:rPr>
        <w:t xml:space="preserve">Email: </w:t>
      </w:r>
      <w:hyperlink r:id="rId7" w:history="1">
        <w:r w:rsidRPr="00C059C6">
          <w:rPr>
            <w:rStyle w:val="Hyperlink"/>
            <w:rFonts w:ascii="Times New Roman" w:hAnsi="Times New Roman" w:cs="Times New Roman"/>
            <w:i/>
            <w:sz w:val="24"/>
            <w:szCs w:val="24"/>
          </w:rPr>
          <w:t>likpalimor@gmail.com</w:t>
        </w:r>
      </w:hyperlink>
    </w:p>
    <w:p w:rsidR="00D33820" w:rsidRPr="00C81F04" w:rsidRDefault="00D33820" w:rsidP="0042111E">
      <w:pPr>
        <w:spacing w:before="183"/>
        <w:ind w:left="1677" w:hanging="1278"/>
        <w:jc w:val="center"/>
        <w:rPr>
          <w:rFonts w:ascii="Times New Roman" w:eastAsia="Calibri" w:hAnsi="Times New Roman" w:cs="Times New Roman"/>
          <w:position w:val="7"/>
          <w:sz w:val="24"/>
          <w:szCs w:val="24"/>
          <w:lang w:eastAsia="en-US"/>
        </w:rPr>
      </w:pPr>
    </w:p>
    <w:p w:rsidR="00EC69B6" w:rsidRPr="00C81F04" w:rsidRDefault="0042111E" w:rsidP="0042111E">
      <w:pPr>
        <w:rPr>
          <w:rFonts w:ascii="Times New Roman" w:hAnsi="Times New Roman" w:cs="Times New Roman"/>
          <w:iCs/>
          <w:color w:val="44546A" w:themeColor="text2"/>
          <w:sz w:val="24"/>
          <w:szCs w:val="24"/>
        </w:rPr>
      </w:pPr>
      <w:r w:rsidRPr="00C81F04">
        <w:rPr>
          <w:rFonts w:ascii="Times New Roman" w:hAnsi="Times New Roman" w:cs="Times New Roman"/>
          <w:sz w:val="24"/>
          <w:szCs w:val="24"/>
        </w:rPr>
        <w:br w:type="page"/>
      </w:r>
    </w:p>
    <w:p w:rsidR="00F569A1" w:rsidRPr="0042111E" w:rsidRDefault="00F569A1" w:rsidP="00F569A1">
      <w:pPr>
        <w:pStyle w:val="Caption"/>
        <w:keepNext/>
        <w:rPr>
          <w:rFonts w:ascii="Times New Roman" w:hAnsi="Times New Roman" w:cs="Times New Roman"/>
          <w:i w:val="0"/>
          <w:color w:val="auto"/>
          <w:sz w:val="24"/>
          <w:szCs w:val="24"/>
        </w:rPr>
      </w:pPr>
      <w:r w:rsidRPr="0042111E">
        <w:rPr>
          <w:rFonts w:ascii="Times New Roman" w:hAnsi="Times New Roman" w:cs="Times New Roman"/>
          <w:b/>
          <w:i w:val="0"/>
          <w:color w:val="auto"/>
          <w:sz w:val="24"/>
          <w:szCs w:val="24"/>
        </w:rPr>
        <w:t xml:space="preserve">Table </w:t>
      </w:r>
      <w:r w:rsidR="009B133A">
        <w:rPr>
          <w:rFonts w:ascii="Times New Roman" w:hAnsi="Times New Roman" w:cs="Times New Roman"/>
          <w:b/>
          <w:i w:val="0"/>
          <w:color w:val="auto"/>
          <w:sz w:val="24"/>
          <w:szCs w:val="24"/>
        </w:rPr>
        <w:t>S</w:t>
      </w:r>
      <w:r w:rsidRPr="0042111E">
        <w:rPr>
          <w:rFonts w:ascii="Times New Roman" w:hAnsi="Times New Roman" w:cs="Times New Roman"/>
          <w:b/>
          <w:i w:val="0"/>
          <w:color w:val="auto"/>
          <w:sz w:val="24"/>
          <w:szCs w:val="24"/>
        </w:rPr>
        <w:fldChar w:fldCharType="begin"/>
      </w:r>
      <w:r w:rsidRPr="0042111E">
        <w:rPr>
          <w:rFonts w:ascii="Times New Roman" w:hAnsi="Times New Roman" w:cs="Times New Roman"/>
          <w:b/>
          <w:i w:val="0"/>
          <w:color w:val="auto"/>
          <w:sz w:val="24"/>
          <w:szCs w:val="24"/>
        </w:rPr>
        <w:instrText xml:space="preserve"> SEQ Table \* ARABIC </w:instrText>
      </w:r>
      <w:r w:rsidRPr="0042111E">
        <w:rPr>
          <w:rFonts w:ascii="Times New Roman" w:hAnsi="Times New Roman" w:cs="Times New Roman"/>
          <w:b/>
          <w:i w:val="0"/>
          <w:color w:val="auto"/>
          <w:sz w:val="24"/>
          <w:szCs w:val="24"/>
        </w:rPr>
        <w:fldChar w:fldCharType="separate"/>
      </w:r>
      <w:r w:rsidR="002B3004" w:rsidRPr="0042111E">
        <w:rPr>
          <w:rFonts w:ascii="Times New Roman" w:hAnsi="Times New Roman" w:cs="Times New Roman"/>
          <w:b/>
          <w:i w:val="0"/>
          <w:noProof/>
          <w:color w:val="auto"/>
          <w:sz w:val="24"/>
          <w:szCs w:val="24"/>
        </w:rPr>
        <w:t>1</w:t>
      </w:r>
      <w:r w:rsidRPr="0042111E">
        <w:rPr>
          <w:rFonts w:ascii="Times New Roman" w:hAnsi="Times New Roman" w:cs="Times New Roman"/>
          <w:b/>
          <w:i w:val="0"/>
          <w:color w:val="auto"/>
          <w:sz w:val="24"/>
          <w:szCs w:val="24"/>
        </w:rPr>
        <w:fldChar w:fldCharType="end"/>
      </w:r>
      <w:r w:rsidR="0042111E">
        <w:rPr>
          <w:rFonts w:ascii="Times New Roman" w:hAnsi="Times New Roman" w:cs="Times New Roman"/>
          <w:b/>
          <w:i w:val="0"/>
          <w:color w:val="auto"/>
          <w:sz w:val="24"/>
          <w:szCs w:val="24"/>
        </w:rPr>
        <w:t>.</w:t>
      </w:r>
      <w:r w:rsidRPr="0042111E">
        <w:rPr>
          <w:rFonts w:ascii="Times New Roman" w:hAnsi="Times New Roman" w:cs="Times New Roman"/>
          <w:i w:val="0"/>
          <w:color w:val="auto"/>
          <w:sz w:val="24"/>
          <w:szCs w:val="24"/>
        </w:rPr>
        <w:t xml:space="preserve"> Different types of microplastics and their characteristics.</w:t>
      </w:r>
    </w:p>
    <w:tbl>
      <w:tblPr>
        <w:tblStyle w:val="PlainTable21"/>
        <w:tblW w:w="0" w:type="auto"/>
        <w:tblBorders>
          <w:top w:val="single" w:sz="4" w:space="0" w:color="auto"/>
          <w:bottom w:val="single" w:sz="4" w:space="0" w:color="auto"/>
        </w:tblBorders>
        <w:tblLook w:val="04A0" w:firstRow="1" w:lastRow="0" w:firstColumn="1" w:lastColumn="0" w:noHBand="0" w:noVBand="1"/>
      </w:tblPr>
      <w:tblGrid>
        <w:gridCol w:w="1170"/>
        <w:gridCol w:w="1492"/>
        <w:gridCol w:w="1687"/>
        <w:gridCol w:w="1676"/>
        <w:gridCol w:w="2070"/>
        <w:gridCol w:w="1255"/>
      </w:tblGrid>
      <w:tr w:rsidR="00F569A1" w:rsidRPr="00F569A1" w:rsidTr="005262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tcBorders>
          </w:tcPr>
          <w:p w:rsidR="00F569A1" w:rsidRPr="00F569A1" w:rsidRDefault="00F569A1" w:rsidP="00F569A1">
            <w:pPr>
              <w:jc w:val="both"/>
              <w:rPr>
                <w:rFonts w:ascii="Times New Roman" w:hAnsi="Times New Roman" w:cs="Times New Roman"/>
                <w:sz w:val="18"/>
                <w:szCs w:val="18"/>
              </w:rPr>
            </w:pPr>
            <w:r w:rsidRPr="00F569A1">
              <w:rPr>
                <w:rFonts w:ascii="Times New Roman" w:hAnsi="Times New Roman" w:cs="Times New Roman"/>
                <w:sz w:val="18"/>
                <w:szCs w:val="18"/>
              </w:rPr>
              <w:t>MPs</w:t>
            </w:r>
          </w:p>
          <w:p w:rsidR="00F569A1" w:rsidRPr="00F569A1" w:rsidRDefault="00F569A1" w:rsidP="00F569A1">
            <w:pPr>
              <w:jc w:val="both"/>
              <w:rPr>
                <w:rFonts w:ascii="Times New Roman" w:hAnsi="Times New Roman" w:cs="Times New Roman"/>
                <w:sz w:val="18"/>
                <w:szCs w:val="18"/>
              </w:rPr>
            </w:pPr>
          </w:p>
        </w:tc>
        <w:tc>
          <w:tcPr>
            <w:tcW w:w="1492" w:type="dxa"/>
            <w:tcBorders>
              <w:top w:val="single" w:sz="4" w:space="0" w:color="auto"/>
              <w:bottom w:val="single" w:sz="4" w:space="0" w:color="auto"/>
            </w:tcBorders>
          </w:tcPr>
          <w:p w:rsidR="00F569A1" w:rsidRPr="00F569A1" w:rsidRDefault="00F569A1" w:rsidP="00F569A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sz w:val="18"/>
                <w:szCs w:val="18"/>
              </w:rPr>
              <w:t>Crystallinity</w:t>
            </w:r>
          </w:p>
        </w:tc>
        <w:tc>
          <w:tcPr>
            <w:tcW w:w="1687" w:type="dxa"/>
            <w:tcBorders>
              <w:top w:val="single" w:sz="4" w:space="0" w:color="auto"/>
              <w:bottom w:val="single" w:sz="4" w:space="0" w:color="auto"/>
            </w:tcBorders>
          </w:tcPr>
          <w:p w:rsidR="00F569A1" w:rsidRPr="00F569A1" w:rsidRDefault="00F569A1" w:rsidP="00F569A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sz w:val="18"/>
                <w:szCs w:val="18"/>
              </w:rPr>
              <w:t>Polarity Property</w:t>
            </w:r>
          </w:p>
          <w:p w:rsidR="00F569A1" w:rsidRPr="00F569A1" w:rsidRDefault="00F569A1" w:rsidP="00F569A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676" w:type="dxa"/>
            <w:tcBorders>
              <w:top w:val="single" w:sz="4" w:space="0" w:color="auto"/>
              <w:bottom w:val="single" w:sz="4" w:space="0" w:color="auto"/>
            </w:tcBorders>
          </w:tcPr>
          <w:p w:rsidR="00F569A1" w:rsidRPr="00F569A1" w:rsidRDefault="00F569A1" w:rsidP="00F569A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sz w:val="18"/>
                <w:szCs w:val="18"/>
              </w:rPr>
              <w:t xml:space="preserve">Temperature at which glass transitions (Tg, </w:t>
            </w:r>
            <w:r w:rsidRPr="00F569A1">
              <w:rPr>
                <w:rFonts w:ascii="Times New Roman" w:hAnsi="Times New Roman" w:cs="Times New Roman"/>
                <w:sz w:val="18"/>
                <w:szCs w:val="18"/>
              </w:rPr>
              <w:sym w:font="Symbol" w:char="F0B0"/>
            </w:r>
            <w:r w:rsidRPr="00F569A1">
              <w:rPr>
                <w:rFonts w:ascii="Times New Roman" w:hAnsi="Times New Roman" w:cs="Times New Roman"/>
                <w:sz w:val="18"/>
                <w:szCs w:val="18"/>
              </w:rPr>
              <w:t>C)</w:t>
            </w:r>
          </w:p>
          <w:p w:rsidR="00F569A1" w:rsidRPr="00F569A1" w:rsidRDefault="00F569A1" w:rsidP="00F569A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2070" w:type="dxa"/>
            <w:tcBorders>
              <w:top w:val="single" w:sz="4" w:space="0" w:color="auto"/>
              <w:bottom w:val="single" w:sz="4" w:space="0" w:color="auto"/>
            </w:tcBorders>
          </w:tcPr>
          <w:p w:rsidR="00F569A1" w:rsidRPr="00F569A1" w:rsidRDefault="00F569A1" w:rsidP="00F569A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sz w:val="18"/>
                <w:szCs w:val="18"/>
              </w:rPr>
              <w:t>Point of zero charge (PZC)</w:t>
            </w:r>
          </w:p>
          <w:p w:rsidR="00F569A1" w:rsidRPr="00F569A1" w:rsidRDefault="00F569A1" w:rsidP="00F569A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55" w:type="dxa"/>
            <w:tcBorders>
              <w:top w:val="single" w:sz="4" w:space="0" w:color="auto"/>
              <w:bottom w:val="single" w:sz="4" w:space="0" w:color="auto"/>
            </w:tcBorders>
          </w:tcPr>
          <w:p w:rsidR="00F569A1" w:rsidRPr="00F569A1" w:rsidRDefault="00F569A1" w:rsidP="00F569A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sz w:val="18"/>
                <w:szCs w:val="18"/>
              </w:rPr>
              <w:t>Density (g/cm</w:t>
            </w:r>
            <w:r w:rsidRPr="00F569A1">
              <w:rPr>
                <w:rFonts w:ascii="Times New Roman" w:hAnsi="Times New Roman" w:cs="Times New Roman"/>
                <w:sz w:val="18"/>
                <w:szCs w:val="18"/>
                <w:vertAlign w:val="superscript"/>
              </w:rPr>
              <w:t>3</w:t>
            </w:r>
            <w:r w:rsidRPr="00F569A1">
              <w:rPr>
                <w:rFonts w:ascii="Times New Roman" w:hAnsi="Times New Roman" w:cs="Times New Roman"/>
                <w:sz w:val="18"/>
                <w:szCs w:val="18"/>
              </w:rPr>
              <w:t>)</w:t>
            </w:r>
          </w:p>
          <w:p w:rsidR="00F569A1" w:rsidRPr="00F569A1" w:rsidRDefault="00F569A1" w:rsidP="00F569A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F569A1" w:rsidRPr="00F569A1" w:rsidTr="00526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none" w:sz="0" w:space="0" w:color="auto"/>
            </w:tcBorders>
          </w:tcPr>
          <w:p w:rsidR="00F569A1" w:rsidRPr="00F569A1" w:rsidRDefault="00F569A1" w:rsidP="00F569A1">
            <w:pPr>
              <w:jc w:val="both"/>
              <w:rPr>
                <w:rFonts w:ascii="Times New Roman" w:hAnsi="Times New Roman" w:cs="Times New Roman"/>
                <w:sz w:val="18"/>
                <w:szCs w:val="18"/>
              </w:rPr>
            </w:pPr>
            <w:r w:rsidRPr="00F569A1">
              <w:rPr>
                <w:rFonts w:ascii="Times New Roman" w:hAnsi="Times New Roman" w:cs="Times New Roman"/>
                <w:sz w:val="18"/>
                <w:szCs w:val="18"/>
              </w:rPr>
              <w:t>PP</w:t>
            </w:r>
          </w:p>
        </w:tc>
        <w:tc>
          <w:tcPr>
            <w:tcW w:w="1492" w:type="dxa"/>
            <w:tcBorders>
              <w:top w:val="single" w:sz="4" w:space="0" w:color="auto"/>
              <w:bottom w:val="none" w:sz="0" w:space="0" w:color="auto"/>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Semicrystalline</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687" w:type="dxa"/>
            <w:tcBorders>
              <w:top w:val="single" w:sz="4" w:space="0" w:color="auto"/>
              <w:bottom w:val="none" w:sz="0" w:space="0" w:color="auto"/>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Nonpolarity</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1676" w:type="dxa"/>
            <w:tcBorders>
              <w:top w:val="single" w:sz="4" w:space="0" w:color="auto"/>
              <w:bottom w:val="none" w:sz="0" w:space="0" w:color="auto"/>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(-49) - (-20)</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2070" w:type="dxa"/>
            <w:tcBorders>
              <w:top w:val="single" w:sz="4" w:space="0" w:color="auto"/>
              <w:bottom w:val="none" w:sz="0" w:space="0" w:color="auto"/>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4.26/6.76</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1255" w:type="dxa"/>
            <w:tcBorders>
              <w:top w:val="single" w:sz="4" w:space="0" w:color="auto"/>
              <w:bottom w:val="none" w:sz="0" w:space="0" w:color="auto"/>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0.88-1.23</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F569A1" w:rsidRPr="00F569A1" w:rsidTr="00526280">
        <w:tc>
          <w:tcPr>
            <w:cnfStyle w:val="001000000000" w:firstRow="0" w:lastRow="0" w:firstColumn="1" w:lastColumn="0" w:oddVBand="0" w:evenVBand="0" w:oddHBand="0" w:evenHBand="0" w:firstRowFirstColumn="0" w:firstRowLastColumn="0" w:lastRowFirstColumn="0" w:lastRowLastColumn="0"/>
            <w:tcW w:w="1170" w:type="dxa"/>
          </w:tcPr>
          <w:p w:rsidR="00F569A1" w:rsidRPr="00F569A1" w:rsidRDefault="00F569A1" w:rsidP="00F569A1">
            <w:pPr>
              <w:jc w:val="both"/>
              <w:rPr>
                <w:rFonts w:ascii="Times New Roman" w:hAnsi="Times New Roman" w:cs="Times New Roman"/>
                <w:sz w:val="18"/>
                <w:szCs w:val="18"/>
              </w:rPr>
            </w:pPr>
            <w:r w:rsidRPr="00F569A1">
              <w:rPr>
                <w:rFonts w:ascii="Times New Roman" w:hAnsi="Times New Roman" w:cs="Times New Roman"/>
                <w:sz w:val="18"/>
                <w:szCs w:val="18"/>
              </w:rPr>
              <w:t>PE</w:t>
            </w:r>
          </w:p>
        </w:tc>
        <w:tc>
          <w:tcPr>
            <w:tcW w:w="1492" w:type="dxa"/>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F569A1">
              <w:rPr>
                <w:rFonts w:ascii="Times New Roman" w:hAnsi="Times New Roman" w:cs="Times New Roman"/>
                <w:bCs/>
                <w:sz w:val="18"/>
                <w:szCs w:val="18"/>
              </w:rPr>
              <w:t>Semicrystalline</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687" w:type="dxa"/>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Nonpolarity</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1676" w:type="dxa"/>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(-110) - (-125)</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2070" w:type="dxa"/>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4.30/6.63</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1255" w:type="dxa"/>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0.92-0.97</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r>
      <w:tr w:rsidR="00F569A1" w:rsidRPr="00F569A1" w:rsidTr="0006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nil"/>
            </w:tcBorders>
          </w:tcPr>
          <w:p w:rsidR="00F569A1" w:rsidRPr="00F569A1" w:rsidRDefault="00F569A1" w:rsidP="00F569A1">
            <w:pPr>
              <w:jc w:val="both"/>
              <w:rPr>
                <w:rFonts w:ascii="Times New Roman" w:hAnsi="Times New Roman" w:cs="Times New Roman"/>
                <w:sz w:val="18"/>
                <w:szCs w:val="18"/>
              </w:rPr>
            </w:pPr>
            <w:r w:rsidRPr="00F569A1">
              <w:rPr>
                <w:rFonts w:ascii="Times New Roman" w:hAnsi="Times New Roman" w:cs="Times New Roman"/>
                <w:sz w:val="18"/>
                <w:szCs w:val="18"/>
              </w:rPr>
              <w:t>PS</w:t>
            </w:r>
          </w:p>
        </w:tc>
        <w:tc>
          <w:tcPr>
            <w:tcW w:w="1492" w:type="dxa"/>
            <w:tcBorders>
              <w:top w:val="none" w:sz="0" w:space="0" w:color="auto"/>
              <w:bottom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Amorphous</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1687" w:type="dxa"/>
            <w:tcBorders>
              <w:top w:val="none" w:sz="0" w:space="0" w:color="auto"/>
              <w:bottom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Weak polarity</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1676" w:type="dxa"/>
            <w:tcBorders>
              <w:top w:val="none" w:sz="0" w:space="0" w:color="auto"/>
              <w:bottom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90-100</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2070" w:type="dxa"/>
            <w:tcBorders>
              <w:top w:val="none" w:sz="0" w:space="0" w:color="auto"/>
              <w:bottom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3.96/6.69/(3.1-4.3)</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1255" w:type="dxa"/>
            <w:tcBorders>
              <w:top w:val="none" w:sz="0" w:space="0" w:color="auto"/>
              <w:bottom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1.04-1.50</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F569A1" w:rsidRPr="00F569A1" w:rsidTr="00062E7B">
        <w:tc>
          <w:tcPr>
            <w:cnfStyle w:val="001000000000" w:firstRow="0" w:lastRow="0" w:firstColumn="1" w:lastColumn="0" w:oddVBand="0" w:evenVBand="0" w:oddHBand="0" w:evenHBand="0" w:firstRowFirstColumn="0" w:firstRowLastColumn="0" w:lastRowFirstColumn="0" w:lastRowLastColumn="0"/>
            <w:tcW w:w="1170" w:type="dxa"/>
            <w:tcBorders>
              <w:top w:val="nil"/>
              <w:bottom w:val="nil"/>
            </w:tcBorders>
          </w:tcPr>
          <w:p w:rsidR="00F569A1" w:rsidRPr="00F569A1" w:rsidRDefault="00F569A1" w:rsidP="00F569A1">
            <w:pPr>
              <w:jc w:val="both"/>
              <w:rPr>
                <w:rFonts w:ascii="Times New Roman" w:hAnsi="Times New Roman" w:cs="Times New Roman"/>
                <w:sz w:val="18"/>
                <w:szCs w:val="18"/>
              </w:rPr>
            </w:pPr>
            <w:r w:rsidRPr="00F569A1">
              <w:rPr>
                <w:rFonts w:ascii="Times New Roman" w:hAnsi="Times New Roman" w:cs="Times New Roman"/>
                <w:sz w:val="18"/>
                <w:szCs w:val="18"/>
              </w:rPr>
              <w:t>PVC</w:t>
            </w:r>
          </w:p>
        </w:tc>
        <w:tc>
          <w:tcPr>
            <w:tcW w:w="1492" w:type="dxa"/>
            <w:tcBorders>
              <w:top w:val="nil"/>
              <w:bottom w:val="nil"/>
            </w:tcBorders>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Amorphous</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1687" w:type="dxa"/>
            <w:tcBorders>
              <w:top w:val="nil"/>
              <w:bottom w:val="nil"/>
            </w:tcBorders>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Polarity</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1676" w:type="dxa"/>
            <w:tcBorders>
              <w:top w:val="nil"/>
              <w:bottom w:val="nil"/>
            </w:tcBorders>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60-100</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2070" w:type="dxa"/>
            <w:tcBorders>
              <w:top w:val="nil"/>
              <w:bottom w:val="nil"/>
            </w:tcBorders>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6.65</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1255" w:type="dxa"/>
            <w:tcBorders>
              <w:top w:val="nil"/>
              <w:bottom w:val="nil"/>
            </w:tcBorders>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1.15-1.70</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r>
      <w:tr w:rsidR="00F569A1" w:rsidRPr="00F569A1" w:rsidTr="0006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il"/>
              <w:bottom w:val="nil"/>
            </w:tcBorders>
          </w:tcPr>
          <w:p w:rsidR="00F569A1" w:rsidRPr="00F569A1" w:rsidRDefault="00F569A1" w:rsidP="00F569A1">
            <w:pPr>
              <w:jc w:val="both"/>
              <w:rPr>
                <w:rFonts w:ascii="Times New Roman" w:hAnsi="Times New Roman" w:cs="Times New Roman"/>
                <w:sz w:val="18"/>
                <w:szCs w:val="18"/>
              </w:rPr>
            </w:pPr>
            <w:r w:rsidRPr="00F569A1">
              <w:rPr>
                <w:rFonts w:ascii="Times New Roman" w:hAnsi="Times New Roman" w:cs="Times New Roman"/>
                <w:sz w:val="18"/>
                <w:szCs w:val="18"/>
              </w:rPr>
              <w:t>MPs</w:t>
            </w:r>
          </w:p>
          <w:p w:rsidR="00F569A1" w:rsidRPr="00F569A1" w:rsidRDefault="00F569A1" w:rsidP="00F569A1">
            <w:pPr>
              <w:jc w:val="both"/>
              <w:rPr>
                <w:rFonts w:ascii="Times New Roman" w:hAnsi="Times New Roman" w:cs="Times New Roman"/>
                <w:sz w:val="18"/>
                <w:szCs w:val="18"/>
              </w:rPr>
            </w:pPr>
          </w:p>
        </w:tc>
        <w:tc>
          <w:tcPr>
            <w:tcW w:w="1492" w:type="dxa"/>
            <w:tcBorders>
              <w:top w:val="nil"/>
              <w:bottom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sz w:val="18"/>
                <w:szCs w:val="18"/>
              </w:rPr>
              <w:t>Crystallinity</w:t>
            </w:r>
          </w:p>
        </w:tc>
        <w:tc>
          <w:tcPr>
            <w:tcW w:w="1687" w:type="dxa"/>
            <w:tcBorders>
              <w:top w:val="nil"/>
              <w:bottom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sz w:val="18"/>
                <w:szCs w:val="18"/>
              </w:rPr>
              <w:t>Polarity Property</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676" w:type="dxa"/>
            <w:tcBorders>
              <w:top w:val="nil"/>
              <w:bottom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sz w:val="18"/>
                <w:szCs w:val="18"/>
              </w:rPr>
              <w:t xml:space="preserve">Temperature at which glass transitions (Tg, </w:t>
            </w:r>
            <w:r w:rsidRPr="00F569A1">
              <w:rPr>
                <w:rFonts w:ascii="Times New Roman" w:hAnsi="Times New Roman" w:cs="Times New Roman"/>
                <w:sz w:val="18"/>
                <w:szCs w:val="18"/>
              </w:rPr>
              <w:sym w:font="Symbol" w:char="F0B0"/>
            </w:r>
            <w:r w:rsidRPr="00F569A1">
              <w:rPr>
                <w:rFonts w:ascii="Times New Roman" w:hAnsi="Times New Roman" w:cs="Times New Roman"/>
                <w:sz w:val="18"/>
                <w:szCs w:val="18"/>
              </w:rPr>
              <w:t>C)</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2070" w:type="dxa"/>
            <w:tcBorders>
              <w:top w:val="nil"/>
              <w:bottom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sz w:val="18"/>
                <w:szCs w:val="18"/>
              </w:rPr>
              <w:t>Point of zero charge (PZC)</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55" w:type="dxa"/>
            <w:tcBorders>
              <w:top w:val="nil"/>
              <w:bottom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sz w:val="18"/>
                <w:szCs w:val="18"/>
              </w:rPr>
              <w:t>Density (g/cm</w:t>
            </w:r>
            <w:r w:rsidRPr="00F569A1">
              <w:rPr>
                <w:rFonts w:ascii="Times New Roman" w:hAnsi="Times New Roman" w:cs="Times New Roman"/>
                <w:sz w:val="18"/>
                <w:szCs w:val="18"/>
                <w:vertAlign w:val="superscript"/>
              </w:rPr>
              <w:t>3</w:t>
            </w:r>
            <w:r w:rsidRPr="00F569A1">
              <w:rPr>
                <w:rFonts w:ascii="Times New Roman" w:hAnsi="Times New Roman" w:cs="Times New Roman"/>
                <w:sz w:val="18"/>
                <w:szCs w:val="18"/>
              </w:rPr>
              <w:t>)</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F569A1" w:rsidRPr="00F569A1" w:rsidTr="00062E7B">
        <w:tc>
          <w:tcPr>
            <w:cnfStyle w:val="001000000000" w:firstRow="0" w:lastRow="0" w:firstColumn="1" w:lastColumn="0" w:oddVBand="0" w:evenVBand="0" w:oddHBand="0" w:evenHBand="0" w:firstRowFirstColumn="0" w:firstRowLastColumn="0" w:lastRowFirstColumn="0" w:lastRowLastColumn="0"/>
            <w:tcW w:w="1170" w:type="dxa"/>
            <w:tcBorders>
              <w:top w:val="nil"/>
              <w:bottom w:val="nil"/>
            </w:tcBorders>
          </w:tcPr>
          <w:p w:rsidR="00F569A1" w:rsidRPr="00F569A1" w:rsidRDefault="00F569A1" w:rsidP="00F569A1">
            <w:pPr>
              <w:jc w:val="both"/>
              <w:rPr>
                <w:rFonts w:ascii="Times New Roman" w:hAnsi="Times New Roman" w:cs="Times New Roman"/>
                <w:sz w:val="18"/>
                <w:szCs w:val="18"/>
              </w:rPr>
            </w:pPr>
            <w:r w:rsidRPr="00F569A1">
              <w:rPr>
                <w:rFonts w:ascii="Times New Roman" w:hAnsi="Times New Roman" w:cs="Times New Roman"/>
                <w:sz w:val="18"/>
                <w:szCs w:val="18"/>
              </w:rPr>
              <w:t>PET</w:t>
            </w:r>
          </w:p>
        </w:tc>
        <w:tc>
          <w:tcPr>
            <w:tcW w:w="1492" w:type="dxa"/>
            <w:tcBorders>
              <w:top w:val="nil"/>
              <w:bottom w:val="nil"/>
            </w:tcBorders>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Amorphous</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1687" w:type="dxa"/>
            <w:tcBorders>
              <w:top w:val="nil"/>
              <w:bottom w:val="nil"/>
            </w:tcBorders>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Polarity</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1676" w:type="dxa"/>
            <w:tcBorders>
              <w:top w:val="nil"/>
              <w:bottom w:val="nil"/>
            </w:tcBorders>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90</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2070" w:type="dxa"/>
            <w:tcBorders>
              <w:top w:val="nil"/>
              <w:bottom w:val="nil"/>
            </w:tcBorders>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1255" w:type="dxa"/>
            <w:tcBorders>
              <w:top w:val="nil"/>
              <w:bottom w:val="nil"/>
            </w:tcBorders>
          </w:tcPr>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1.30-1.50</w:t>
            </w:r>
          </w:p>
          <w:p w:rsidR="00F569A1" w:rsidRPr="00F569A1" w:rsidRDefault="00F569A1" w:rsidP="00F569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r>
      <w:tr w:rsidR="00F569A1" w:rsidRPr="00F569A1" w:rsidTr="00526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il"/>
            </w:tcBorders>
          </w:tcPr>
          <w:p w:rsidR="00F569A1" w:rsidRPr="00F569A1" w:rsidRDefault="00F569A1" w:rsidP="00F569A1">
            <w:pPr>
              <w:jc w:val="both"/>
              <w:rPr>
                <w:rFonts w:ascii="Times New Roman" w:hAnsi="Times New Roman" w:cs="Times New Roman"/>
                <w:sz w:val="18"/>
                <w:szCs w:val="18"/>
              </w:rPr>
            </w:pPr>
            <w:r w:rsidRPr="00F569A1">
              <w:rPr>
                <w:rFonts w:ascii="Times New Roman" w:hAnsi="Times New Roman" w:cs="Times New Roman"/>
                <w:sz w:val="18"/>
                <w:szCs w:val="18"/>
              </w:rPr>
              <w:t>PA</w:t>
            </w:r>
          </w:p>
        </w:tc>
        <w:tc>
          <w:tcPr>
            <w:tcW w:w="1492" w:type="dxa"/>
            <w:tcBorders>
              <w:top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Semicrystalline</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1687" w:type="dxa"/>
            <w:tcBorders>
              <w:top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Polarity</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1676" w:type="dxa"/>
            <w:tcBorders>
              <w:top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73-78</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2070" w:type="dxa"/>
            <w:tcBorders>
              <w:top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6.52</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1255" w:type="dxa"/>
            <w:tcBorders>
              <w:top w:val="nil"/>
            </w:tcBorders>
          </w:tcPr>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569A1">
              <w:rPr>
                <w:rFonts w:ascii="Times New Roman" w:hAnsi="Times New Roman" w:cs="Times New Roman"/>
                <w:bCs/>
                <w:sz w:val="18"/>
                <w:szCs w:val="18"/>
              </w:rPr>
              <w:t>1.12-1.14</w:t>
            </w:r>
          </w:p>
          <w:p w:rsidR="00F569A1" w:rsidRPr="00F569A1" w:rsidRDefault="00F569A1" w:rsidP="00F56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bl>
    <w:p w:rsidR="000B1494" w:rsidRDefault="00F569A1" w:rsidP="0042111E">
      <w:pPr>
        <w:spacing w:line="240" w:lineRule="auto"/>
        <w:jc w:val="both"/>
        <w:rPr>
          <w:rFonts w:ascii="Times New Roman" w:eastAsia="Calibri" w:hAnsi="Times New Roman" w:cs="Times New Roman"/>
          <w:i/>
          <w:lang w:eastAsia="en-US"/>
        </w:rPr>
      </w:pPr>
      <w:r w:rsidRPr="001655F2">
        <w:rPr>
          <w:rFonts w:ascii="Times New Roman" w:eastAsia="Calibri" w:hAnsi="Times New Roman" w:cs="Times New Roman"/>
          <w:b/>
          <w:i/>
          <w:lang w:eastAsia="en-US"/>
        </w:rPr>
        <w:t>Note:</w:t>
      </w:r>
      <w:r w:rsidRPr="001655F2">
        <w:rPr>
          <w:rFonts w:ascii="Times New Roman" w:eastAsia="Calibri" w:hAnsi="Times New Roman" w:cs="Times New Roman"/>
          <w:i/>
          <w:lang w:eastAsia="en-US"/>
        </w:rPr>
        <w:t xml:space="preserve"> The temperature at which polymer molecules begin to migrate from freezing to moving is known as Tg. The polymer is in a glassy state below this temperature and begins to move and exhibit great elasticity similar to rubber above this temperature. "-" denotes not found in the source material. The order of the crystallinity is as follows: PVC &gt; PP &gt; PA ≈PS &gt; PE (Sources:</w:t>
      </w:r>
      <w:r w:rsidR="00683915" w:rsidRPr="001655F2">
        <w:rPr>
          <w:rFonts w:ascii="Times New Roman" w:eastAsia="Calibri" w:hAnsi="Times New Roman" w:cs="Times New Roman"/>
          <w:i/>
          <w:lang w:eastAsia="en-US"/>
        </w:rPr>
        <w:fldChar w:fldCharType="begin" w:fldLock="1"/>
      </w:r>
      <w:r w:rsidR="008F491C" w:rsidRPr="001655F2">
        <w:rPr>
          <w:rFonts w:ascii="Times New Roman" w:eastAsia="Calibri" w:hAnsi="Times New Roman" w:cs="Times New Roman"/>
          <w:i/>
          <w:lang w:eastAsia="en-US"/>
        </w:rPr>
        <w:instrText>ADDIN CSL_CITATION {"citationItems":[{"id":"ITEM-1","itemData":{"DOI":"10.1016/B978-0-12-809406-8.00005-0","ISBN":"9780128094068","author":[{"dropping-particle":"","family":"Crawford","given":"Christopher Blair","non-dropping-particle":"","parse-names":false,"suffix":""},{"dropping-particle":"","family":"Quinn","given":"Brian","non-dropping-particle":"","parse-names":false,"suffix":""}],"id":"ITEM-1","issued":{"date-parts":[["2017"]]},"title":"Microplastics, standardisation and spatial distribution","type":"article-journal"},"uris":["http://www.mendeley.com/documents/?uuid=764eb29a-1fed-4483-beed-b28180274987"]},{"id":"ITEM-2","itemData":{"DOI":"10.1016/J.JHAZMAT.2020.123961","ISSN":"0304-3894","PMID":"33265004","abstract":"Microplastics (MPs) and antibiotic resistance genes (ARGs) have become the increasing attention and global research hotpots due to their unique ecological and environmental effects. As susceptible locations for MPs and ARGs, aquaculture environments play an important role in their enrichment and transformation. In this review, we focused on the MPs, ARGs, and the effects of their interactions on the aquaculture environments. The facts that antibiotics have been widely applied in different kinds of agricultural productions (e.g., aquaculture) and that most of antibiotics enter the water environment with rainfall and residual in the aquaculture environment have been resulting in the emergence of antibiotic resistance bacteria (ARB). Moreover, the water MPs are effective carriers of the environmental microbes and ARB, making them likely to be continuously imported into the aquaculture environments. As a result, the formation of the compound pollutions may also enter the aquatic organisms through the food chains and eventually enter the human body after a long-term enrichment. Furthermore, the compound pollutions result in the joint toxic effects on the human health and the ecological environment. In summary, this review aims to emphasize the ecological effects and the potential hazards on the aquaculture environments where interactions between MPs and ARGs results, and calls for to reduce the use of the plastic products and the antibiotics in the aquaculture environments.","author":[{"dropping-particle":"","family":"Dong","given":"Han","non-dropping-particle":"","parse-names":false,"suffix":""},{"dropping-particle":"","family":"Chen","given":"Yuliang","non-dropping-particle":"","parse-names":false,"suffix":""},{"dropping-particle":"","family":"Wang","given":"Jun","non-dropping-particle":"","parse-names":false,"suffix":""},{"dropping-particle":"","family":"Zhang","given":"Yue","non-dropping-particle":"","parse-names":false,"suffix":""},{"dropping-particle":"","family":"Zhang","given":"Pan","non-dropping-particle":"","parse-names":false,"suffix":""},{"dropping-particle":"","family":"Li","given":"Xiang","non-dropping-particle":"","parse-names":false,"suffix":""},{"dropping-particle":"","family":"Zou","given":"Jixing","non-dropping-particle":"","parse-names":false,"suffix":""},{"dropping-particle":"","family":"Zhou","given":"Aiguo","non-dropping-particle":"","parse-names":false,"suffix":""}],"container-title":"Journal of Hazardous Materials","id":"ITEM-2","issued":{"date-parts":[["2021","2","5"]]},"page":"123961","publisher":"Elsevier","title":"Interactions of microplastics and antibiotic resistance genes and their effects on the aquaculture environments","type":"article-journal","volume":"403"},"uris":["http://www.mendeley.com/documents/?uuid=a12c3473-38b3-3045-9b9e-1323a077349a"]},{"id":"ITEM-3","itemData":{"DOI":"10.1016/j.watres.2018.05.034","ISSN":"0043-1354","author":[{"dropping-particle":"","family":"Li","given":"Xiaowei","non-dropping-particle":"","parse-names":false,"suffix":""},{"dropping-particle":"","family":"Chen","given":"Lubei","non-dropping-particle":"","parse-names":false,"suffix":""},{"dropping-particle":"","family":"Mei","given":"Qingqing","non-dropping-particle":"","parse-names":false,"suffix":""},{"dropping-particle":"","family":"Dong","given":"Bin","non-dropping-particle":"","parse-names":false,"suffix":""},{"dropping-particle":"","family":"Dai","given":"Xiaohu","non-dropping-particle":"","parse-names":false,"suffix":""},{"dropping-particle":"","family":"Ding","given":"Guoji","non-dropping-particle":"","parse-names":false,"suffix":""},{"dropping-particle":"","family":"Eddy","given":"Y","non-dropping-particle":"","parse-names":false,"suffix":""}],"container-title":"Water Research","id":"ITEM-3","issued":{"date-parts":[["2018"]]},"publisher":"Elsevier Ltd","title":"Graphic abstract SC","type":"article-journal"},"uris":["http://www.mendeley.com/documents/?uuid=8b5933f4-3f96-46ed-93c9-196ca33e7264"]},{"id":"ITEM-4","itemData":{"DOI":"10.1016/J.CHEMOSPHERE.2022.136195","ISSN":"0045-6535","PMID":"36037938","abstract":"Microplastics and antibiotics are common, typical pollutants, and they can cause compound pollution where they coexist in the environment. Surfactants in the environment can change the interface characteristics of pollutants, and then drive the change of environmental behavior of pollutants. In this paper, we studied the physicochemical properties of complexes of polystyrene (PS) and polyethylene (PE) contaminated with sodium dodecyl benzene sulfonate (SDBS); the complexes are referred to as SPS and SPE, respectively. Taking oxytetracycline (OTC) and norfloxacin (NOR) as representatives of broad-spectrum antibiotics, the effects of SDBS on the adsorption behavior of PS and PE were analyzed and possible mechanisms were proposed. The results showed that SDBS could effectively combine with PS and PE to enhance the surface electronegativity and reduce the Brunner–Emmett–Teller (BET) specific surface area and porosity. The crystal structure remained basically unchanged, and the surface functional groups changed slightly. SDBS greatly enhanced the saturated adsorption capacities of PS and PE for OTC and NOR, and made adsorption easier, which reduced the Gibbs free energy of the adsorption system. The adsorption behaviors of SPS and SPE for the two antibiotics were consistent with the Elovich kinetic model and Sips isothermal model. SDBS enhanced the hydrophilicity of the microplastics, which facilitated their adsorption of antibiotics dissolved in water. SDBS could directly combine with antibiotics to form a complex, further increasing the adsorption capacity of the microplastics for antibiotics. The –SO3H in SDBS could combine with oxygen-containing functional groups and –NH2 in OTC and NOR. Non-ionic covalent bonds, electrostatic interactions, and hydrophobic attraction between the alkyl chain and benzene ring also played a role in adsorption. SDBS made it possible for MPs to load more types and quantities of pollutants and change their preferential adsorption selectivity, which significantly aggravated the environmental hazards.","author":[{"dropping-particle":"","family":"Xue","given":"Xiangdong","non-dropping-particle":"","parse-names":false,"suffix":""},{"dropping-particle":"","family":"Hong","given":"Shuchen","non-dropping-particle":"","parse-names":false,"suffix":""},{"dropping-particle":"","family":"Cheng","given":"Ruotong","non-dropping-particle":"","parse-names":false,"suffix":""},{"dropping-particle":"","family":"Li","given":"Hong","non-dropping-particle":"","parse-names":false,"suffix":""},{"dropping-particle":"","family":"Qiu","given":"Libo","non-dropping-particle":"","parse-names":false,"suffix":""},{"dropping-particle":"","family":"Fang","given":"Chengran","non-dropping-particle":"","parse-names":false,"suffix":""}],"container-title":"Chemosphere","id":"ITEM-4","issued":{"date-parts":[["2022","11","1"]]},"page":"136195","publisher":"Pergamon","title":"Adsorption characteristics of antibiotics on microplastics: The effect of surface contamination with an anionic surfactant","type":"article-journal","volume":"307"},"uris":["http://www.mendeley.com/documents/?uuid=44db4268-faf9-358f-925f-dedf0252e1ea"]}],"mendeley":{"formattedCitation":"(1–4)","plainTextFormattedCitation":"(1–4)","previouslyFormattedCitation":"(1–4)"},"properties":{"noteIndex":0},"schema":"https://github.com/citation-style-language/schema/raw/master/csl-citation.json"}</w:instrText>
      </w:r>
      <w:r w:rsidR="00683915" w:rsidRPr="001655F2">
        <w:rPr>
          <w:rFonts w:ascii="Times New Roman" w:eastAsia="Calibri" w:hAnsi="Times New Roman" w:cs="Times New Roman"/>
          <w:i/>
          <w:lang w:eastAsia="en-US"/>
        </w:rPr>
        <w:fldChar w:fldCharType="separate"/>
      </w:r>
      <w:r w:rsidR="00683915" w:rsidRPr="001655F2">
        <w:rPr>
          <w:rFonts w:ascii="Times New Roman" w:eastAsia="Calibri" w:hAnsi="Times New Roman" w:cs="Times New Roman"/>
          <w:noProof/>
          <w:lang w:eastAsia="en-US"/>
        </w:rPr>
        <w:t>(</w:t>
      </w:r>
      <w:r w:rsidR="00683915" w:rsidRPr="001655F2">
        <w:rPr>
          <w:rFonts w:ascii="Times New Roman" w:eastAsia="Calibri" w:hAnsi="Times New Roman" w:cs="Times New Roman"/>
          <w:noProof/>
          <w:color w:val="0070C0"/>
          <w:lang w:eastAsia="en-US"/>
        </w:rPr>
        <w:t>1–4</w:t>
      </w:r>
      <w:r w:rsidR="00683915" w:rsidRPr="001655F2">
        <w:rPr>
          <w:rFonts w:ascii="Times New Roman" w:eastAsia="Calibri" w:hAnsi="Times New Roman" w:cs="Times New Roman"/>
          <w:noProof/>
          <w:lang w:eastAsia="en-US"/>
        </w:rPr>
        <w:t>)</w:t>
      </w:r>
      <w:r w:rsidR="00683915" w:rsidRPr="001655F2">
        <w:rPr>
          <w:rFonts w:ascii="Times New Roman" w:eastAsia="Calibri" w:hAnsi="Times New Roman" w:cs="Times New Roman"/>
          <w:i/>
          <w:lang w:eastAsia="en-US"/>
        </w:rPr>
        <w:fldChar w:fldCharType="end"/>
      </w:r>
      <w:r w:rsidRPr="001655F2">
        <w:rPr>
          <w:rFonts w:ascii="Times New Roman" w:eastAsia="Calibri" w:hAnsi="Times New Roman" w:cs="Times New Roman"/>
          <w:i/>
          <w:lang w:eastAsia="en-US"/>
        </w:rPr>
        <w:t>.</w:t>
      </w:r>
    </w:p>
    <w:p w:rsidR="000B1494" w:rsidRPr="000B1494" w:rsidRDefault="000B1494" w:rsidP="0042111E">
      <w:pPr>
        <w:spacing w:line="240" w:lineRule="auto"/>
        <w:jc w:val="both"/>
        <w:rPr>
          <w:rFonts w:ascii="Times New Roman" w:eastAsia="Calibri" w:hAnsi="Times New Roman" w:cs="Times New Roman"/>
          <w:i/>
          <w:lang w:eastAsia="en-US"/>
        </w:rPr>
      </w:pPr>
    </w:p>
    <w:p w:rsidR="00062E7B" w:rsidRPr="0042111E" w:rsidRDefault="00062E7B" w:rsidP="0042111E">
      <w:pPr>
        <w:spacing w:line="240" w:lineRule="auto"/>
        <w:jc w:val="both"/>
        <w:rPr>
          <w:rFonts w:ascii="Times New Roman" w:eastAsia="Calibri" w:hAnsi="Times New Roman" w:cs="Times New Roman"/>
          <w:i/>
          <w:sz w:val="20"/>
          <w:szCs w:val="20"/>
          <w:lang w:eastAsia="en-US"/>
        </w:rPr>
      </w:pPr>
    </w:p>
    <w:p w:rsidR="00B21A2E" w:rsidRPr="0042111E" w:rsidRDefault="00B21A2E" w:rsidP="00B21A2E">
      <w:pPr>
        <w:pStyle w:val="Caption"/>
        <w:keepNext/>
        <w:rPr>
          <w:rFonts w:ascii="Times New Roman" w:hAnsi="Times New Roman" w:cs="Times New Roman"/>
          <w:i w:val="0"/>
          <w:color w:val="auto"/>
          <w:sz w:val="24"/>
          <w:szCs w:val="24"/>
        </w:rPr>
      </w:pPr>
      <w:r w:rsidRPr="0042111E">
        <w:rPr>
          <w:rFonts w:ascii="Times New Roman" w:hAnsi="Times New Roman" w:cs="Times New Roman"/>
          <w:b/>
          <w:i w:val="0"/>
          <w:color w:val="auto"/>
          <w:sz w:val="24"/>
          <w:szCs w:val="24"/>
        </w:rPr>
        <w:t xml:space="preserve">Table </w:t>
      </w:r>
      <w:r w:rsidR="009B133A">
        <w:rPr>
          <w:rFonts w:ascii="Times New Roman" w:hAnsi="Times New Roman" w:cs="Times New Roman"/>
          <w:b/>
          <w:i w:val="0"/>
          <w:color w:val="auto"/>
          <w:sz w:val="24"/>
          <w:szCs w:val="24"/>
        </w:rPr>
        <w:t>S</w:t>
      </w:r>
      <w:r w:rsidRPr="0042111E">
        <w:rPr>
          <w:rFonts w:ascii="Times New Roman" w:hAnsi="Times New Roman" w:cs="Times New Roman"/>
          <w:b/>
          <w:i w:val="0"/>
          <w:color w:val="auto"/>
          <w:sz w:val="24"/>
          <w:szCs w:val="24"/>
        </w:rPr>
        <w:fldChar w:fldCharType="begin"/>
      </w:r>
      <w:r w:rsidRPr="0042111E">
        <w:rPr>
          <w:rFonts w:ascii="Times New Roman" w:hAnsi="Times New Roman" w:cs="Times New Roman"/>
          <w:b/>
          <w:i w:val="0"/>
          <w:color w:val="auto"/>
          <w:sz w:val="24"/>
          <w:szCs w:val="24"/>
        </w:rPr>
        <w:instrText xml:space="preserve"> SEQ Table \* ARABIC </w:instrText>
      </w:r>
      <w:r w:rsidRPr="0042111E">
        <w:rPr>
          <w:rFonts w:ascii="Times New Roman" w:hAnsi="Times New Roman" w:cs="Times New Roman"/>
          <w:b/>
          <w:i w:val="0"/>
          <w:color w:val="auto"/>
          <w:sz w:val="24"/>
          <w:szCs w:val="24"/>
        </w:rPr>
        <w:fldChar w:fldCharType="separate"/>
      </w:r>
      <w:r w:rsidR="002B3004" w:rsidRPr="0042111E">
        <w:rPr>
          <w:rFonts w:ascii="Times New Roman" w:hAnsi="Times New Roman" w:cs="Times New Roman"/>
          <w:b/>
          <w:i w:val="0"/>
          <w:noProof/>
          <w:color w:val="auto"/>
          <w:sz w:val="24"/>
          <w:szCs w:val="24"/>
        </w:rPr>
        <w:t>2</w:t>
      </w:r>
      <w:r w:rsidRPr="0042111E">
        <w:rPr>
          <w:rFonts w:ascii="Times New Roman" w:hAnsi="Times New Roman" w:cs="Times New Roman"/>
          <w:b/>
          <w:i w:val="0"/>
          <w:color w:val="auto"/>
          <w:sz w:val="24"/>
          <w:szCs w:val="24"/>
        </w:rPr>
        <w:fldChar w:fldCharType="end"/>
      </w:r>
      <w:r w:rsidR="0042111E">
        <w:rPr>
          <w:rFonts w:ascii="Times New Roman" w:hAnsi="Times New Roman" w:cs="Times New Roman"/>
          <w:b/>
          <w:i w:val="0"/>
          <w:color w:val="auto"/>
          <w:sz w:val="24"/>
          <w:szCs w:val="24"/>
        </w:rPr>
        <w:t>.</w:t>
      </w:r>
      <w:r w:rsidRPr="0042111E">
        <w:rPr>
          <w:rFonts w:ascii="Times New Roman" w:hAnsi="Times New Roman" w:cs="Times New Roman"/>
          <w:i w:val="0"/>
          <w:color w:val="auto"/>
          <w:sz w:val="24"/>
          <w:szCs w:val="24"/>
        </w:rPr>
        <w:t xml:space="preserve"> Microplastics and antibiotic interactions</w:t>
      </w:r>
    </w:p>
    <w:tbl>
      <w:tblPr>
        <w:tblStyle w:val="TableGrid1"/>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580"/>
        <w:gridCol w:w="2735"/>
        <w:gridCol w:w="2349"/>
      </w:tblGrid>
      <w:tr w:rsidR="00B21A2E" w:rsidRPr="00B21A2E" w:rsidTr="00526280">
        <w:trPr>
          <w:trHeight w:val="739"/>
        </w:trPr>
        <w:tc>
          <w:tcPr>
            <w:tcW w:w="1800" w:type="dxa"/>
            <w:tcBorders>
              <w:top w:val="single" w:sz="4" w:space="0" w:color="auto"/>
              <w:bottom w:val="single" w:sz="4" w:space="0" w:color="auto"/>
            </w:tcBorders>
          </w:tcPr>
          <w:p w:rsidR="00B21A2E" w:rsidRPr="00B21A2E" w:rsidRDefault="00B21A2E" w:rsidP="00B21A2E">
            <w:pPr>
              <w:jc w:val="both"/>
              <w:rPr>
                <w:rFonts w:ascii="Times New Roman" w:hAnsi="Times New Roman" w:cs="Times New Roman"/>
                <w:b/>
                <w:sz w:val="18"/>
                <w:szCs w:val="18"/>
              </w:rPr>
            </w:pPr>
            <w:r w:rsidRPr="00B21A2E">
              <w:rPr>
                <w:rFonts w:ascii="Times New Roman" w:hAnsi="Times New Roman" w:cs="Times New Roman"/>
                <w:b/>
                <w:sz w:val="18"/>
                <w:szCs w:val="18"/>
              </w:rPr>
              <w:t>Microplastic</w:t>
            </w:r>
          </w:p>
          <w:p w:rsidR="00B21A2E" w:rsidRPr="00B21A2E" w:rsidRDefault="00B21A2E" w:rsidP="00B21A2E">
            <w:pPr>
              <w:jc w:val="both"/>
              <w:rPr>
                <w:rFonts w:ascii="Times New Roman" w:hAnsi="Times New Roman" w:cs="Times New Roman"/>
                <w:b/>
                <w:sz w:val="18"/>
                <w:szCs w:val="18"/>
              </w:rPr>
            </w:pPr>
          </w:p>
        </w:tc>
        <w:tc>
          <w:tcPr>
            <w:tcW w:w="2580" w:type="dxa"/>
            <w:tcBorders>
              <w:top w:val="single" w:sz="4" w:space="0" w:color="auto"/>
              <w:bottom w:val="single" w:sz="4" w:space="0" w:color="auto"/>
            </w:tcBorders>
          </w:tcPr>
          <w:p w:rsidR="00B21A2E" w:rsidRPr="00B21A2E" w:rsidRDefault="00B21A2E" w:rsidP="00B21A2E">
            <w:pPr>
              <w:jc w:val="both"/>
              <w:rPr>
                <w:rFonts w:ascii="Times New Roman" w:hAnsi="Times New Roman" w:cs="Times New Roman"/>
                <w:b/>
                <w:sz w:val="18"/>
                <w:szCs w:val="18"/>
              </w:rPr>
            </w:pPr>
            <w:r w:rsidRPr="00B21A2E">
              <w:rPr>
                <w:rFonts w:ascii="Times New Roman" w:hAnsi="Times New Roman" w:cs="Times New Roman"/>
                <w:b/>
                <w:sz w:val="18"/>
                <w:szCs w:val="18"/>
              </w:rPr>
              <w:t>Antibiotic</w:t>
            </w:r>
          </w:p>
        </w:tc>
        <w:tc>
          <w:tcPr>
            <w:tcW w:w="2735" w:type="dxa"/>
            <w:tcBorders>
              <w:top w:val="single" w:sz="4" w:space="0" w:color="auto"/>
              <w:bottom w:val="single" w:sz="4" w:space="0" w:color="auto"/>
            </w:tcBorders>
          </w:tcPr>
          <w:p w:rsidR="00B21A2E" w:rsidRPr="00B21A2E" w:rsidRDefault="00B21A2E" w:rsidP="00B21A2E">
            <w:pPr>
              <w:jc w:val="both"/>
              <w:rPr>
                <w:rFonts w:ascii="Times New Roman" w:hAnsi="Times New Roman" w:cs="Times New Roman"/>
                <w:b/>
                <w:sz w:val="18"/>
                <w:szCs w:val="18"/>
              </w:rPr>
            </w:pPr>
            <w:r w:rsidRPr="00B21A2E">
              <w:rPr>
                <w:rFonts w:ascii="Times New Roman" w:hAnsi="Times New Roman" w:cs="Times New Roman"/>
                <w:b/>
                <w:sz w:val="18"/>
                <w:szCs w:val="18"/>
              </w:rPr>
              <w:t>Type of interaction</w:t>
            </w:r>
          </w:p>
        </w:tc>
        <w:tc>
          <w:tcPr>
            <w:tcW w:w="2349" w:type="dxa"/>
            <w:tcBorders>
              <w:top w:val="single" w:sz="4" w:space="0" w:color="auto"/>
              <w:bottom w:val="single" w:sz="4" w:space="0" w:color="auto"/>
            </w:tcBorders>
          </w:tcPr>
          <w:p w:rsidR="00B21A2E" w:rsidRPr="00B21A2E" w:rsidRDefault="00B21A2E" w:rsidP="00B21A2E">
            <w:pPr>
              <w:jc w:val="both"/>
              <w:rPr>
                <w:rFonts w:ascii="Times New Roman" w:hAnsi="Times New Roman" w:cs="Times New Roman"/>
                <w:b/>
                <w:sz w:val="18"/>
                <w:szCs w:val="18"/>
              </w:rPr>
            </w:pPr>
            <w:r w:rsidRPr="00B21A2E">
              <w:rPr>
                <w:rFonts w:ascii="Times New Roman" w:hAnsi="Times New Roman" w:cs="Times New Roman"/>
                <w:b/>
                <w:bCs/>
                <w:sz w:val="18"/>
                <w:szCs w:val="18"/>
              </w:rPr>
              <w:t>Reference</w:t>
            </w:r>
          </w:p>
        </w:tc>
      </w:tr>
      <w:tr w:rsidR="00B21A2E" w:rsidRPr="00B21A2E" w:rsidTr="00526280">
        <w:trPr>
          <w:trHeight w:val="1016"/>
        </w:trPr>
        <w:tc>
          <w:tcPr>
            <w:tcW w:w="1800" w:type="dxa"/>
            <w:tcBorders>
              <w:top w:val="single" w:sz="4" w:space="0" w:color="auto"/>
              <w:bottom w:val="nil"/>
            </w:tcBorders>
          </w:tcPr>
          <w:p w:rsidR="00B21A2E" w:rsidRPr="00B21A2E" w:rsidRDefault="00B21A2E" w:rsidP="00B21A2E">
            <w:pPr>
              <w:jc w:val="both"/>
              <w:rPr>
                <w:rFonts w:ascii="Times New Roman" w:hAnsi="Times New Roman" w:cs="Times New Roman"/>
                <w:sz w:val="18"/>
                <w:szCs w:val="18"/>
              </w:rPr>
            </w:pPr>
          </w:p>
        </w:tc>
        <w:tc>
          <w:tcPr>
            <w:tcW w:w="2580" w:type="dxa"/>
            <w:tcBorders>
              <w:top w:val="single" w:sz="4" w:space="0" w:color="auto"/>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Levofloxacin</w:t>
            </w:r>
          </w:p>
        </w:tc>
        <w:tc>
          <w:tcPr>
            <w:tcW w:w="2735" w:type="dxa"/>
            <w:tcBorders>
              <w:top w:val="single" w:sz="4" w:space="0" w:color="auto"/>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Intermolecular hydrogen bonding, ion exchange, electrostatic interaction, halogen bonds</w:t>
            </w:r>
          </w:p>
        </w:tc>
        <w:tc>
          <w:tcPr>
            <w:tcW w:w="2349" w:type="dxa"/>
            <w:tcBorders>
              <w:top w:val="single" w:sz="4" w:space="0" w:color="auto"/>
              <w:bottom w:val="nil"/>
            </w:tcBorders>
          </w:tcPr>
          <w:p w:rsidR="00B21A2E" w:rsidRPr="00B21A2E" w:rsidRDefault="00035A6F" w:rsidP="00B21A2E">
            <w:pPr>
              <w:jc w:val="both"/>
              <w:rPr>
                <w:rFonts w:ascii="Times New Roman" w:hAnsi="Times New Roman" w:cs="Times New Roman"/>
                <w:sz w:val="18"/>
                <w:szCs w:val="18"/>
              </w:rPr>
            </w:pPr>
            <w:r>
              <w:rPr>
                <w:rFonts w:ascii="Times New Roman" w:hAnsi="Times New Roman" w:cs="Times New Roman"/>
                <w:sz w:val="18"/>
                <w:szCs w:val="18"/>
              </w:rPr>
              <w:fldChar w:fldCharType="begin" w:fldLock="1"/>
            </w:r>
            <w:r w:rsidR="00683915">
              <w:rPr>
                <w:rFonts w:ascii="Times New Roman" w:hAnsi="Times New Roman" w:cs="Times New Roman"/>
                <w:sz w:val="18"/>
                <w:szCs w:val="18"/>
              </w:rPr>
              <w:instrText>ADDIN CSL_CITATION {"citationItems":[{"id":"ITEM-1","itemData":{"DOI":"10.1016/j.chemosphere.2020.127650","ISSN":"18791298","PMID":"32693263","abstract":"In recent years, the composite pollution of microplastics with organic pollutants and heavy metal ions in the water environment, including their combined toxicity, has received increasing attention. However, the mechanism underlying the joint effect of antibiotics and heavy metals on the surface behavior of microplastics has not been reported. The primary purpose of this article was to analyze the adsorption of levofloxacin (OFL) onto polyvinyl chloride (PVC) in an aqueous solution. The adsorption behavior was studied using kinetics, thermodynamics, and isotherm models, and the effects of several environmental factors, such as ionic strength, fulvic acid, and heavy metals, were determined. The adsorption kinetics and isotherms models indicated that the whole adsorption process was controlled by both intraparticle and outer diffusion, as well as chemical adsorption, which was the dominant mechanism. Based on the results of the thermodynamic experiment, the adsorption process was a nonspontaneous and exothermic reaction process. Furthermore, the presence of Cu2+, Zn2+, and Cr3+ ions significantly promoted the adsorption of OFL, but the presence of Cd2+ and Pb2+ ions inhibited its adsorption. At the same time, the presence of the ionic strength and fulvic acid remarkably restricted the adsorption process. These findings confirmed that electrostatic interactions, ion exchange, intermolecular hydrogen bonds, and halogen bond cooperation were the main adsorption mechanisms. This paper mainly discusses the interaction between combinations of pollutants with microplastics, which provides theoretical guidance for the interface behavior, migration and transformation of marine microplastics in the actual environment.","author":[{"dropping-particle":"","family":"Yu","given":"Fei","non-dropping-particle":"","parse-names":false,"suffix":""},{"dropping-particle":"","family":"Li","given":"Ye","non-dropping-particle":"","parse-names":false,"suffix":""},{"dropping-particle":"","family":"Huang","given":"Guoqiong","non-dropping-particle":"","parse-names":false,"suffix":""},{"dropping-particle":"","family":"Yang","given":"Changfu","non-dropping-particle":"","parse-names":false,"suffix":""},{"dropping-particle":"","family":"Chen","given":"Chen","non-dropping-particle":"","parse-names":false,"suffix":""},{"dropping-particle":"","family":"Zhou","given":"Tao","non-dropping-particle":"","parse-names":false,"suffix":""},{"dropping-particle":"","family":"Zhao","given":"Youcai","non-dropping-particle":"","parse-names":false,"suffix":""},{"dropping-particle":"","family":"Ma","given":"Jie","non-dropping-particle":"","parse-names":false,"suffix":""}],"container-title":"Chemosphere","id":"ITEM-1","issued":{"date-parts":[["2020"]]},"title":"Adsorption behavior of the antibiotic levofloxacin on microplastics in the presence of different heavy metals in an aqueous solution","type":"article-journal","volume":"260"},"uris":["http://www.mendeley.com/documents/?uuid=5e34bc01-a56f-4baf-acdb-ac9d96717e8c"]}],"mendeley":{"formattedCitation":"(5)","plainTextFormattedCitation":"(5)","previouslyFormattedCitation":"(5)"},"properties":{"noteIndex":0},"schema":"https://github.com/citation-style-language/schema/raw/master/csl-citation.json"}</w:instrText>
            </w:r>
            <w:r>
              <w:rPr>
                <w:rFonts w:ascii="Times New Roman" w:hAnsi="Times New Roman" w:cs="Times New Roman"/>
                <w:sz w:val="18"/>
                <w:szCs w:val="18"/>
              </w:rPr>
              <w:fldChar w:fldCharType="separate"/>
            </w:r>
            <w:r w:rsidRPr="00035A6F">
              <w:rPr>
                <w:rFonts w:ascii="Times New Roman" w:hAnsi="Times New Roman" w:cs="Times New Roman"/>
                <w:noProof/>
                <w:sz w:val="18"/>
                <w:szCs w:val="18"/>
              </w:rPr>
              <w:t>(</w:t>
            </w:r>
            <w:r w:rsidRPr="00683915">
              <w:rPr>
                <w:rFonts w:ascii="Times New Roman" w:hAnsi="Times New Roman" w:cs="Times New Roman"/>
                <w:noProof/>
                <w:color w:val="0070C0"/>
                <w:sz w:val="18"/>
                <w:szCs w:val="18"/>
              </w:rPr>
              <w:t>5</w:t>
            </w:r>
            <w:r w:rsidRPr="00035A6F">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B21A2E" w:rsidRPr="00B21A2E" w:rsidTr="00526280">
        <w:trPr>
          <w:trHeight w:val="791"/>
        </w:trPr>
        <w:tc>
          <w:tcPr>
            <w:tcW w:w="1800" w:type="dxa"/>
            <w:tcBorders>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bCs/>
                <w:sz w:val="18"/>
                <w:szCs w:val="18"/>
              </w:rPr>
              <w:t>PE</w:t>
            </w:r>
          </w:p>
        </w:tc>
        <w:tc>
          <w:tcPr>
            <w:tcW w:w="2580" w:type="dxa"/>
            <w:tcBorders>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Tetracycline</w:t>
            </w:r>
          </w:p>
        </w:tc>
        <w:tc>
          <w:tcPr>
            <w:tcW w:w="2735" w:type="dxa"/>
            <w:tcBorders>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surface characteristics, electrostatic interaction, and hydrogen bonding</w:t>
            </w:r>
          </w:p>
        </w:tc>
        <w:tc>
          <w:tcPr>
            <w:tcW w:w="2349" w:type="dxa"/>
            <w:tcBorders>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fldChar w:fldCharType="begin" w:fldLock="1"/>
            </w:r>
            <w:r w:rsidR="00683915">
              <w:rPr>
                <w:rFonts w:ascii="Times New Roman" w:hAnsi="Times New Roman" w:cs="Times New Roman"/>
                <w:sz w:val="18"/>
                <w:szCs w:val="18"/>
              </w:rPr>
              <w:instrText>ADDIN CSL_CITATION {"citationItems":[{"id":"ITEM-1","itemData":{"DOI":"10.1016/j.scitotenv.2020.137729","ISSN":"18791026","PMID":"32172114","abstract":"The accumulation of microplastics in offshore aquaculture waters has gradually become a threat to the survival of marine life, and the combined pollution of microplastics and other pollutants is attracting widespread attention. In this paper, tetracycline (TC) was selected as a typical antibiotic, and its adsorption behavior on the surface of diverse type and different sizes of microplastics was studied to explore their combined pollution in an aqueous solution. The results of isotherm fitting showed that the maximum adsorption capacity and coefficient of polyethylene (PE) were the largest, and the adsorption capacity of PE was the strongest among the three microplastics: polyethylene (PE), polystyrene (PS) and polyvinyl chloride (PVC). With increasing PE particle size, the maximum adsorption capacity and adsorption coefficient of TC showed a significant decreasing trend, with a slight fluctuation in the middle. The presence of Pb2+, Cr3+, Cd2+, and Zn2+ markedly enhanced the adsorption of TC to PE, and Cu2+ could reduce the adsorption of TC to PE. The presence of chloride ions did not affect the adsorption process, which indicated that the adsorption mechanism between TC and microplastics is mainly an ion exchange mechanism. These results showed that the surface properties of microplastics and the chemical properties of the aqueous solution played an important role in the adsorption of TC. This study provides important scientific guidance and a theoretical basis for the study of the interfacial behavior, migration and transformation of marine microplastics.","author":[{"dropping-particle":"","family":"Yu","given":"Fei","non-dropping-particle":"","parse-names":false,"suffix":""},{"dropping-particle":"","family":"Yang","given":"Changfu","non-dropping-particle":"","parse-names":false,"suffix":""},{"dropping-particle":"","family":"Huang","given":"Guoqiong","non-dropping-particle":"","parse-names":false,"suffix":""},{"dropping-particle":"","family":"Zhou","given":"Tao","non-dropping-particle":"","parse-names":false,"suffix":""},{"dropping-particle":"","family":"Zhao","given":"Youcai","non-dropping-particle":"","parse-names":false,"suffix":""},{"dropping-particle":"","family":"Ma","given":"Jie","non-dropping-particle":"","parse-names":false,"suffix":""}],"container-title":"Science of the Total Environment","id":"ITEM-1","issued":{"date-parts":[["2020"]]},"page":"137729","publisher":"Elsevier B.V.","title":"Interfacial interaction between diverse microplastics and tetracycline by adsorption in an aqueous solution","type":"article-journal","volume":"721"},"uris":["http://www.mendeley.com/documents/?uuid=e13ac630-d359-4dcf-b76d-230f89e3e8f3"]}],"mendeley":{"formattedCitation":"(6)","plainTextFormattedCitation":"(6)","previouslyFormattedCitation":"(6)"},"properties":{"noteIndex":0},"schema":"https://github.com/citation-style-language/schema/raw/master/csl-citation.json"}</w:instrText>
            </w:r>
            <w:r w:rsidRPr="00B21A2E">
              <w:rPr>
                <w:rFonts w:ascii="Times New Roman" w:hAnsi="Times New Roman" w:cs="Times New Roman"/>
                <w:sz w:val="18"/>
                <w:szCs w:val="18"/>
              </w:rPr>
              <w:fldChar w:fldCharType="separate"/>
            </w:r>
            <w:r w:rsidR="00035A6F" w:rsidRPr="00035A6F">
              <w:rPr>
                <w:rFonts w:ascii="Times New Roman" w:hAnsi="Times New Roman" w:cs="Times New Roman"/>
                <w:noProof/>
                <w:sz w:val="18"/>
                <w:szCs w:val="18"/>
              </w:rPr>
              <w:t>(</w:t>
            </w:r>
            <w:r w:rsidR="00035A6F" w:rsidRPr="00683915">
              <w:rPr>
                <w:rFonts w:ascii="Times New Roman" w:hAnsi="Times New Roman" w:cs="Times New Roman"/>
                <w:noProof/>
                <w:color w:val="0070C0"/>
                <w:sz w:val="18"/>
                <w:szCs w:val="18"/>
              </w:rPr>
              <w:t>6</w:t>
            </w:r>
            <w:r w:rsidR="00035A6F" w:rsidRPr="00035A6F">
              <w:rPr>
                <w:rFonts w:ascii="Times New Roman" w:hAnsi="Times New Roman" w:cs="Times New Roman"/>
                <w:noProof/>
                <w:sz w:val="18"/>
                <w:szCs w:val="18"/>
              </w:rPr>
              <w:t>)</w:t>
            </w:r>
            <w:r w:rsidRPr="00B21A2E">
              <w:rPr>
                <w:rFonts w:ascii="Times New Roman" w:hAnsi="Times New Roman" w:cs="Times New Roman"/>
                <w:sz w:val="18"/>
                <w:szCs w:val="18"/>
              </w:rPr>
              <w:fldChar w:fldCharType="end"/>
            </w:r>
          </w:p>
        </w:tc>
      </w:tr>
      <w:tr w:rsidR="00B21A2E" w:rsidRPr="00B21A2E" w:rsidTr="00526280">
        <w:trPr>
          <w:trHeight w:val="1034"/>
        </w:trPr>
        <w:tc>
          <w:tcPr>
            <w:tcW w:w="1800" w:type="dxa"/>
            <w:tcBorders>
              <w:top w:val="nil"/>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PE</w:t>
            </w:r>
          </w:p>
        </w:tc>
        <w:tc>
          <w:tcPr>
            <w:tcW w:w="2580" w:type="dxa"/>
            <w:tcBorders>
              <w:top w:val="nil"/>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Oxytetracycline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Hydrochloride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Tetracycline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Chlortetracycline</w:t>
            </w:r>
          </w:p>
        </w:tc>
        <w:tc>
          <w:tcPr>
            <w:tcW w:w="2735" w:type="dxa"/>
            <w:tcBorders>
              <w:top w:val="nil"/>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Hydrogen bonds, electrostatic attraction, and van der Waals forces</w:t>
            </w:r>
          </w:p>
        </w:tc>
        <w:tc>
          <w:tcPr>
            <w:tcW w:w="2349" w:type="dxa"/>
            <w:tcBorders>
              <w:top w:val="nil"/>
              <w:bottom w:val="nil"/>
            </w:tcBorders>
          </w:tcPr>
          <w:p w:rsidR="00B21A2E" w:rsidRPr="00B21A2E" w:rsidRDefault="00683915" w:rsidP="00B21A2E">
            <w:pPr>
              <w:jc w:val="both"/>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{"citationItems":[{"id":"ITEM-1","itemData":{"DOI":"10.1016/j.chemosphere.2020.129133","ISSN":"18791298","PMID":"33276997","abstract":"Microplastics are a kind of new organic pollutant in the environment. In this study, the adsorption of tetracyclines (TCs), including tetracycline hydrochloride (TC), chlortetracycline hydrochloride (CTC) and oxytetracycline hydrochloride (OTC) onto polyethylene (PE) microplastics in aqueous solutions were investigated. The mechanism of the adsorption behavior was preliminarily explored by adsorption kinetics, isotherms, and thermodynamics, in combination with scanning electron microscopy (SEM), Fourier transform infrared spectroscopy (FTIR) and X-ray photoelectron spectroscopy (XPS). In addition, molecular dynamics (MD) simulation was applied to investigate the adsorption processes of TCs on PE at a molecular level. It was found that the adsorption behaviors of TCs reached an equilibrium state within 30 h. The experimental data showed that adsorption capacities of TCs onto PE were as follows: OTC (64.40 ± 2.38 μg/g)&gt;CTC (63.36 ± 4.92 μg/g)&gt;TC (53.52 ± 3.43 μg/g). TC sorption onto PE increased with pH, peaking at around pH 6 and then decreased. The increase of ionic strength in the solution led to the reduced adsorption capacity of TC onto PE. The results indicated that the experimental data were well fitted by the pseudo-second-order model and the Freundlich isotherm model, indicating both monolayer and multilayer coverage of TCs onto the surface of PE. The results of MD simulation showed that PE can effectively adsorb the TCs molecule mainly through non-bond interactions, and PE exhibited the highest affinity for CTC and OTC, followed by TC.","author":[{"dropping-particle":"","family":"Chen","given":"Yajun","non-dropping-particle":"","parse-names":false,"suffix":""},{"dropping-particle":"","family":"Li","given":"Jining","non-dropping-particle":"","parse-names":false,"suffix":""},{"dropping-particle":"","family":"Wang","given":"Fenghe","non-dropping-particle":"","parse-names":false,"suffix":""},{"dropping-particle":"","family":"Yang","given":"Hao","non-dropping-particle":"","parse-names":false,"suffix":""},{"dropping-particle":"","family":"Liu","given":"Lei","non-dropping-particle":"","parse-names":false,"suffix":""}],"container-title":"Chemosphere","id":"ITEM-1","issued":{"date-parts":[["2021"]]},"page":"129133","publisher":"Elsevier Ltd","title":"Adsorption of tetracyclines onto polyethylene microplastics: A combined study of experiment and molecular dynamics simulation","type":"article-journal","volume":"265"},"uris":["http://www.mendeley.com/documents/?uuid=b9776e97-8421-4374-8d74-284a6cd51669"]}],"mendeley":{"formattedCitation":"(7)","plainTextFormattedCitation":"(7)","previouslyFormattedCitation":"(7)"},"properties":{"noteIndex":0},"schema":"https://github.com/citation-style-language/schema/raw/master/csl-citation.json"}</w:instrText>
            </w:r>
            <w:r>
              <w:rPr>
                <w:rFonts w:ascii="Times New Roman" w:hAnsi="Times New Roman" w:cs="Times New Roman"/>
                <w:sz w:val="18"/>
                <w:szCs w:val="18"/>
              </w:rPr>
              <w:fldChar w:fldCharType="separate"/>
            </w:r>
            <w:r w:rsidRPr="00683915">
              <w:rPr>
                <w:rFonts w:ascii="Times New Roman" w:hAnsi="Times New Roman" w:cs="Times New Roman"/>
                <w:noProof/>
                <w:sz w:val="18"/>
                <w:szCs w:val="18"/>
              </w:rPr>
              <w:t>(</w:t>
            </w:r>
            <w:r w:rsidRPr="00683915">
              <w:rPr>
                <w:rFonts w:ascii="Times New Roman" w:hAnsi="Times New Roman" w:cs="Times New Roman"/>
                <w:noProof/>
                <w:color w:val="0070C0"/>
                <w:sz w:val="18"/>
                <w:szCs w:val="18"/>
              </w:rPr>
              <w:t>7</w:t>
            </w:r>
            <w:r w:rsidRPr="00683915">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B21A2E" w:rsidRPr="00B21A2E" w:rsidTr="00526280">
        <w:trPr>
          <w:trHeight w:val="927"/>
        </w:trPr>
        <w:tc>
          <w:tcPr>
            <w:tcW w:w="1800" w:type="dxa"/>
            <w:tcBorders>
              <w:top w:val="nil"/>
              <w:bottom w:val="single" w:sz="4" w:space="0" w:color="auto"/>
            </w:tcBorders>
          </w:tcPr>
          <w:p w:rsidR="0042111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HDPE,</w:t>
            </w:r>
            <w:r w:rsidR="0042111E">
              <w:rPr>
                <w:rFonts w:ascii="Times New Roman" w:hAnsi="Times New Roman" w:cs="Times New Roman"/>
                <w:sz w:val="18"/>
                <w:szCs w:val="18"/>
              </w:rPr>
              <w:t xml:space="preserve"> </w:t>
            </w:r>
            <w:r w:rsidRPr="00B21A2E">
              <w:rPr>
                <w:rFonts w:ascii="Times New Roman" w:hAnsi="Times New Roman" w:cs="Times New Roman"/>
                <w:sz w:val="18"/>
                <w:szCs w:val="18"/>
              </w:rPr>
              <w:t xml:space="preserve">LDPE,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PVC,</w:t>
            </w:r>
            <w:r w:rsidR="0042111E">
              <w:rPr>
                <w:rFonts w:ascii="Times New Roman" w:hAnsi="Times New Roman" w:cs="Times New Roman"/>
                <w:sz w:val="18"/>
                <w:szCs w:val="18"/>
              </w:rPr>
              <w:t xml:space="preserve"> </w:t>
            </w:r>
            <w:r w:rsidRPr="00B21A2E">
              <w:rPr>
                <w:rFonts w:ascii="Times New Roman" w:hAnsi="Times New Roman" w:cs="Times New Roman"/>
                <w:sz w:val="18"/>
                <w:szCs w:val="18"/>
              </w:rPr>
              <w:t>PP</w:t>
            </w:r>
          </w:p>
        </w:tc>
        <w:tc>
          <w:tcPr>
            <w:tcW w:w="2580" w:type="dxa"/>
            <w:tcBorders>
              <w:top w:val="nil"/>
              <w:bottom w:val="single" w:sz="4" w:space="0" w:color="auto"/>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Enrofloxacin, Norfloxacin, and Ciprofloxacin.</w:t>
            </w:r>
          </w:p>
        </w:tc>
        <w:tc>
          <w:tcPr>
            <w:tcW w:w="2735" w:type="dxa"/>
            <w:tcBorders>
              <w:top w:val="nil"/>
              <w:bottom w:val="single" w:sz="4" w:space="0" w:color="auto"/>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Hydrophobic and electrostatic interaction</w:t>
            </w:r>
          </w:p>
        </w:tc>
        <w:tc>
          <w:tcPr>
            <w:tcW w:w="2349" w:type="dxa"/>
            <w:tcBorders>
              <w:top w:val="nil"/>
              <w:bottom w:val="single" w:sz="4" w:space="0" w:color="auto"/>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fldChar w:fldCharType="begin" w:fldLock="1"/>
            </w:r>
            <w:r w:rsidR="00683915">
              <w:rPr>
                <w:rFonts w:ascii="Times New Roman" w:hAnsi="Times New Roman" w:cs="Times New Roman"/>
                <w:sz w:val="18"/>
                <w:szCs w:val="18"/>
              </w:rPr>
              <w:instrText>ADDIN CSL_CITATION {"citationItems":[{"id":"ITEM-1","itemData":{"DOI":"10.1016/j.chemosphere.2020.127976","author":[{"dropping-particle":"","family":"Puckowski","given":"Alan","non-dropping-particle":"","parse-names":false,"suffix":""},{"dropping-particle":"","family":"Cwie","given":"Weronika","non-dropping-particle":"","parse-names":false,"suffix":""},{"dropping-particle":"","family":"Mioduszewska","given":"Katarzyna","non-dropping-particle":"","parse-names":false,"suffix":""},{"dropping-particle":"","family":"Stepnowski","given":"Piotr","non-dropping-particle":"","parse-names":false,"suffix":""},{"dropping-particle":"","family":"Bia","given":"Anna","non-dropping-particle":"","parse-names":false,"suffix":""}],"id":"ITEM-1","issued":{"date-parts":[["2021"]]},"title":"Chemosphere Sorption of pharmaceuticals on the surface of microplastics","type":"article-journal","volume":"263"},"uris":["http://www.mendeley.com/documents/?uuid=e6315207-a9ba-4b6c-a37a-bbad0bf83cfa"]}],"mendeley":{"formattedCitation":"(8)","plainTextFormattedCitation":"(8)","previouslyFormattedCitation":"(8)"},"properties":{"noteIndex":0},"schema":"https://github.com/citation-style-language/schema/raw/master/csl-citation.json"}</w:instrText>
            </w:r>
            <w:r w:rsidRPr="00B21A2E">
              <w:rPr>
                <w:rFonts w:ascii="Times New Roman" w:hAnsi="Times New Roman" w:cs="Times New Roman"/>
                <w:sz w:val="18"/>
                <w:szCs w:val="18"/>
              </w:rPr>
              <w:fldChar w:fldCharType="separate"/>
            </w:r>
            <w:r w:rsidR="00035A6F" w:rsidRPr="00035A6F">
              <w:rPr>
                <w:rFonts w:ascii="Times New Roman" w:hAnsi="Times New Roman" w:cs="Times New Roman"/>
                <w:noProof/>
                <w:sz w:val="18"/>
                <w:szCs w:val="18"/>
              </w:rPr>
              <w:t>(</w:t>
            </w:r>
            <w:r w:rsidR="00035A6F" w:rsidRPr="00683915">
              <w:rPr>
                <w:rFonts w:ascii="Times New Roman" w:hAnsi="Times New Roman" w:cs="Times New Roman"/>
                <w:noProof/>
                <w:color w:val="0070C0"/>
                <w:sz w:val="18"/>
                <w:szCs w:val="18"/>
              </w:rPr>
              <w:t>8</w:t>
            </w:r>
            <w:r w:rsidR="00035A6F" w:rsidRPr="00035A6F">
              <w:rPr>
                <w:rFonts w:ascii="Times New Roman" w:hAnsi="Times New Roman" w:cs="Times New Roman"/>
                <w:noProof/>
                <w:sz w:val="18"/>
                <w:szCs w:val="18"/>
              </w:rPr>
              <w:t>)</w:t>
            </w:r>
            <w:r w:rsidRPr="00B21A2E">
              <w:rPr>
                <w:rFonts w:ascii="Times New Roman" w:hAnsi="Times New Roman" w:cs="Times New Roman"/>
                <w:sz w:val="18"/>
                <w:szCs w:val="18"/>
              </w:rPr>
              <w:fldChar w:fldCharType="end"/>
            </w:r>
          </w:p>
        </w:tc>
      </w:tr>
      <w:tr w:rsidR="00B21A2E" w:rsidRPr="00B21A2E" w:rsidTr="00526280">
        <w:trPr>
          <w:trHeight w:val="927"/>
        </w:trPr>
        <w:tc>
          <w:tcPr>
            <w:tcW w:w="1800" w:type="dxa"/>
            <w:tcBorders>
              <w:top w:val="nil"/>
              <w:bottom w:val="single" w:sz="4" w:space="0" w:color="auto"/>
            </w:tcBorders>
          </w:tcPr>
          <w:p w:rsidR="00B21A2E" w:rsidRPr="00B21A2E" w:rsidRDefault="00B21A2E" w:rsidP="00B21A2E">
            <w:pPr>
              <w:jc w:val="both"/>
              <w:rPr>
                <w:rFonts w:ascii="Times New Roman" w:hAnsi="Times New Roman" w:cs="Times New Roman"/>
                <w:b/>
                <w:sz w:val="18"/>
                <w:szCs w:val="18"/>
              </w:rPr>
            </w:pPr>
            <w:r w:rsidRPr="00B21A2E">
              <w:rPr>
                <w:rFonts w:ascii="Times New Roman" w:hAnsi="Times New Roman" w:cs="Times New Roman"/>
                <w:b/>
                <w:sz w:val="18"/>
                <w:szCs w:val="18"/>
              </w:rPr>
              <w:t xml:space="preserve">Table </w:t>
            </w:r>
            <w:r w:rsidR="009B133A">
              <w:rPr>
                <w:rFonts w:ascii="Times New Roman" w:hAnsi="Times New Roman" w:cs="Times New Roman"/>
                <w:b/>
                <w:sz w:val="18"/>
                <w:szCs w:val="18"/>
              </w:rPr>
              <w:t>S</w:t>
            </w:r>
            <w:r w:rsidRPr="00B21A2E">
              <w:rPr>
                <w:rFonts w:ascii="Times New Roman" w:hAnsi="Times New Roman" w:cs="Times New Roman"/>
                <w:b/>
                <w:sz w:val="18"/>
                <w:szCs w:val="18"/>
              </w:rPr>
              <w:t>2 Cont’d</w:t>
            </w:r>
          </w:p>
        </w:tc>
        <w:tc>
          <w:tcPr>
            <w:tcW w:w="2580" w:type="dxa"/>
            <w:tcBorders>
              <w:top w:val="nil"/>
              <w:bottom w:val="single" w:sz="4" w:space="0" w:color="auto"/>
            </w:tcBorders>
          </w:tcPr>
          <w:p w:rsidR="00B21A2E" w:rsidRPr="00B21A2E" w:rsidRDefault="00B21A2E" w:rsidP="00B21A2E">
            <w:pPr>
              <w:jc w:val="both"/>
              <w:rPr>
                <w:rFonts w:ascii="Times New Roman" w:hAnsi="Times New Roman" w:cs="Times New Roman"/>
                <w:sz w:val="18"/>
                <w:szCs w:val="18"/>
              </w:rPr>
            </w:pPr>
          </w:p>
        </w:tc>
        <w:tc>
          <w:tcPr>
            <w:tcW w:w="2735" w:type="dxa"/>
            <w:tcBorders>
              <w:top w:val="nil"/>
              <w:bottom w:val="single" w:sz="4" w:space="0" w:color="auto"/>
            </w:tcBorders>
          </w:tcPr>
          <w:p w:rsidR="00B21A2E" w:rsidRPr="00B21A2E" w:rsidRDefault="00B21A2E" w:rsidP="00B21A2E">
            <w:pPr>
              <w:jc w:val="both"/>
              <w:rPr>
                <w:rFonts w:ascii="Times New Roman" w:hAnsi="Times New Roman" w:cs="Times New Roman"/>
                <w:sz w:val="18"/>
                <w:szCs w:val="18"/>
              </w:rPr>
            </w:pPr>
          </w:p>
        </w:tc>
        <w:tc>
          <w:tcPr>
            <w:tcW w:w="2349" w:type="dxa"/>
            <w:tcBorders>
              <w:top w:val="nil"/>
              <w:bottom w:val="single" w:sz="4" w:space="0" w:color="auto"/>
            </w:tcBorders>
          </w:tcPr>
          <w:p w:rsidR="00B21A2E" w:rsidRPr="00B21A2E" w:rsidRDefault="00B21A2E" w:rsidP="00B21A2E">
            <w:pPr>
              <w:jc w:val="both"/>
              <w:rPr>
                <w:rFonts w:ascii="Times New Roman" w:hAnsi="Times New Roman" w:cs="Times New Roman"/>
                <w:sz w:val="18"/>
                <w:szCs w:val="18"/>
              </w:rPr>
            </w:pPr>
          </w:p>
        </w:tc>
      </w:tr>
      <w:tr w:rsidR="00B21A2E" w:rsidRPr="00B21A2E" w:rsidTr="00526280">
        <w:trPr>
          <w:trHeight w:val="739"/>
        </w:trPr>
        <w:tc>
          <w:tcPr>
            <w:tcW w:w="1800" w:type="dxa"/>
            <w:tcBorders>
              <w:top w:val="single" w:sz="4" w:space="0" w:color="auto"/>
              <w:bottom w:val="single" w:sz="4" w:space="0" w:color="auto"/>
            </w:tcBorders>
          </w:tcPr>
          <w:p w:rsidR="00B21A2E" w:rsidRPr="00B21A2E" w:rsidRDefault="00B21A2E" w:rsidP="00B21A2E">
            <w:pPr>
              <w:jc w:val="both"/>
              <w:rPr>
                <w:rFonts w:ascii="Times New Roman" w:hAnsi="Times New Roman" w:cs="Times New Roman"/>
                <w:b/>
                <w:sz w:val="18"/>
                <w:szCs w:val="18"/>
              </w:rPr>
            </w:pPr>
            <w:r w:rsidRPr="00B21A2E">
              <w:rPr>
                <w:rFonts w:ascii="Times New Roman" w:hAnsi="Times New Roman" w:cs="Times New Roman"/>
                <w:b/>
                <w:sz w:val="18"/>
                <w:szCs w:val="18"/>
              </w:rPr>
              <w:t>Microplastic</w:t>
            </w:r>
          </w:p>
          <w:p w:rsidR="00B21A2E" w:rsidRPr="00B21A2E" w:rsidRDefault="00B21A2E" w:rsidP="00B21A2E">
            <w:pPr>
              <w:jc w:val="both"/>
              <w:rPr>
                <w:rFonts w:ascii="Times New Roman" w:hAnsi="Times New Roman" w:cs="Times New Roman"/>
                <w:b/>
                <w:sz w:val="18"/>
                <w:szCs w:val="18"/>
              </w:rPr>
            </w:pPr>
          </w:p>
        </w:tc>
        <w:tc>
          <w:tcPr>
            <w:tcW w:w="2580" w:type="dxa"/>
            <w:tcBorders>
              <w:top w:val="single" w:sz="4" w:space="0" w:color="auto"/>
              <w:bottom w:val="single" w:sz="4" w:space="0" w:color="auto"/>
            </w:tcBorders>
          </w:tcPr>
          <w:p w:rsidR="00B21A2E" w:rsidRPr="00B21A2E" w:rsidRDefault="00B21A2E" w:rsidP="00B21A2E">
            <w:pPr>
              <w:jc w:val="both"/>
              <w:rPr>
                <w:rFonts w:ascii="Times New Roman" w:hAnsi="Times New Roman" w:cs="Times New Roman"/>
                <w:b/>
                <w:sz w:val="18"/>
                <w:szCs w:val="18"/>
              </w:rPr>
            </w:pPr>
            <w:r w:rsidRPr="00B21A2E">
              <w:rPr>
                <w:rFonts w:ascii="Times New Roman" w:hAnsi="Times New Roman" w:cs="Times New Roman"/>
                <w:b/>
                <w:sz w:val="18"/>
                <w:szCs w:val="18"/>
              </w:rPr>
              <w:t>Antibiotic</w:t>
            </w:r>
          </w:p>
        </w:tc>
        <w:tc>
          <w:tcPr>
            <w:tcW w:w="2735" w:type="dxa"/>
            <w:tcBorders>
              <w:top w:val="single" w:sz="4" w:space="0" w:color="auto"/>
              <w:bottom w:val="single" w:sz="4" w:space="0" w:color="auto"/>
            </w:tcBorders>
          </w:tcPr>
          <w:p w:rsidR="00B21A2E" w:rsidRPr="00B21A2E" w:rsidRDefault="00B21A2E" w:rsidP="00B21A2E">
            <w:pPr>
              <w:jc w:val="both"/>
              <w:rPr>
                <w:rFonts w:ascii="Times New Roman" w:hAnsi="Times New Roman" w:cs="Times New Roman"/>
                <w:b/>
                <w:sz w:val="18"/>
                <w:szCs w:val="18"/>
              </w:rPr>
            </w:pPr>
            <w:r w:rsidRPr="00B21A2E">
              <w:rPr>
                <w:rFonts w:ascii="Times New Roman" w:hAnsi="Times New Roman" w:cs="Times New Roman"/>
                <w:b/>
                <w:sz w:val="18"/>
                <w:szCs w:val="18"/>
              </w:rPr>
              <w:t>Type of interaction</w:t>
            </w:r>
          </w:p>
        </w:tc>
        <w:tc>
          <w:tcPr>
            <w:tcW w:w="2349" w:type="dxa"/>
            <w:tcBorders>
              <w:top w:val="single" w:sz="4" w:space="0" w:color="auto"/>
              <w:bottom w:val="single" w:sz="4" w:space="0" w:color="auto"/>
            </w:tcBorders>
          </w:tcPr>
          <w:p w:rsidR="00B21A2E" w:rsidRPr="00B21A2E" w:rsidRDefault="00B21A2E" w:rsidP="00B21A2E">
            <w:pPr>
              <w:jc w:val="both"/>
              <w:rPr>
                <w:rFonts w:ascii="Times New Roman" w:hAnsi="Times New Roman" w:cs="Times New Roman"/>
                <w:b/>
                <w:sz w:val="18"/>
                <w:szCs w:val="18"/>
              </w:rPr>
            </w:pPr>
            <w:r w:rsidRPr="00B21A2E">
              <w:rPr>
                <w:rFonts w:ascii="Times New Roman" w:hAnsi="Times New Roman" w:cs="Times New Roman"/>
                <w:b/>
                <w:bCs/>
                <w:sz w:val="18"/>
                <w:szCs w:val="18"/>
              </w:rPr>
              <w:t>Reference</w:t>
            </w:r>
          </w:p>
        </w:tc>
      </w:tr>
      <w:tr w:rsidR="00B21A2E" w:rsidRPr="00B21A2E" w:rsidTr="00526280">
        <w:trPr>
          <w:trHeight w:val="1034"/>
        </w:trPr>
        <w:tc>
          <w:tcPr>
            <w:tcW w:w="1800" w:type="dxa"/>
            <w:tcBorders>
              <w:top w:val="single" w:sz="4" w:space="0" w:color="auto"/>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PE</w:t>
            </w:r>
          </w:p>
        </w:tc>
        <w:tc>
          <w:tcPr>
            <w:tcW w:w="2580" w:type="dxa"/>
            <w:tcBorders>
              <w:top w:val="single" w:sz="4" w:space="0" w:color="auto"/>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Oxytetracycline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Hydrochloride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Tetracycline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Chlortetracycline</w:t>
            </w:r>
          </w:p>
        </w:tc>
        <w:tc>
          <w:tcPr>
            <w:tcW w:w="2735" w:type="dxa"/>
            <w:tcBorders>
              <w:top w:val="single" w:sz="4" w:space="0" w:color="auto"/>
              <w:bottom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Hydrogen bonds, electrostatic attraction, and van der Waals forces</w:t>
            </w:r>
          </w:p>
        </w:tc>
        <w:tc>
          <w:tcPr>
            <w:tcW w:w="2349" w:type="dxa"/>
            <w:tcBorders>
              <w:top w:val="single" w:sz="4" w:space="0" w:color="auto"/>
              <w:bottom w:val="nil"/>
            </w:tcBorders>
          </w:tcPr>
          <w:p w:rsidR="00B21A2E" w:rsidRPr="00B21A2E" w:rsidRDefault="008F491C" w:rsidP="00B21A2E">
            <w:pPr>
              <w:jc w:val="both"/>
              <w:rPr>
                <w:rFonts w:ascii="Times New Roman" w:hAnsi="Times New Roman" w:cs="Times New Roman"/>
                <w:sz w:val="18"/>
                <w:szCs w:val="18"/>
              </w:rPr>
            </w:pPr>
            <w:r>
              <w:rPr>
                <w:rFonts w:ascii="Times New Roman" w:hAnsi="Times New Roman" w:cs="Times New Roman"/>
                <w:sz w:val="18"/>
                <w:szCs w:val="18"/>
              </w:rPr>
              <w:fldChar w:fldCharType="begin" w:fldLock="1"/>
            </w:r>
            <w:r w:rsidR="00D310EA">
              <w:rPr>
                <w:rFonts w:ascii="Times New Roman" w:hAnsi="Times New Roman" w:cs="Times New Roman"/>
                <w:sz w:val="18"/>
                <w:szCs w:val="18"/>
              </w:rPr>
              <w:instrText>ADDIN CSL_CITATION {"citationItems":[{"id":"ITEM-1","itemData":{"DOI":"10.1016/j.chemosphere.2020.129133","ISSN":"18791298","PMID":"33276997","abstract":"Microplastics are a kind of new organic pollutant in the environment. In this study, the adsorption of tetracyclines (TCs), including tetracycline hydrochloride (TC), chlortetracycline hydrochloride (CTC) and oxytetracycline hydrochloride (OTC) onto polyethylene (PE) microplastics in aqueous solutions were investigated. The mechanism of the adsorption behavior was preliminarily explored by adsorption kinetics, isotherms, and thermodynamics, in combination with scanning electron microscopy (SEM), Fourier transform infrared spectroscopy (FTIR) and X-ray photoelectron spectroscopy (XPS). In addition, molecular dynamics (MD) simulation was applied to investigate the adsorption processes of TCs on PE at a molecular level. It was found that the adsorption behaviors of TCs reached an equilibrium state within 30 h. The experimental data showed that adsorption capacities of TCs onto PE were as follows: OTC (64.40 ± 2.38 μg/g)&gt;CTC (63.36 ± 4.92 μg/g)&gt;TC (53.52 ± 3.43 μg/g). TC sorption onto PE increased with pH, peaking at around pH 6 and then decreased. The increase of ionic strength in the solution led to the reduced adsorption capacity of TC onto PE. The results indicated that the experimental data were well fitted by the pseudo-second-order model and the Freundlich isotherm model, indicating both monolayer and multilayer coverage of TCs onto the surface of PE. The results of MD simulation showed that PE can effectively adsorb the TCs molecule mainly through non-bond interactions, and PE exhibited the highest affinity for CTC and OTC, followed by TC.","author":[{"dropping-particle":"","family":"Chen","given":"Yajun","non-dropping-particle":"","parse-names":false,"suffix":""},{"dropping-particle":"","family":"Li","given":"Jining","non-dropping-particle":"","parse-names":false,"suffix":""},{"dropping-particle":"","family":"Wang","given":"Fenghe","non-dropping-particle":"","parse-names":false,"suffix":""},{"dropping-particle":"","family":"Yang","given":"Hao","non-dropping-particle":"","parse-names":false,"suffix":""},{"dropping-particle":"","family":"Liu","given":"Lei","non-dropping-particle":"","parse-names":false,"suffix":""}],"container-title":"Chemosphere","id":"ITEM-1","issued":{"date-parts":[["2021"]]},"page":"129133","publisher":"Elsevier Ltd","title":"Adsorption of tetracyclines onto polyethylene microplastics: A combined study of experiment and molecular dynamics simulation","type":"article-journal","volume":"265"},"uris":["http://www.mendeley.com/documents/?uuid=b9776e97-8421-4374-8d74-284a6cd51669"]}],"mendeley":{"formattedCitation":"(7)","plainTextFormattedCitation":"(7)","previouslyFormattedCitation":"(7)"},"properties":{"noteIndex":0},"schema":"https://github.com/citation-style-language/schema/raw/master/csl-citation.json"}</w:instrText>
            </w:r>
            <w:r>
              <w:rPr>
                <w:rFonts w:ascii="Times New Roman" w:hAnsi="Times New Roman" w:cs="Times New Roman"/>
                <w:sz w:val="18"/>
                <w:szCs w:val="18"/>
              </w:rPr>
              <w:fldChar w:fldCharType="separate"/>
            </w:r>
            <w:r w:rsidRPr="008F491C">
              <w:rPr>
                <w:rFonts w:ascii="Times New Roman" w:hAnsi="Times New Roman" w:cs="Times New Roman"/>
                <w:noProof/>
                <w:sz w:val="18"/>
                <w:szCs w:val="18"/>
              </w:rPr>
              <w:t>(</w:t>
            </w:r>
            <w:r w:rsidRPr="008F491C">
              <w:rPr>
                <w:rFonts w:ascii="Times New Roman" w:hAnsi="Times New Roman" w:cs="Times New Roman"/>
                <w:noProof/>
                <w:color w:val="0070C0"/>
                <w:sz w:val="18"/>
                <w:szCs w:val="18"/>
              </w:rPr>
              <w:t>7</w:t>
            </w:r>
            <w:r w:rsidRPr="008F491C">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B21A2E" w:rsidRPr="00B21A2E" w:rsidTr="00526280">
        <w:trPr>
          <w:trHeight w:val="638"/>
        </w:trPr>
        <w:tc>
          <w:tcPr>
            <w:tcW w:w="1800" w:type="dxa"/>
            <w:tcBorders>
              <w:top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PE,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PP</w:t>
            </w:r>
          </w:p>
        </w:tc>
        <w:tc>
          <w:tcPr>
            <w:tcW w:w="2580" w:type="dxa"/>
            <w:tcBorders>
              <w:top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Tylosin</w:t>
            </w:r>
          </w:p>
        </w:tc>
        <w:tc>
          <w:tcPr>
            <w:tcW w:w="2735" w:type="dxa"/>
            <w:tcBorders>
              <w:top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Surface complexations and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Hydrophobic interactions</w:t>
            </w:r>
          </w:p>
        </w:tc>
        <w:tc>
          <w:tcPr>
            <w:tcW w:w="2349" w:type="dxa"/>
            <w:tcBorders>
              <w:top w:val="nil"/>
            </w:tcBorders>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fldChar w:fldCharType="begin" w:fldLock="1"/>
            </w:r>
            <w:r w:rsidR="00683915">
              <w:rPr>
                <w:rFonts w:ascii="Times New Roman" w:hAnsi="Times New Roman" w:cs="Times New Roman"/>
                <w:sz w:val="18"/>
                <w:szCs w:val="18"/>
              </w:rPr>
              <w:instrText>ADDIN CSL_CITATION {"citationItems":[{"id":"ITEM-1","itemData":{"DOI":"10.1016/j.chemosphere.2018.06.100","author":[{"dropping-particle":"","family":"Guo","given":"Xuetao","non-dropping-particle":"","parse-names":false,"suffix":""},{"dropping-particle":"","family":"Pang","given":"Jingwen","non-dropping-particle":"","parse-names":false,"suffix":""},{"dropping-particle":"","family":"Chen","given":"Shouyi","non-dropping-particle":"","parse-names":false,"suffix":""},{"dropping-particle":"","family":"Jia","given":"Hanzhong","non-dropping-particle":"","parse-names":false,"suffix":""}],"id":"ITEM-1","issued":{"date-parts":[["2018"]]},"publisher":"Elsevier B.V.","title":"AC SC","type":"article-journal"},"uris":["http://www.mendeley.com/documents/?uuid=b48948d4-7c80-4180-8443-c4d61ab647f6"]}],"mendeley":{"formattedCitation":"(9)","plainTextFormattedCitation":"(9)","previouslyFormattedCitation":"(9)"},"properties":{"noteIndex":0},"schema":"https://github.com/citation-style-language/schema/raw/master/csl-citation.json"}</w:instrText>
            </w:r>
            <w:r w:rsidRPr="00B21A2E">
              <w:rPr>
                <w:rFonts w:ascii="Times New Roman" w:hAnsi="Times New Roman" w:cs="Times New Roman"/>
                <w:sz w:val="18"/>
                <w:szCs w:val="18"/>
              </w:rPr>
              <w:fldChar w:fldCharType="separate"/>
            </w:r>
            <w:r w:rsidR="00035A6F" w:rsidRPr="00035A6F">
              <w:rPr>
                <w:rFonts w:ascii="Times New Roman" w:hAnsi="Times New Roman" w:cs="Times New Roman"/>
                <w:noProof/>
                <w:sz w:val="18"/>
                <w:szCs w:val="18"/>
              </w:rPr>
              <w:t>(</w:t>
            </w:r>
            <w:r w:rsidR="00035A6F" w:rsidRPr="00683915">
              <w:rPr>
                <w:rFonts w:ascii="Times New Roman" w:hAnsi="Times New Roman" w:cs="Times New Roman"/>
                <w:noProof/>
                <w:color w:val="0070C0"/>
                <w:sz w:val="18"/>
                <w:szCs w:val="18"/>
              </w:rPr>
              <w:t>9</w:t>
            </w:r>
            <w:r w:rsidR="00035A6F" w:rsidRPr="00035A6F">
              <w:rPr>
                <w:rFonts w:ascii="Times New Roman" w:hAnsi="Times New Roman" w:cs="Times New Roman"/>
                <w:noProof/>
                <w:sz w:val="18"/>
                <w:szCs w:val="18"/>
              </w:rPr>
              <w:t>)</w:t>
            </w:r>
            <w:r w:rsidRPr="00B21A2E">
              <w:rPr>
                <w:rFonts w:ascii="Times New Roman" w:hAnsi="Times New Roman" w:cs="Times New Roman"/>
                <w:sz w:val="18"/>
                <w:szCs w:val="18"/>
              </w:rPr>
              <w:fldChar w:fldCharType="end"/>
            </w:r>
          </w:p>
        </w:tc>
      </w:tr>
      <w:tr w:rsidR="00B21A2E" w:rsidRPr="00B21A2E" w:rsidTr="00526280">
        <w:trPr>
          <w:trHeight w:val="773"/>
        </w:trPr>
        <w:tc>
          <w:tcPr>
            <w:tcW w:w="180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PE</w:t>
            </w:r>
          </w:p>
        </w:tc>
        <w:tc>
          <w:tcPr>
            <w:tcW w:w="258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Sulfamethoxazole</w:t>
            </w:r>
          </w:p>
        </w:tc>
        <w:tc>
          <w:tcPr>
            <w:tcW w:w="2735" w:type="dxa"/>
          </w:tcPr>
          <w:p w:rsidR="00B21A2E" w:rsidRPr="00B21A2E" w:rsidRDefault="00B21A2E" w:rsidP="00B21A2E">
            <w:pPr>
              <w:rPr>
                <w:rFonts w:ascii="Times New Roman" w:hAnsi="Times New Roman" w:cs="Times New Roman"/>
                <w:sz w:val="18"/>
                <w:szCs w:val="18"/>
              </w:rPr>
            </w:pPr>
            <w:r w:rsidRPr="00B21A2E">
              <w:rPr>
                <w:rFonts w:ascii="Times New Roman" w:hAnsi="Times New Roman" w:cs="Times New Roman"/>
                <w:sz w:val="18"/>
                <w:szCs w:val="18"/>
              </w:rPr>
              <w:t>electrostatic interactions,</w:t>
            </w:r>
          </w:p>
          <w:p w:rsidR="00B21A2E" w:rsidRPr="00B21A2E" w:rsidRDefault="00B21A2E" w:rsidP="00B21A2E">
            <w:pPr>
              <w:rPr>
                <w:rFonts w:ascii="Times New Roman" w:hAnsi="Times New Roman" w:cs="Times New Roman"/>
                <w:sz w:val="18"/>
                <w:szCs w:val="18"/>
              </w:rPr>
            </w:pPr>
            <w:r w:rsidRPr="00B21A2E">
              <w:rPr>
                <w:rFonts w:ascii="Times New Roman" w:hAnsi="Times New Roman" w:cs="Times New Roman"/>
                <w:sz w:val="18"/>
                <w:szCs w:val="18"/>
              </w:rPr>
              <w:t>Van der Waals and hydrophobic,</w:t>
            </w:r>
          </w:p>
        </w:tc>
        <w:tc>
          <w:tcPr>
            <w:tcW w:w="2349" w:type="dxa"/>
          </w:tcPr>
          <w:p w:rsidR="00B21A2E" w:rsidRPr="00B21A2E" w:rsidRDefault="00D310EA" w:rsidP="00B21A2E">
            <w:pPr>
              <w:jc w:val="both"/>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{"citationItems":[{"id":"ITEM-1","itemData":{"author":[{"dropping-particle":"","family":"Xu","given":"Suyun","non-dropping-particle":"","parse-names":false,"suffix":""}],"id":"ITEM-1","issue":"Ii","issued":{"date-parts":[["2019"]]},"publisher":"Environmental Science and Pollution Research","title":"Decomplexation of Cu(II)/Ni(II)-EDTA by ozone-oxidation process","type":"article-journal"},"uris":["http://www.mendeley.com/documents/?uuid=e64e6d8a-6693-412b-904c-c7596ec215df"]}],"mendeley":{"formattedCitation":"(10)","plainTextFormattedCitation":"(10)","previouslyFormattedCitation":"(10)"},"properties":{"noteIndex":0},"schema":"https://github.com/citation-style-language/schema/raw/master/csl-citation.json"}</w:instrText>
            </w:r>
            <w:r>
              <w:rPr>
                <w:rFonts w:ascii="Times New Roman" w:hAnsi="Times New Roman" w:cs="Times New Roman"/>
                <w:sz w:val="18"/>
                <w:szCs w:val="18"/>
              </w:rPr>
              <w:fldChar w:fldCharType="separate"/>
            </w:r>
            <w:r w:rsidRPr="00D310EA">
              <w:rPr>
                <w:rFonts w:ascii="Times New Roman" w:hAnsi="Times New Roman" w:cs="Times New Roman"/>
                <w:noProof/>
                <w:sz w:val="18"/>
                <w:szCs w:val="18"/>
              </w:rPr>
              <w:t>(</w:t>
            </w:r>
            <w:r w:rsidRPr="00D310EA">
              <w:rPr>
                <w:rFonts w:ascii="Times New Roman" w:hAnsi="Times New Roman" w:cs="Times New Roman"/>
                <w:noProof/>
                <w:color w:val="0070C0"/>
                <w:sz w:val="18"/>
                <w:szCs w:val="18"/>
              </w:rPr>
              <w:t>10</w:t>
            </w:r>
            <w:r w:rsidRPr="00D310EA">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B21A2E" w:rsidRPr="00B21A2E" w:rsidTr="00526280">
        <w:trPr>
          <w:trHeight w:val="1392"/>
        </w:trPr>
        <w:tc>
          <w:tcPr>
            <w:tcW w:w="180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PE,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PP,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PS,</w:t>
            </w:r>
            <w:r w:rsidRPr="00B21A2E">
              <w:rPr>
                <w:rFonts w:ascii="Times New Roman" w:hAnsi="Times New Roman" w:cs="Times New Roman"/>
                <w:sz w:val="18"/>
                <w:szCs w:val="18"/>
              </w:rPr>
              <w:br/>
              <w:t xml:space="preserve">PA,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PET,</w:t>
            </w:r>
            <w:r w:rsidRPr="00B21A2E">
              <w:rPr>
                <w:rFonts w:ascii="Times New Roman" w:hAnsi="Times New Roman" w:cs="Times New Roman"/>
                <w:sz w:val="18"/>
                <w:szCs w:val="18"/>
              </w:rPr>
              <w:br/>
              <w:t>PVC</w:t>
            </w:r>
          </w:p>
        </w:tc>
        <w:tc>
          <w:tcPr>
            <w:tcW w:w="258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Sulfamethazine</w:t>
            </w:r>
          </w:p>
        </w:tc>
        <w:tc>
          <w:tcPr>
            <w:tcW w:w="2735"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Electrostatic and Van der Waals interactions</w:t>
            </w:r>
          </w:p>
        </w:tc>
        <w:tc>
          <w:tcPr>
            <w:tcW w:w="2349" w:type="dxa"/>
          </w:tcPr>
          <w:p w:rsidR="00B21A2E" w:rsidRPr="00B21A2E" w:rsidRDefault="00D310EA" w:rsidP="00B21A2E">
            <w:pPr>
              <w:jc w:val="both"/>
              <w:rPr>
                <w:rFonts w:ascii="Times New Roman" w:hAnsi="Times New Roman" w:cs="Times New Roman"/>
                <w:sz w:val="18"/>
                <w:szCs w:val="18"/>
              </w:rPr>
            </w:pPr>
            <w:r>
              <w:rPr>
                <w:rFonts w:ascii="Times New Roman" w:hAnsi="Times New Roman" w:cs="Times New Roman"/>
                <w:sz w:val="18"/>
                <w:szCs w:val="18"/>
              </w:rPr>
              <w:fldChar w:fldCharType="begin" w:fldLock="1"/>
            </w:r>
            <w:r w:rsidR="004817DA">
              <w:rPr>
                <w:rFonts w:ascii="Times New Roman" w:hAnsi="Times New Roman" w:cs="Times New Roman"/>
                <w:sz w:val="18"/>
                <w:szCs w:val="18"/>
              </w:rPr>
              <w:instrText>ADDIN CSL_CITATION {"citationItems":[{"id":"ITEM-1","itemData":{"DOI":"10.1016/j.marpolbul.2019.110511","ISSN":"18793363","PMID":"31425847","abstract":"Microplastics in environments undergo aging processes and may sorb antibiotics from surrounding water. Understanding the interaction between aged microplastics and antibiotics is important to assess the impact of microplastics on environments. In this paper, the sorption of three typical antibiotics, i.e., sulfamethoxazole (SMX), sulfamethazine (SMT), and cephalosporin C (CEP-C) onto the naturally aged microplastics (polystyrene (PS) and polyethylene (PE)) derived from aged plastics samples from the coast of East China Sea and Yellow Sea, China in freshwater and simulated seawater systems were studied. The results indicated that the mixed order (MO) model provided good prediction for the kinetics data. The linear isotherm represented adequately the sorption equilibrium data in freshwater. The Kd values ranged from 0.0236 L·g−1 to 0.0383 L·g−1. In simulated seawater, only CEP-C could be sorbed onto the microplastics. The main sorption mechanisms are hydrophobic, van der Waals, and electrostatic interactions.","author":[{"dropping-particle":"","family":"Guo","given":"Xuan","non-dropping-particle":"","parse-names":false,"suffix":""},{"dropping-particle":"","family":"Wang","given":"Jianlong","non-dropping-particle":"","parse-names":false,"suffix":""}],"container-title":"Marine Pollution Bulletin","id":"ITEM-1","issue":"August","issued":{"date-parts":[["2019"]]},"page":"110511","publisher":"Elsevier","title":"Sorption of antibiotics onto aged microplastics in freshwater and seawater","type":"article-journal","volume":"149"},"uris":["http://www.mendeley.com/documents/?uuid=3608221c-f2a5-4366-8083-2762cd514f8e"]}],"mendeley":{"formattedCitation":"(11)","plainTextFormattedCitation":"(11)","previouslyFormattedCitation":"(11)"},"properties":{"noteIndex":0},"schema":"https://github.com/citation-style-language/schema/raw/master/csl-citation.json"}</w:instrText>
            </w:r>
            <w:r>
              <w:rPr>
                <w:rFonts w:ascii="Times New Roman" w:hAnsi="Times New Roman" w:cs="Times New Roman"/>
                <w:sz w:val="18"/>
                <w:szCs w:val="18"/>
              </w:rPr>
              <w:fldChar w:fldCharType="separate"/>
            </w:r>
            <w:r w:rsidRPr="00D310EA">
              <w:rPr>
                <w:rFonts w:ascii="Times New Roman" w:hAnsi="Times New Roman" w:cs="Times New Roman"/>
                <w:noProof/>
                <w:sz w:val="18"/>
                <w:szCs w:val="18"/>
              </w:rPr>
              <w:t>(</w:t>
            </w:r>
            <w:r w:rsidRPr="00D310EA">
              <w:rPr>
                <w:rFonts w:ascii="Times New Roman" w:hAnsi="Times New Roman" w:cs="Times New Roman"/>
                <w:noProof/>
                <w:color w:val="0070C0"/>
                <w:sz w:val="18"/>
                <w:szCs w:val="18"/>
              </w:rPr>
              <w:t>11</w:t>
            </w:r>
            <w:r w:rsidRPr="00D310EA">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B21A2E" w:rsidRPr="00B21A2E" w:rsidTr="00526280">
        <w:trPr>
          <w:trHeight w:val="881"/>
        </w:trPr>
        <w:tc>
          <w:tcPr>
            <w:tcW w:w="180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PS,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PVC</w:t>
            </w:r>
          </w:p>
        </w:tc>
        <w:tc>
          <w:tcPr>
            <w:tcW w:w="2580" w:type="dxa"/>
          </w:tcPr>
          <w:p w:rsidR="00B21A2E" w:rsidRPr="00B21A2E" w:rsidRDefault="00B21A2E" w:rsidP="00B21A2E">
            <w:pPr>
              <w:jc w:val="both"/>
              <w:rPr>
                <w:rFonts w:ascii="Times New Roman" w:hAnsi="Times New Roman" w:cs="Times New Roman"/>
                <w:sz w:val="18"/>
                <w:szCs w:val="18"/>
              </w:rPr>
            </w:pPr>
          </w:p>
          <w:p w:rsidR="00B21A2E" w:rsidRPr="00B21A2E" w:rsidRDefault="00B21A2E" w:rsidP="00B21A2E">
            <w:pPr>
              <w:jc w:val="both"/>
              <w:rPr>
                <w:rFonts w:ascii="Times New Roman" w:hAnsi="Times New Roman" w:cs="Times New Roman"/>
                <w:sz w:val="18"/>
                <w:szCs w:val="18"/>
              </w:rPr>
            </w:pP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Ciprofloxacin</w:t>
            </w:r>
          </w:p>
        </w:tc>
        <w:tc>
          <w:tcPr>
            <w:tcW w:w="2735"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Electrostatic attraction, π-π, cation exchange, partition, and hydrogen bonding</w:t>
            </w:r>
          </w:p>
        </w:tc>
        <w:tc>
          <w:tcPr>
            <w:tcW w:w="2349" w:type="dxa"/>
          </w:tcPr>
          <w:p w:rsidR="00B21A2E" w:rsidRPr="00B21A2E" w:rsidRDefault="004817DA" w:rsidP="00B21A2E">
            <w:pPr>
              <w:jc w:val="both"/>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{"citationItems":[{"id":"ITEM-1","itemData":{"DOI":"10.1016/j.jhazmat.2010.02.041","ISSN":"03043894","PMID":"20223587","abstract":"A series of zwitterionic hybrid polymers were prepared from the ring-opening polymerization of pyromellitic acid dianhydride (PMDA) and phenylaminomethyl trimethoxysilane (PAMTMS), and a subsequent sol-gel process. FTIR spectra confirmed the step products. TGA analysis showed that the thermal degradation temperature increased with an increase in PMDA content. As a typical example, sample B was used to separate Cu2+ and Pb2+ removal by adsorption. It was indicated that its adsorption for Cu2+ and Pb2+ followed Lagergren second-order kinetic model and Langmuir isotherm model, demonstrating that the adsorption process might be Langmuir monolayer adsorption. Meanwhile, it was found that the adsorption capacity of Pb2+ on sample B is beyond 12 times higher than that of Cu2+ in 0.1moldm-3 aqueous solution, revealing that it has larger affinity for Pb2+. The desorption efficiency of Cu2+ and Pb2+ in 1moldm-3 HNO3 solution reached up to 96 and 89%, respectively; indicating that they can be regenerated and recycled in industry. These findings suggest that they are promising adsorbents for the selective removal of Pb2+ from Pb2+/Cu2+ mixed aqueous solution, and can be applied to separate and recover the heavy metal ions from contaminated water and waste chemicals. © 2010 Elsevier B.V.","author":[{"dropping-particle":"","family":"Liu","given":"Junsheng","non-dropping-particle":"","parse-names":false,"suffix":""},{"dropping-particle":"","family":"Ma","given":"Yue","non-dropping-particle":"","parse-names":false,"suffix":""},{"dropping-particle":"","family":"Xu","given":"Tongwen","non-dropping-particle":"","parse-names":false,"suffix":""},{"dropping-particle":"","family":"Shao","given":"Guoquan","non-dropping-particle":"","parse-names":false,"suffix":""}],"container-title":"Journal of Hazardous Materials","id":"ITEM-1","issue":"1-3","issued":{"date-parts":[["2010"]]},"page":"1021-1029","publisher":"Elsevier B.V.","title":"Preparation of zwitterionic hybrid polymer and its application for the removal of heavy metal ions from water","type":"article-journal","volume":"178"},"uris":["http://www.mendeley.com/documents/?uuid=5928ad47-92ee-4d2f-8541-41766e912b91"]}],"mendeley":{"formattedCitation":"(12)","plainTextFormattedCitation":"(12)","previouslyFormattedCitation":"(12)"},"properties":{"noteIndex":0},"schema":"https://github.com/citation-style-language/schema/raw/master/csl-citation.json"}</w:instrText>
            </w:r>
            <w:r>
              <w:rPr>
                <w:rFonts w:ascii="Times New Roman" w:hAnsi="Times New Roman" w:cs="Times New Roman"/>
                <w:sz w:val="18"/>
                <w:szCs w:val="18"/>
              </w:rPr>
              <w:fldChar w:fldCharType="separate"/>
            </w:r>
            <w:r w:rsidRPr="004817DA">
              <w:rPr>
                <w:rFonts w:ascii="Times New Roman" w:hAnsi="Times New Roman" w:cs="Times New Roman"/>
                <w:noProof/>
                <w:sz w:val="18"/>
                <w:szCs w:val="18"/>
              </w:rPr>
              <w:t>(</w:t>
            </w:r>
            <w:r w:rsidRPr="004817DA">
              <w:rPr>
                <w:rFonts w:ascii="Times New Roman" w:hAnsi="Times New Roman" w:cs="Times New Roman"/>
                <w:noProof/>
                <w:color w:val="0070C0"/>
                <w:sz w:val="18"/>
                <w:szCs w:val="18"/>
              </w:rPr>
              <w:t>12</w:t>
            </w:r>
            <w:r w:rsidRPr="004817DA">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B21A2E" w:rsidRPr="00B21A2E" w:rsidTr="00526280">
        <w:trPr>
          <w:trHeight w:val="695"/>
        </w:trPr>
        <w:tc>
          <w:tcPr>
            <w:tcW w:w="180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PE,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PS</w:t>
            </w:r>
          </w:p>
        </w:tc>
        <w:tc>
          <w:tcPr>
            <w:tcW w:w="258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Cephalosporin, Sulfamethoxazole, and</w:t>
            </w:r>
            <w:r w:rsidRPr="00B21A2E">
              <w:rPr>
                <w:rFonts w:ascii="Times New Roman" w:hAnsi="Times New Roman" w:cs="Times New Roman"/>
                <w:sz w:val="18"/>
                <w:szCs w:val="18"/>
              </w:rPr>
              <w:br/>
              <w:t>Sulfamethazine</w:t>
            </w:r>
            <w:r w:rsidRPr="00B21A2E">
              <w:rPr>
                <w:rFonts w:ascii="Times New Roman" w:hAnsi="Times New Roman" w:cs="Times New Roman"/>
                <w:sz w:val="18"/>
                <w:szCs w:val="18"/>
              </w:rPr>
              <w:br/>
            </w:r>
          </w:p>
        </w:tc>
        <w:tc>
          <w:tcPr>
            <w:tcW w:w="2735"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Van der Waals,</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Hydrophobicity </w:t>
            </w:r>
            <w:r w:rsidRPr="00B21A2E">
              <w:rPr>
                <w:rFonts w:ascii="Times New Roman" w:hAnsi="Times New Roman" w:cs="Times New Roman"/>
                <w:sz w:val="18"/>
                <w:szCs w:val="18"/>
              </w:rPr>
              <w:br/>
              <w:t>and surface complexation</w:t>
            </w:r>
          </w:p>
        </w:tc>
        <w:tc>
          <w:tcPr>
            <w:tcW w:w="2349"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fldChar w:fldCharType="begin" w:fldLock="1"/>
            </w:r>
            <w:r w:rsidR="004817DA">
              <w:rPr>
                <w:rFonts w:ascii="Times New Roman" w:hAnsi="Times New Roman" w:cs="Times New Roman"/>
                <w:sz w:val="18"/>
                <w:szCs w:val="18"/>
              </w:rPr>
              <w:instrText>ADDIN CSL_CITATION {"citationItems":[{"id":"ITEM-1","itemData":{"DOI":"10.1016/j.marpolbul.2019.110511","ISSN":"18793363","PMID":"31425847","abstract":"Microplastics in environments undergo aging processes and may sorb antibiotics from surrounding water. Understanding the interaction between aged microplastics and antibiotics is important to assess the impact of microplastics on environments. In this paper, the sorption of three typical antibiotics, i.e., sulfamethoxazole (SMX), sulfamethazine (SMT), and cephalosporin C (CEP-C) onto the naturally aged microplastics (polystyrene (PS) and polyethylene (PE)) derived from aged plastics samples from the coast of East China Sea and Yellow Sea, China in freshwater and simulated seawater systems were studied. The results indicated that the mixed order (MO) model provided good prediction for the kinetics data. The linear isotherm represented adequately the sorption equilibrium data in freshwater. The Kd values ranged from 0.0236 L·g−1 to 0.0383 L·g−1. In simulated seawater, only CEP-C could be sorbed onto the microplastics. The main sorption mechanisms are hydrophobic, van der Waals, and electrostatic interactions.","author":[{"dropping-particle":"","family":"Guo","given":"Xuan","non-dropping-particle":"","parse-names":false,"suffix":""},{"dropping-particle":"","family":"Wang","given":"Jianlong","non-dropping-particle":"","parse-names":false,"suffix":""}],"container-title":"Marine Pollution Bulletin","id":"ITEM-1","issue":"August","issued":{"date-parts":[["2019"]]},"page":"110511","publisher":"Elsevier","title":"Sorption of antibiotics onto aged microplastics in freshwater and seawater","type":"article-journal","volume":"149"},"uris":["http://www.mendeley.com/documents/?uuid=3608221c-f2a5-4366-8083-2762cd514f8e"]}],"mendeley":{"formattedCitation":"(11)","plainTextFormattedCitation":"(11)","previouslyFormattedCitation":"(11)"},"properties":{"noteIndex":0},"schema":"https://github.com/citation-style-language/schema/raw/master/csl-citation.json"}</w:instrText>
            </w:r>
            <w:r w:rsidRPr="00B21A2E">
              <w:rPr>
                <w:rFonts w:ascii="Times New Roman" w:hAnsi="Times New Roman" w:cs="Times New Roman"/>
                <w:sz w:val="18"/>
                <w:szCs w:val="18"/>
              </w:rPr>
              <w:fldChar w:fldCharType="separate"/>
            </w:r>
            <w:r w:rsidR="00D310EA" w:rsidRPr="00D310EA">
              <w:rPr>
                <w:rFonts w:ascii="Times New Roman" w:hAnsi="Times New Roman" w:cs="Times New Roman"/>
                <w:noProof/>
                <w:sz w:val="18"/>
                <w:szCs w:val="18"/>
              </w:rPr>
              <w:t>(</w:t>
            </w:r>
            <w:r w:rsidR="00D310EA" w:rsidRPr="004817DA">
              <w:rPr>
                <w:rFonts w:ascii="Times New Roman" w:hAnsi="Times New Roman" w:cs="Times New Roman"/>
                <w:noProof/>
                <w:color w:val="0070C0"/>
                <w:sz w:val="18"/>
                <w:szCs w:val="18"/>
              </w:rPr>
              <w:t>11</w:t>
            </w:r>
            <w:r w:rsidR="00D310EA" w:rsidRPr="00D310EA">
              <w:rPr>
                <w:rFonts w:ascii="Times New Roman" w:hAnsi="Times New Roman" w:cs="Times New Roman"/>
                <w:noProof/>
                <w:sz w:val="18"/>
                <w:szCs w:val="18"/>
              </w:rPr>
              <w:t>)</w:t>
            </w:r>
            <w:r w:rsidRPr="00B21A2E">
              <w:rPr>
                <w:rFonts w:ascii="Times New Roman" w:hAnsi="Times New Roman" w:cs="Times New Roman"/>
                <w:sz w:val="18"/>
                <w:szCs w:val="18"/>
              </w:rPr>
              <w:fldChar w:fldCharType="end"/>
            </w:r>
          </w:p>
        </w:tc>
      </w:tr>
      <w:tr w:rsidR="00B21A2E" w:rsidRPr="00B21A2E" w:rsidTr="00526280">
        <w:trPr>
          <w:trHeight w:val="448"/>
        </w:trPr>
        <w:tc>
          <w:tcPr>
            <w:tcW w:w="180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Nylon</w:t>
            </w:r>
          </w:p>
        </w:tc>
        <w:tc>
          <w:tcPr>
            <w:tcW w:w="258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Tetracycline</w:t>
            </w:r>
          </w:p>
        </w:tc>
        <w:tc>
          <w:tcPr>
            <w:tcW w:w="2735"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Van der Waals interactions</w:t>
            </w:r>
          </w:p>
        </w:tc>
        <w:tc>
          <w:tcPr>
            <w:tcW w:w="2349" w:type="dxa"/>
          </w:tcPr>
          <w:p w:rsidR="00B21A2E" w:rsidRPr="00B21A2E" w:rsidRDefault="004817DA" w:rsidP="00B21A2E">
            <w:pPr>
              <w:jc w:val="both"/>
              <w:rPr>
                <w:rFonts w:ascii="Times New Roman" w:hAnsi="Times New Roman" w:cs="Times New Roman"/>
                <w:sz w:val="18"/>
                <w:szCs w:val="18"/>
              </w:rPr>
            </w:pPr>
            <w:r>
              <w:rPr>
                <w:rFonts w:ascii="Times New Roman" w:hAnsi="Times New Roman" w:cs="Times New Roman"/>
                <w:sz w:val="18"/>
                <w:szCs w:val="18"/>
              </w:rPr>
              <w:fldChar w:fldCharType="begin" w:fldLock="1"/>
            </w:r>
            <w:r w:rsidR="00247242">
              <w:rPr>
                <w:rFonts w:ascii="Times New Roman" w:hAnsi="Times New Roman" w:cs="Times New Roman"/>
                <w:sz w:val="18"/>
                <w:szCs w:val="18"/>
              </w:rPr>
              <w:instrText>ADDIN CSL_CITATION {"citationItems":[{"id":"ITEM-1","itemData":{"DOI":"10.1016/j.scitotenv.2019.06.537","ISSN":"18791026","PMID":"31301497","abstract":"It has been reported that microplastics (MPs) have strong affinity for hydrophobic organic chemicals (HOCs) and can be ingested accidentally by aquatic organisms, posing a potential threat to the environment. To date, the sorption data used in modelling to clarify the mechanism were mostly obtained in varied sampling durations and regions from different works, which might cause inevitable deviation in modelling results. The current study aimed to illustrate the sorption properties of HOCs to the micro-sized polystyrene (PS). The sorption behaviors of HOCs to the PS were investigated at a certain pre-equilibrium status, and the theoretical analysis was taken into consideration. A bottle-shaped passive dosing system was designed to measure the concentration ratio of HOCs in different phases of the exposure suspension at a certain time (logaMP), including polycyclic aromatic hydrocarbons (PAHs) and polychlorinated biphenyls (PCBs) with logKow ranging from 3.17 to 10.20, between water and PS MPs with different dimensions (diameters of 100 nm, 1 μm and 2 μm, respectively). The calculated logaMP ranged from 3.73 to 8.34, and a positive correlation was found between logaMP and log [Formula presented] (r0 is the MP radius). The results indicated that HOCs would diffuse into the PS particles, but the mass transfers inside the particles were slow and would be negligible in some environmental cases. Under theoretical considerations, the diffusion through the boundary layer of the particle was considered as the dominating process because it was fast, and the contributions of absorbed amounts on the particle surface were larger for smaller PS particles (i.e. 100-nm PS). This study could provide applicable data for further exploring the effects of micro-sized plastics on the HOCs in environmental samples.","author":[{"dropping-particle":"","family":"Lin","given":"Wei","non-dropping-particle":"","parse-names":false,"suffix":""},{"dropping-particle":"","family":"Jiang","given":"Ruifen","non-dropping-particle":"","parse-names":false,"suffix":""},{"dropping-particle":"","family":"Wu","given":"Jiayi","non-dropping-particle":"","parse-names":false,"suffix":""},{"dropping-particle":"","family":"Wei","given":"Songbo","non-dropping-particle":"","parse-names":false,"suffix":""},{"dropping-particle":"","family":"Yin","given":"Li","non-dropping-particle":"","parse-names":false,"suffix":""},{"dropping-particle":"","family":"Xiao","given":"Xiaoying","non-dropping-particle":"","parse-names":false,"suffix":""},{"dropping-particle":"","family":"Hu","given":"Sizi","non-dropping-particle":"","parse-names":false,"suffix":""},{"dropping-particle":"","family":"Shen","given":"Yong","non-dropping-particle":"","parse-names":false,"suffix":""},{"dropping-particle":"","family":"Ouyang","given":"Gangfeng","non-dropping-particle":"","parse-names":false,"suffix":""}],"container-title":"Science of the Total Environment","id":"ITEM-1","issued":{"date-parts":[["2019"]]},"page":"565-572","publisher":"Elsevier B.V.","title":"Sorption properties of hydrophobic organic chemicals to micro-sized polystyrene particles","type":"article-journal","volume":"690"},"uris":["http://www.mendeley.com/documents/?uuid=e747dd54-6f67-4e75-b64a-c1d1f26c0fef"]}],"mendeley":{"formattedCitation":"(13)","plainTextFormattedCitation":"(13)","previouslyFormattedCitation":"(13)"},"properties":{"noteIndex":0},"schema":"https://github.com/citation-style-language/schema/raw/master/csl-citation.json"}</w:instrText>
            </w:r>
            <w:r>
              <w:rPr>
                <w:rFonts w:ascii="Times New Roman" w:hAnsi="Times New Roman" w:cs="Times New Roman"/>
                <w:sz w:val="18"/>
                <w:szCs w:val="18"/>
              </w:rPr>
              <w:fldChar w:fldCharType="separate"/>
            </w:r>
            <w:r w:rsidRPr="004817DA">
              <w:rPr>
                <w:rFonts w:ascii="Times New Roman" w:hAnsi="Times New Roman" w:cs="Times New Roman"/>
                <w:noProof/>
                <w:sz w:val="18"/>
                <w:szCs w:val="18"/>
              </w:rPr>
              <w:t>(</w:t>
            </w:r>
            <w:r w:rsidRPr="004817DA">
              <w:rPr>
                <w:rFonts w:ascii="Times New Roman" w:hAnsi="Times New Roman" w:cs="Times New Roman"/>
                <w:noProof/>
                <w:color w:val="0070C0"/>
                <w:sz w:val="18"/>
                <w:szCs w:val="18"/>
              </w:rPr>
              <w:t>13</w:t>
            </w:r>
            <w:r w:rsidRPr="004817DA">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B21A2E" w:rsidRPr="00B21A2E" w:rsidTr="00526280">
        <w:trPr>
          <w:trHeight w:val="620"/>
        </w:trPr>
        <w:tc>
          <w:tcPr>
            <w:tcW w:w="180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PS, </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PET,</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POM</w:t>
            </w:r>
          </w:p>
        </w:tc>
        <w:tc>
          <w:tcPr>
            <w:tcW w:w="258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Azithromycin</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Clarithromycin</w:t>
            </w:r>
          </w:p>
        </w:tc>
        <w:tc>
          <w:tcPr>
            <w:tcW w:w="2735"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Hydrophobic interaction</w:t>
            </w:r>
          </w:p>
        </w:tc>
        <w:tc>
          <w:tcPr>
            <w:tcW w:w="2349"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fldChar w:fldCharType="begin" w:fldLock="1"/>
            </w:r>
            <w:r w:rsidR="004817DA">
              <w:rPr>
                <w:rFonts w:ascii="Times New Roman" w:hAnsi="Times New Roman" w:cs="Times New Roman"/>
                <w:sz w:val="18"/>
                <w:szCs w:val="18"/>
              </w:rPr>
              <w:instrText>ADDIN CSL_CITATION {"citationItems":[{"id":"ITEM-1","itemData":{"DOI":"10.1016/j.chemosphere.2020.128824","ISSN":"18791298","PMID":"33176914","abstract":"Water pollution due to microplastics (MPs) is recognized as a major anthropogenic impact. Once MPs reach the ecosystems, they are exposed to a variety of other pollutants, which can be sorbed on them, transported and eventually desorbed. In this work, we tested the hypothesis that MPs can behave as conveyors for delivering chemicals toxic to aquatic microorganisms by investigating the vector role of MPs of polyethylene terephthalate (PET), polylactic acid (PLA), polyoxymethylene (POM) and polystyrene (PS) to the macrolide antibiotics azithromycin (AZI) and clarithromycin (CLA). AZI and CLA were chosen, as they are included in the Watch List for EU monitoring concerning water policy by Decision (EU) 2018/840. MPs were loaded in contact with 500 μg/L of AZI or 1000 μg/L of CLA. Results showed that both antibiotics were sorbed on all tested MPs. The more hydrophobic AZI was sorbed in higher proportion than CLA. Both antibiotics were desorbed from MPs upon contact with water with percentages between 14.6 ± 2.6% for AZI and 1.9 ± 1.4% for CLA of the concentrations to which the MPs were initially exposed. Virgin MPs were not toxic to the cyanobacterium Anabaena sp. PCC7120. However, antibiotic-loaded MPs significantly inhibited the growth and chlorophyll content of the cyanobacterium. Most of the sorbed antibiotics became released upon contact with cyanobacterial cultures, which was the cause for the observed toxicity. Therefore, MPs can play a role as vectors of antibiotics in freshwaters systems affecting the basic trophic level of photosynthetic microorganisms.","author":[{"dropping-particle":"","family":"González-Pleiter","given":"Miguel","non-dropping-particle":"","parse-names":false,"suffix":""},{"dropping-particle":"","family":"Pedrouzo-Rodríguez","given":"Alicia","non-dropping-particle":"","parse-names":false,"suffix":""},{"dropping-particle":"","family":"Verdú","given":"Irene","non-dropping-particle":"","parse-names":false,"suffix":""},{"dropping-particle":"","family":"Leganés","given":"Francisco","non-dropping-particle":"","parse-names":false,"suffix":""},{"dropping-particle":"","family":"Marco","given":"Eduardo","non-dropping-particle":"","parse-names":false,"suffix":""},{"dropping-particle":"","family":"Rosal","given":"Roberto","non-dropping-particle":"","parse-names":false,"suffix":""},{"dropping-particle":"","family":"Fernández-Piñas","given":"Francisca","non-dropping-particle":"","parse-names":false,"suffix":""}],"container-title":"Chemosphere","id":"ITEM-1","issued":{"date-parts":[["2021"]]},"title":"Microplastics as vectors of the antibiotics azithromycin and clarithromycin: Effects towards freshwater microalgae","type":"article-journal","volume":"268"},"uris":["http://www.mendeley.com/documents/?uuid=8a3320d0-ffc5-40bf-aad4-f1e1b8394a72"]}],"mendeley":{"formattedCitation":"(14)","plainTextFormattedCitation":"(14)","previouslyFormattedCitation":"(14)"},"properties":{"noteIndex":0},"schema":"https://github.com/citation-style-language/schema/raw/master/csl-citation.json"}</w:instrText>
            </w:r>
            <w:r w:rsidRPr="00B21A2E">
              <w:rPr>
                <w:rFonts w:ascii="Times New Roman" w:hAnsi="Times New Roman" w:cs="Times New Roman"/>
                <w:sz w:val="18"/>
                <w:szCs w:val="18"/>
              </w:rPr>
              <w:fldChar w:fldCharType="separate"/>
            </w:r>
            <w:r w:rsidR="00D310EA" w:rsidRPr="00D310EA">
              <w:rPr>
                <w:rFonts w:ascii="Times New Roman" w:hAnsi="Times New Roman" w:cs="Times New Roman"/>
                <w:noProof/>
                <w:sz w:val="18"/>
                <w:szCs w:val="18"/>
              </w:rPr>
              <w:t>(</w:t>
            </w:r>
            <w:r w:rsidR="00D310EA" w:rsidRPr="004817DA">
              <w:rPr>
                <w:rFonts w:ascii="Times New Roman" w:hAnsi="Times New Roman" w:cs="Times New Roman"/>
                <w:noProof/>
                <w:color w:val="0070C0"/>
                <w:sz w:val="18"/>
                <w:szCs w:val="18"/>
              </w:rPr>
              <w:t>14</w:t>
            </w:r>
            <w:r w:rsidR="00D310EA" w:rsidRPr="00D310EA">
              <w:rPr>
                <w:rFonts w:ascii="Times New Roman" w:hAnsi="Times New Roman" w:cs="Times New Roman"/>
                <w:noProof/>
                <w:sz w:val="18"/>
                <w:szCs w:val="18"/>
              </w:rPr>
              <w:t>)</w:t>
            </w:r>
            <w:r w:rsidRPr="00B21A2E">
              <w:rPr>
                <w:rFonts w:ascii="Times New Roman" w:hAnsi="Times New Roman" w:cs="Times New Roman"/>
                <w:sz w:val="18"/>
                <w:szCs w:val="18"/>
              </w:rPr>
              <w:fldChar w:fldCharType="end"/>
            </w:r>
          </w:p>
          <w:p w:rsidR="00B21A2E" w:rsidRPr="00B21A2E" w:rsidRDefault="00B21A2E" w:rsidP="00B21A2E">
            <w:pPr>
              <w:jc w:val="both"/>
              <w:rPr>
                <w:rFonts w:ascii="Times New Roman" w:hAnsi="Times New Roman" w:cs="Times New Roman"/>
                <w:sz w:val="18"/>
                <w:szCs w:val="18"/>
              </w:rPr>
            </w:pPr>
          </w:p>
        </w:tc>
      </w:tr>
      <w:tr w:rsidR="00B21A2E" w:rsidRPr="00B21A2E" w:rsidTr="00526280">
        <w:trPr>
          <w:trHeight w:val="1025"/>
        </w:trPr>
        <w:tc>
          <w:tcPr>
            <w:tcW w:w="180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PS</w:t>
            </w:r>
          </w:p>
        </w:tc>
        <w:tc>
          <w:tcPr>
            <w:tcW w:w="2580"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Ciprofloxacin</w:t>
            </w:r>
          </w:p>
        </w:tc>
        <w:tc>
          <w:tcPr>
            <w:tcW w:w="2735"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Hydrophobicity, hydrogen bonding, Electrostatic, and π-π</w:t>
            </w:r>
          </w:p>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t xml:space="preserve">interaction </w:t>
            </w:r>
          </w:p>
        </w:tc>
        <w:tc>
          <w:tcPr>
            <w:tcW w:w="2349" w:type="dxa"/>
          </w:tcPr>
          <w:p w:rsidR="00B21A2E" w:rsidRPr="00B21A2E" w:rsidRDefault="00B21A2E" w:rsidP="00B21A2E">
            <w:pPr>
              <w:jc w:val="both"/>
              <w:rPr>
                <w:rFonts w:ascii="Times New Roman" w:hAnsi="Times New Roman" w:cs="Times New Roman"/>
                <w:sz w:val="18"/>
                <w:szCs w:val="18"/>
              </w:rPr>
            </w:pPr>
            <w:r w:rsidRPr="00B21A2E">
              <w:rPr>
                <w:rFonts w:ascii="Times New Roman" w:hAnsi="Times New Roman" w:cs="Times New Roman"/>
                <w:sz w:val="18"/>
                <w:szCs w:val="18"/>
              </w:rPr>
              <w:fldChar w:fldCharType="begin" w:fldLock="1"/>
            </w:r>
            <w:r w:rsidR="004817DA">
              <w:rPr>
                <w:rFonts w:ascii="Times New Roman" w:hAnsi="Times New Roman" w:cs="Times New Roman"/>
                <w:sz w:val="18"/>
                <w:szCs w:val="18"/>
              </w:rPr>
              <w:instrText>ADDIN CSL_CITATION {"citationItems":[{"id":"ITEM-1","itemData":{"DOI":"10.1016/j.watres.2020.116100","ISSN":"0043-1354","author":[{"dropping-particle":"","family":"Xiong","given":"Yuecheng","non-dropping-particle":"","parse-names":false,"suffix":""},{"dropping-particle":"","family":"Zhao","given":"Jinghua","non-dropping-particle":"","parse-names":false,"suffix":""},{"dropping-particle":"","family":"Li","given":"Liqing","non-dropping-particle":"","parse-names":false,"suffix":""},{"dropping-particle":"","family":"Wang","given":"Yayi","non-dropping-particle":"","parse-names":false,"suffix":""},{"dropping-particle":"","family":"Dai","given":"Xiaohu","non-dropping-particle":"","parse-names":false,"suffix":""},{"dropping-particle":"","family":"Yu","given":"Fei","non-dropping-particle":"","parse-names":false,"suffix":""},{"dropping-particle":"","family":"Ma","given":"Jie","non-dropping-particle":"","parse-names":false,"suffix":""}],"container-title":"Water Research","id":"ITEM-1","issued":{"date-parts":[["2020"]]},"page":"116100","publisher":"Elsevier Ltd","title":"Interfacial Interaction between Micro / Nanoplastics and Typical","type":"article-journal"},"uris":["http://www.mendeley.com/documents/?uuid=fe682d4b-7950-4cd3-95fd-ef82eb39ac1e"]}],"mendeley":{"formattedCitation":"(15)","plainTextFormattedCitation":"(15)","previouslyFormattedCitation":"(15)"},"properties":{"noteIndex":0},"schema":"https://github.com/citation-style-language/schema/raw/master/csl-citation.json"}</w:instrText>
            </w:r>
            <w:r w:rsidRPr="00B21A2E">
              <w:rPr>
                <w:rFonts w:ascii="Times New Roman" w:hAnsi="Times New Roman" w:cs="Times New Roman"/>
                <w:sz w:val="18"/>
                <w:szCs w:val="18"/>
              </w:rPr>
              <w:fldChar w:fldCharType="separate"/>
            </w:r>
            <w:r w:rsidR="00D310EA" w:rsidRPr="00D310EA">
              <w:rPr>
                <w:rFonts w:ascii="Times New Roman" w:hAnsi="Times New Roman" w:cs="Times New Roman"/>
                <w:noProof/>
                <w:sz w:val="18"/>
                <w:szCs w:val="18"/>
              </w:rPr>
              <w:t>(</w:t>
            </w:r>
            <w:r w:rsidR="00D310EA" w:rsidRPr="004817DA">
              <w:rPr>
                <w:rFonts w:ascii="Times New Roman" w:hAnsi="Times New Roman" w:cs="Times New Roman"/>
                <w:noProof/>
                <w:color w:val="0070C0"/>
                <w:sz w:val="18"/>
                <w:szCs w:val="18"/>
              </w:rPr>
              <w:t>15</w:t>
            </w:r>
            <w:r w:rsidR="00D310EA" w:rsidRPr="00D310EA">
              <w:rPr>
                <w:rFonts w:ascii="Times New Roman" w:hAnsi="Times New Roman" w:cs="Times New Roman"/>
                <w:noProof/>
                <w:sz w:val="18"/>
                <w:szCs w:val="18"/>
              </w:rPr>
              <w:t>)</w:t>
            </w:r>
            <w:r w:rsidRPr="00B21A2E">
              <w:rPr>
                <w:rFonts w:ascii="Times New Roman" w:hAnsi="Times New Roman" w:cs="Times New Roman"/>
                <w:sz w:val="18"/>
                <w:szCs w:val="18"/>
              </w:rPr>
              <w:fldChar w:fldCharType="end"/>
            </w:r>
          </w:p>
        </w:tc>
      </w:tr>
    </w:tbl>
    <w:p w:rsidR="00F569A1" w:rsidRDefault="00F569A1"/>
    <w:p w:rsidR="0042111E" w:rsidRDefault="0042111E"/>
    <w:p w:rsidR="0042111E" w:rsidRDefault="0042111E"/>
    <w:p w:rsidR="0042111E" w:rsidRDefault="0042111E"/>
    <w:p w:rsidR="0042111E" w:rsidRDefault="0042111E"/>
    <w:p w:rsidR="002B3004" w:rsidRPr="0042111E" w:rsidRDefault="002B3004" w:rsidP="002B3004">
      <w:pPr>
        <w:pStyle w:val="Caption"/>
        <w:keepNext/>
        <w:rPr>
          <w:rFonts w:ascii="Times New Roman" w:hAnsi="Times New Roman" w:cs="Times New Roman"/>
          <w:i w:val="0"/>
          <w:color w:val="auto"/>
          <w:sz w:val="24"/>
          <w:szCs w:val="24"/>
        </w:rPr>
      </w:pPr>
      <w:r w:rsidRPr="0042111E">
        <w:rPr>
          <w:rFonts w:ascii="Times New Roman" w:hAnsi="Times New Roman" w:cs="Times New Roman"/>
          <w:b/>
          <w:i w:val="0"/>
          <w:color w:val="auto"/>
          <w:sz w:val="24"/>
          <w:szCs w:val="24"/>
        </w:rPr>
        <w:t xml:space="preserve">Table </w:t>
      </w:r>
      <w:r w:rsidR="009B133A">
        <w:rPr>
          <w:rFonts w:ascii="Times New Roman" w:hAnsi="Times New Roman" w:cs="Times New Roman"/>
          <w:b/>
          <w:i w:val="0"/>
          <w:color w:val="auto"/>
          <w:sz w:val="24"/>
          <w:szCs w:val="24"/>
        </w:rPr>
        <w:t>S</w:t>
      </w:r>
      <w:r w:rsidRPr="0042111E">
        <w:rPr>
          <w:rFonts w:ascii="Times New Roman" w:hAnsi="Times New Roman" w:cs="Times New Roman"/>
          <w:b/>
          <w:i w:val="0"/>
          <w:color w:val="auto"/>
          <w:sz w:val="24"/>
          <w:szCs w:val="24"/>
        </w:rPr>
        <w:fldChar w:fldCharType="begin"/>
      </w:r>
      <w:r w:rsidRPr="0042111E">
        <w:rPr>
          <w:rFonts w:ascii="Times New Roman" w:hAnsi="Times New Roman" w:cs="Times New Roman"/>
          <w:b/>
          <w:i w:val="0"/>
          <w:color w:val="auto"/>
          <w:sz w:val="24"/>
          <w:szCs w:val="24"/>
        </w:rPr>
        <w:instrText xml:space="preserve"> SEQ Table \* ARABIC </w:instrText>
      </w:r>
      <w:r w:rsidRPr="0042111E">
        <w:rPr>
          <w:rFonts w:ascii="Times New Roman" w:hAnsi="Times New Roman" w:cs="Times New Roman"/>
          <w:b/>
          <w:i w:val="0"/>
          <w:color w:val="auto"/>
          <w:sz w:val="24"/>
          <w:szCs w:val="24"/>
        </w:rPr>
        <w:fldChar w:fldCharType="separate"/>
      </w:r>
      <w:r w:rsidRPr="0042111E">
        <w:rPr>
          <w:rFonts w:ascii="Times New Roman" w:hAnsi="Times New Roman" w:cs="Times New Roman"/>
          <w:b/>
          <w:i w:val="0"/>
          <w:noProof/>
          <w:color w:val="auto"/>
          <w:sz w:val="24"/>
          <w:szCs w:val="24"/>
        </w:rPr>
        <w:t>3</w:t>
      </w:r>
      <w:r w:rsidRPr="0042111E">
        <w:rPr>
          <w:rFonts w:ascii="Times New Roman" w:hAnsi="Times New Roman" w:cs="Times New Roman"/>
          <w:b/>
          <w:i w:val="0"/>
          <w:color w:val="auto"/>
          <w:sz w:val="24"/>
          <w:szCs w:val="24"/>
        </w:rPr>
        <w:fldChar w:fldCharType="end"/>
      </w:r>
      <w:r w:rsidR="0042111E">
        <w:rPr>
          <w:rFonts w:ascii="Times New Roman" w:hAnsi="Times New Roman" w:cs="Times New Roman"/>
          <w:b/>
          <w:i w:val="0"/>
          <w:color w:val="auto"/>
          <w:sz w:val="24"/>
          <w:szCs w:val="24"/>
        </w:rPr>
        <w:t>.</w:t>
      </w:r>
      <w:r w:rsidRPr="0042111E">
        <w:rPr>
          <w:rFonts w:ascii="Times New Roman" w:hAnsi="Times New Roman" w:cs="Times New Roman"/>
          <w:i w:val="0"/>
          <w:color w:val="auto"/>
          <w:sz w:val="24"/>
          <w:szCs w:val="24"/>
        </w:rPr>
        <w:t xml:space="preserve"> Factors influencing antibiotic sorption onto microplastics</w:t>
      </w:r>
    </w:p>
    <w:tbl>
      <w:tblPr>
        <w:tblStyle w:val="TableGrid2"/>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7"/>
        <w:gridCol w:w="1377"/>
        <w:gridCol w:w="2127"/>
        <w:gridCol w:w="3132"/>
        <w:gridCol w:w="1248"/>
      </w:tblGrid>
      <w:tr w:rsidR="00247242" w:rsidRPr="002B3004" w:rsidTr="002B3004">
        <w:tc>
          <w:tcPr>
            <w:tcW w:w="1477" w:type="dxa"/>
            <w:tcBorders>
              <w:top w:val="single" w:sz="4" w:space="0" w:color="auto"/>
              <w:bottom w:val="single" w:sz="4" w:space="0" w:color="auto"/>
            </w:tcBorders>
            <w:hideMark/>
          </w:tcPr>
          <w:p w:rsidR="002B3004" w:rsidRPr="002B3004" w:rsidRDefault="002B3004" w:rsidP="002B3004">
            <w:pPr>
              <w:spacing w:after="160" w:line="480" w:lineRule="auto"/>
              <w:rPr>
                <w:rFonts w:ascii="Times New Roman" w:hAnsi="Times New Roman" w:cs="Times New Roman"/>
                <w:b/>
                <w:bCs/>
                <w:sz w:val="18"/>
                <w:szCs w:val="18"/>
              </w:rPr>
            </w:pPr>
            <w:r w:rsidRPr="002B3004">
              <w:rPr>
                <w:rFonts w:ascii="Times New Roman" w:hAnsi="Times New Roman" w:cs="Times New Roman"/>
                <w:b/>
                <w:bCs/>
                <w:sz w:val="18"/>
                <w:szCs w:val="18"/>
              </w:rPr>
              <w:t>Factor</w:t>
            </w:r>
          </w:p>
        </w:tc>
        <w:tc>
          <w:tcPr>
            <w:tcW w:w="1377" w:type="dxa"/>
            <w:tcBorders>
              <w:top w:val="single" w:sz="4" w:space="0" w:color="auto"/>
              <w:bottom w:val="single" w:sz="4" w:space="0" w:color="auto"/>
            </w:tcBorders>
            <w:hideMark/>
          </w:tcPr>
          <w:p w:rsidR="002B3004" w:rsidRPr="002B3004" w:rsidRDefault="002B3004" w:rsidP="002B3004">
            <w:pPr>
              <w:spacing w:after="160" w:line="480" w:lineRule="auto"/>
              <w:rPr>
                <w:rFonts w:ascii="Times New Roman" w:hAnsi="Times New Roman" w:cs="Times New Roman"/>
                <w:b/>
                <w:bCs/>
                <w:sz w:val="18"/>
                <w:szCs w:val="18"/>
              </w:rPr>
            </w:pPr>
            <w:r w:rsidRPr="002B3004">
              <w:rPr>
                <w:rFonts w:ascii="Times New Roman" w:hAnsi="Times New Roman" w:cs="Times New Roman"/>
                <w:b/>
                <w:bCs/>
                <w:sz w:val="18"/>
                <w:szCs w:val="18"/>
              </w:rPr>
              <w:t>Type of Interaction</w:t>
            </w:r>
          </w:p>
        </w:tc>
        <w:tc>
          <w:tcPr>
            <w:tcW w:w="2127" w:type="dxa"/>
            <w:tcBorders>
              <w:top w:val="single" w:sz="4" w:space="0" w:color="auto"/>
              <w:bottom w:val="single" w:sz="4" w:space="0" w:color="auto"/>
            </w:tcBorders>
            <w:hideMark/>
          </w:tcPr>
          <w:p w:rsidR="002B3004" w:rsidRPr="002B3004" w:rsidRDefault="002B3004" w:rsidP="002B3004">
            <w:pPr>
              <w:spacing w:after="160" w:line="480" w:lineRule="auto"/>
              <w:rPr>
                <w:rFonts w:ascii="Times New Roman" w:hAnsi="Times New Roman" w:cs="Times New Roman"/>
                <w:b/>
                <w:bCs/>
                <w:sz w:val="18"/>
                <w:szCs w:val="18"/>
              </w:rPr>
            </w:pPr>
            <w:r w:rsidRPr="002B3004">
              <w:rPr>
                <w:rFonts w:ascii="Times New Roman" w:hAnsi="Times New Roman" w:cs="Times New Roman"/>
                <w:b/>
                <w:bCs/>
                <w:sz w:val="18"/>
                <w:szCs w:val="18"/>
              </w:rPr>
              <w:t>Antibiotic–Microplastic</w:t>
            </w:r>
          </w:p>
        </w:tc>
        <w:tc>
          <w:tcPr>
            <w:tcW w:w="3132" w:type="dxa"/>
            <w:tcBorders>
              <w:top w:val="single" w:sz="4" w:space="0" w:color="auto"/>
              <w:bottom w:val="single" w:sz="4" w:space="0" w:color="auto"/>
            </w:tcBorders>
            <w:hideMark/>
          </w:tcPr>
          <w:p w:rsidR="002B3004" w:rsidRPr="002B3004" w:rsidRDefault="002B3004" w:rsidP="002B3004">
            <w:pPr>
              <w:spacing w:after="160" w:line="480" w:lineRule="auto"/>
              <w:ind w:firstLine="720"/>
              <w:rPr>
                <w:rFonts w:ascii="Times New Roman" w:hAnsi="Times New Roman" w:cs="Times New Roman"/>
                <w:b/>
                <w:bCs/>
                <w:sz w:val="18"/>
                <w:szCs w:val="18"/>
              </w:rPr>
            </w:pPr>
            <w:r w:rsidRPr="002B3004">
              <w:rPr>
                <w:rFonts w:ascii="Times New Roman" w:hAnsi="Times New Roman" w:cs="Times New Roman"/>
                <w:b/>
                <w:bCs/>
                <w:sz w:val="18"/>
                <w:szCs w:val="18"/>
              </w:rPr>
              <w:t>Effects</w:t>
            </w:r>
          </w:p>
        </w:tc>
        <w:tc>
          <w:tcPr>
            <w:tcW w:w="0" w:type="auto"/>
            <w:tcBorders>
              <w:top w:val="single" w:sz="4" w:space="0" w:color="auto"/>
              <w:bottom w:val="single" w:sz="4" w:space="0" w:color="auto"/>
            </w:tcBorders>
            <w:hideMark/>
          </w:tcPr>
          <w:p w:rsidR="002B3004" w:rsidRPr="002B3004" w:rsidRDefault="002B3004" w:rsidP="002B3004">
            <w:pPr>
              <w:spacing w:after="160" w:line="480" w:lineRule="auto"/>
              <w:rPr>
                <w:rFonts w:ascii="Times New Roman" w:hAnsi="Times New Roman" w:cs="Times New Roman"/>
                <w:b/>
                <w:bCs/>
                <w:sz w:val="18"/>
                <w:szCs w:val="18"/>
              </w:rPr>
            </w:pPr>
            <w:r w:rsidRPr="002B3004">
              <w:rPr>
                <w:rFonts w:ascii="Times New Roman" w:hAnsi="Times New Roman" w:cs="Times New Roman"/>
                <w:b/>
                <w:bCs/>
                <w:sz w:val="18"/>
                <w:szCs w:val="18"/>
              </w:rPr>
              <w:t>Reference</w:t>
            </w:r>
          </w:p>
        </w:tc>
      </w:tr>
      <w:tr w:rsidR="00247242" w:rsidRPr="002B3004" w:rsidTr="002B3004">
        <w:tc>
          <w:tcPr>
            <w:tcW w:w="1477" w:type="dxa"/>
            <w:tcBorders>
              <w:top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pH</w:t>
            </w:r>
          </w:p>
        </w:tc>
        <w:tc>
          <w:tcPr>
            <w:tcW w:w="1377" w:type="dxa"/>
            <w:tcBorders>
              <w:top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Electrostatic Interaction</w:t>
            </w:r>
          </w:p>
        </w:tc>
        <w:tc>
          <w:tcPr>
            <w:tcW w:w="2127" w:type="dxa"/>
            <w:tcBorders>
              <w:top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Ciprofloxacin (CPX)–PE</w:t>
            </w:r>
          </w:p>
        </w:tc>
        <w:tc>
          <w:tcPr>
            <w:tcW w:w="3132" w:type="dxa"/>
            <w:tcBorders>
              <w:top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Acidic &amp; Alkaline → Interaction decreased due to electrostatic repulsion</w:t>
            </w:r>
          </w:p>
        </w:tc>
        <w:tc>
          <w:tcPr>
            <w:tcW w:w="0" w:type="auto"/>
            <w:tcBorders>
              <w:top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 xml:space="preserve"> </w:t>
            </w:r>
            <w:r w:rsidRPr="002B3004">
              <w:rPr>
                <w:rFonts w:ascii="Times New Roman" w:hAnsi="Times New Roman" w:cs="Times New Roman"/>
                <w:sz w:val="18"/>
                <w:szCs w:val="18"/>
              </w:rPr>
              <w:fldChar w:fldCharType="begin" w:fldLock="1"/>
            </w:r>
            <w:r w:rsidR="004817DA">
              <w:rPr>
                <w:rFonts w:ascii="Times New Roman" w:hAnsi="Times New Roman" w:cs="Times New Roman"/>
                <w:sz w:val="18"/>
                <w:szCs w:val="18"/>
              </w:rPr>
              <w:instrText>ADDIN CSL_CITATION {"citationItems":[{"id":"ITEM-1","itemData":{"DOI":"10.1016/j.eti.2020.100971","ISSN":"23521864","abstract":"This study investigates the adsorption behavior of Ciprofloxacin (CPX) antibiotic on polyethylene (PE) microplastics through batch adsorption experiments under various environmental conditions, i.e., ionic strengths, pH and in the presence of dissolved organic matter (DOM). The adsorption of CPX showed a gradual increase with increasing pH reaching the maximum adsorption at pH 6.5–7.5 and then decreased, which is likely due to the redistribution of CPX species with pH. The overall CPX adsorption capacity of PE microplastics decreased with an increase in the ionic strength revealing the hydrophobic and electrostatic interactions. Fourier-transform infrared spectra (FTIR) bands ascribable to −CH2 and −CH3 functional groups exhibited non-polar hydrophobic properties of PE microplastics. CPX adsorption kinetics data were compatible with the parabolic diffusion model and the Elovich model in the presence of humic acid, suggesting that the adsorption was assisted through diffusion-controlled processes. The isotherm equilibrium data fitted well for Hill and Dubinin–Radushkevich models implying multilayer adsorption through physical adsorption processes on the heterogeneous PE microplastics surface. Hence, PE microplastics could be a potential vector to transport CPX in a natural aquatic environment where the adsorption mechanism is being influenced primarily by the pH, ionic strength, DOM of the water system, and the properties of the plastic.","author":[{"dropping-particle":"","family":"Atugoda","given":"Thilakshani","non-dropping-particle":"","parse-names":false,"suffix":""},{"dropping-particle":"","family":"Wijesekara","given":"Hasintha","non-dropping-particle":"","parse-names":false,"suffix":""},{"dropping-particle":"","family":"Werellagama","given":"D. R.I.B.","non-dropping-particle":"","parse-names":false,"suffix":""},{"dropping-particle":"","family":"Jinadasa","given":"K. B.S.N.","non-dropping-particle":"","parse-names":false,"suffix":""},{"dropping-particle":"","family":"Bolan","given":"Nanthi S.","non-dropping-particle":"","parse-names":false,"suffix":""},{"dropping-particle":"","family":"Vithanage","given":"Meththika","non-dropping-particle":"","parse-names":false,"suffix":""}],"container-title":"Environmental Technology and Innovation","id":"ITEM-1","issued":{"date-parts":[["2020"]]},"page":"100971","publisher":"Elsevier B.V.","title":"Adsorptive interaction of antibiotic ciprofloxacin on polyethylene microplastics: Implications for vector transport in water","type":"article-journal","volume":"19"},"uris":["http://www.mendeley.com/documents/?uuid=6ddc22b5-2ac7-48c9-be58-c1b531ee38ca"]}],"mendeley":{"formattedCitation":"(16)","plainTextFormattedCitation":"(16)","previouslyFormattedCitation":"(16)"},"properties":{"noteIndex":0},"schema":"https://github.com/citation-style-language/schema/raw/master/csl-citation.json"}</w:instrText>
            </w:r>
            <w:r w:rsidRPr="002B3004">
              <w:rPr>
                <w:rFonts w:ascii="Times New Roman" w:hAnsi="Times New Roman" w:cs="Times New Roman"/>
                <w:sz w:val="18"/>
                <w:szCs w:val="18"/>
              </w:rPr>
              <w:fldChar w:fldCharType="separate"/>
            </w:r>
            <w:r w:rsidR="00D310EA" w:rsidRPr="00D310EA">
              <w:rPr>
                <w:rFonts w:ascii="Times New Roman" w:hAnsi="Times New Roman" w:cs="Times New Roman"/>
                <w:noProof/>
                <w:sz w:val="18"/>
                <w:szCs w:val="18"/>
              </w:rPr>
              <w:t>(</w:t>
            </w:r>
            <w:r w:rsidR="00D310EA" w:rsidRPr="00247242">
              <w:rPr>
                <w:rFonts w:ascii="Times New Roman" w:hAnsi="Times New Roman" w:cs="Times New Roman"/>
                <w:noProof/>
                <w:color w:val="0070C0"/>
                <w:sz w:val="18"/>
                <w:szCs w:val="18"/>
              </w:rPr>
              <w:t>16</w:t>
            </w:r>
            <w:r w:rsidR="00D310EA" w:rsidRPr="00D310EA">
              <w:rPr>
                <w:rFonts w:ascii="Times New Roman" w:hAnsi="Times New Roman" w:cs="Times New Roman"/>
                <w:noProof/>
                <w:sz w:val="18"/>
                <w:szCs w:val="18"/>
              </w:rPr>
              <w:t>)</w:t>
            </w:r>
            <w:r w:rsidRPr="002B3004">
              <w:rPr>
                <w:rFonts w:ascii="Times New Roman" w:hAnsi="Times New Roman" w:cs="Times New Roman"/>
                <w:sz w:val="18"/>
                <w:szCs w:val="18"/>
              </w:rPr>
              <w:fldChar w:fldCharType="end"/>
            </w:r>
            <w:r w:rsidRPr="002B3004">
              <w:rPr>
                <w:rFonts w:ascii="Times New Roman" w:hAnsi="Times New Roman" w:cs="Times New Roman"/>
                <w:sz w:val="18"/>
                <w:szCs w:val="18"/>
              </w:rPr>
              <w:t xml:space="preserve"> </w:t>
            </w:r>
          </w:p>
        </w:tc>
      </w:tr>
      <w:tr w:rsidR="00247242" w:rsidRPr="002B3004" w:rsidTr="002B3004">
        <w:tc>
          <w:tcPr>
            <w:tcW w:w="1477" w:type="dxa"/>
            <w:hideMark/>
          </w:tcPr>
          <w:p w:rsidR="002B3004" w:rsidRPr="002B3004" w:rsidRDefault="002B3004" w:rsidP="002B3004">
            <w:pPr>
              <w:spacing w:after="160" w:line="480" w:lineRule="auto"/>
              <w:ind w:firstLine="720"/>
              <w:rPr>
                <w:rFonts w:ascii="Times New Roman" w:hAnsi="Times New Roman" w:cs="Times New Roman"/>
                <w:sz w:val="18"/>
                <w:szCs w:val="18"/>
              </w:rPr>
            </w:pPr>
          </w:p>
        </w:tc>
        <w:tc>
          <w:tcPr>
            <w:tcW w:w="1377" w:type="dxa"/>
            <w:hideMark/>
          </w:tcPr>
          <w:p w:rsidR="002B3004" w:rsidRPr="002B3004" w:rsidRDefault="002B3004" w:rsidP="002B3004">
            <w:pPr>
              <w:spacing w:after="160" w:line="480" w:lineRule="auto"/>
              <w:ind w:firstLine="720"/>
              <w:rPr>
                <w:rFonts w:ascii="Times New Roman" w:hAnsi="Times New Roman" w:cs="Times New Roman"/>
                <w:sz w:val="18"/>
                <w:szCs w:val="18"/>
              </w:rPr>
            </w:pPr>
          </w:p>
        </w:tc>
        <w:tc>
          <w:tcPr>
            <w:tcW w:w="2127" w:type="dxa"/>
            <w:hideMark/>
          </w:tcPr>
          <w:p w:rsidR="002B3004" w:rsidRPr="002B3004" w:rsidRDefault="002B3004" w:rsidP="002B3004">
            <w:pPr>
              <w:spacing w:after="160" w:line="480" w:lineRule="auto"/>
              <w:ind w:firstLine="720"/>
              <w:rPr>
                <w:rFonts w:ascii="Times New Roman" w:hAnsi="Times New Roman" w:cs="Times New Roman"/>
                <w:sz w:val="18"/>
                <w:szCs w:val="18"/>
              </w:rPr>
            </w:pP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Neutral → Electrostatic interaction dominates</w:t>
            </w:r>
          </w:p>
        </w:tc>
        <w:tc>
          <w:tcPr>
            <w:tcW w:w="0" w:type="auto"/>
            <w:hideMark/>
          </w:tcPr>
          <w:p w:rsidR="002B3004" w:rsidRPr="002B3004" w:rsidRDefault="002B3004" w:rsidP="002B3004">
            <w:pPr>
              <w:spacing w:after="160" w:line="480" w:lineRule="auto"/>
              <w:ind w:firstLine="720"/>
              <w:rPr>
                <w:rFonts w:ascii="Times New Roman" w:hAnsi="Times New Roman" w:cs="Times New Roman"/>
                <w:sz w:val="18"/>
                <w:szCs w:val="18"/>
              </w:rPr>
            </w:pPr>
          </w:p>
        </w:tc>
      </w:tr>
      <w:tr w:rsidR="00247242" w:rsidRPr="002B3004" w:rsidTr="002B3004">
        <w:tc>
          <w:tcPr>
            <w:tcW w:w="1477" w:type="dxa"/>
            <w:hideMark/>
          </w:tcPr>
          <w:p w:rsidR="002B3004" w:rsidRPr="002B3004" w:rsidRDefault="002B3004" w:rsidP="002B3004">
            <w:pPr>
              <w:spacing w:after="160" w:line="480" w:lineRule="auto"/>
              <w:ind w:firstLine="720"/>
              <w:rPr>
                <w:rFonts w:ascii="Times New Roman" w:hAnsi="Times New Roman" w:cs="Times New Roman"/>
                <w:sz w:val="18"/>
                <w:szCs w:val="18"/>
              </w:rPr>
            </w:pPr>
          </w:p>
        </w:tc>
        <w:tc>
          <w:tcPr>
            <w:tcW w:w="1377" w:type="dxa"/>
            <w:hideMark/>
          </w:tcPr>
          <w:p w:rsidR="002B3004" w:rsidRPr="002B3004" w:rsidRDefault="002B3004" w:rsidP="002B3004">
            <w:pPr>
              <w:spacing w:after="160" w:line="480" w:lineRule="auto"/>
              <w:ind w:firstLine="720"/>
              <w:rPr>
                <w:rFonts w:ascii="Times New Roman" w:hAnsi="Times New Roman" w:cs="Times New Roman"/>
                <w:sz w:val="18"/>
                <w:szCs w:val="18"/>
              </w:rPr>
            </w:pP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Fluoroquinolones (FQ)–PS</w:t>
            </w:r>
          </w:p>
        </w:tc>
        <w:tc>
          <w:tcPr>
            <w:tcW w:w="3132" w:type="dxa"/>
            <w:hideMark/>
          </w:tcPr>
          <w:p w:rsidR="002B3004" w:rsidRPr="002B3004" w:rsidRDefault="002B3004" w:rsidP="002B3004">
            <w:pPr>
              <w:spacing w:line="480" w:lineRule="auto"/>
              <w:rPr>
                <w:rFonts w:ascii="Times New Roman" w:hAnsi="Times New Roman" w:cs="Times New Roman"/>
                <w:sz w:val="18"/>
                <w:szCs w:val="18"/>
              </w:rPr>
            </w:pPr>
            <w:r w:rsidRPr="002B3004">
              <w:rPr>
                <w:rFonts w:ascii="Times New Roman" w:hAnsi="Times New Roman" w:cs="Times New Roman"/>
                <w:sz w:val="18"/>
                <w:szCs w:val="18"/>
              </w:rPr>
              <w:t>Maximum adsorption of FQ over PS between</w:t>
            </w:r>
          </w:p>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pH ~5–6</w:t>
            </w:r>
          </w:p>
        </w:tc>
        <w:tc>
          <w:tcPr>
            <w:tcW w:w="0" w:type="auto"/>
            <w:hideMark/>
          </w:tcPr>
          <w:p w:rsidR="002B3004" w:rsidRPr="002B3004" w:rsidRDefault="00247242"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scitotenv.2020.137383","ISSN":"0048-9697","author":[{"dropping-particle":"","family":"Zhang","given":"Yongli","non-dropping-particle":"","parse-names":false,"suffix":""},{"dropping-particle":"","family":"Diehl","given":"Allison","non-dropping-particle":"","parse-names":false,"suffix":""},{"dropping-particle":"","family":"Lewandowski","given":"Ashton","non-dropping-particle":"","parse-names":false,"suffix":""},{"dropping-particle":"","family":"Gopalakrishnan","given":"Kishore","non-dropping-particle":"","parse-names":false,"suffix":""},{"dropping-particle":"","family":"Baker","given":"Tracie","non-dropping-particle":"","parse-names":false,"suffix":""}],"container-title":"Science of the Total Environment","id":"ITEM-1","issued":{"date-parts":[["2020"]]},"page":"137383","publisher":"Elsevier B.V.","title":"Science of the Total Environment Removal ef fi ciency of micro- and nanoplastics ( 180 nm – 125 μ m ) during drinking water treatment","type":"article-journal","volume":"720"},"uris":["http://www.mendeley.com/documents/?uuid=9521bbae-6731-4240-b4f3-2c60f4c6fc1a"]}],"mendeley":{"formattedCitation":"(17)","plainTextFormattedCitation":"(17)","previouslyFormattedCitation":"(17)"},"properties":{"noteIndex":0},"schema":"https://github.com/citation-style-language/schema/raw/master/csl-citation.json"}</w:instrText>
            </w:r>
            <w:r>
              <w:rPr>
                <w:rFonts w:ascii="Times New Roman" w:hAnsi="Times New Roman" w:cs="Times New Roman"/>
                <w:sz w:val="18"/>
                <w:szCs w:val="18"/>
              </w:rPr>
              <w:fldChar w:fldCharType="separate"/>
            </w:r>
            <w:r w:rsidRPr="00247242">
              <w:rPr>
                <w:rFonts w:ascii="Times New Roman" w:hAnsi="Times New Roman" w:cs="Times New Roman"/>
                <w:noProof/>
                <w:sz w:val="18"/>
                <w:szCs w:val="18"/>
              </w:rPr>
              <w:t>(</w:t>
            </w:r>
            <w:r w:rsidRPr="00247242">
              <w:rPr>
                <w:rFonts w:ascii="Times New Roman" w:hAnsi="Times New Roman" w:cs="Times New Roman"/>
                <w:noProof/>
                <w:color w:val="0070C0"/>
                <w:sz w:val="18"/>
                <w:szCs w:val="18"/>
              </w:rPr>
              <w:t>17</w:t>
            </w:r>
            <w:r w:rsidRPr="00247242">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hideMark/>
          </w:tcPr>
          <w:p w:rsidR="002B3004" w:rsidRPr="002B3004" w:rsidRDefault="002B3004" w:rsidP="002B3004">
            <w:pPr>
              <w:spacing w:after="160" w:line="480" w:lineRule="auto"/>
              <w:ind w:firstLine="720"/>
              <w:rPr>
                <w:rFonts w:ascii="Times New Roman" w:hAnsi="Times New Roman" w:cs="Times New Roman"/>
                <w:sz w:val="18"/>
                <w:szCs w:val="18"/>
              </w:rPr>
            </w:pPr>
          </w:p>
        </w:tc>
        <w:tc>
          <w:tcPr>
            <w:tcW w:w="1377" w:type="dxa"/>
            <w:hideMark/>
          </w:tcPr>
          <w:p w:rsidR="002B3004" w:rsidRPr="002B3004" w:rsidRDefault="002B3004" w:rsidP="002B3004">
            <w:pPr>
              <w:spacing w:after="160" w:line="480" w:lineRule="auto"/>
              <w:ind w:firstLine="720"/>
              <w:rPr>
                <w:rFonts w:ascii="Times New Roman" w:hAnsi="Times New Roman" w:cs="Times New Roman"/>
                <w:sz w:val="18"/>
                <w:szCs w:val="18"/>
              </w:rPr>
            </w:pP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Oxytetracycline (OTC)–PS</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Maximum adsorption at pH 5 due to minimal electrostatic repulsion</w:t>
            </w:r>
          </w:p>
        </w:tc>
        <w:tc>
          <w:tcPr>
            <w:tcW w:w="0" w:type="auto"/>
            <w:hideMark/>
          </w:tcPr>
          <w:p w:rsidR="002B3004" w:rsidRPr="002B3004" w:rsidRDefault="00247242"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scitotenv.2020.137383","ISSN":"0048-9697","author":[{"dropping-particle":"","family":"Zhang","given":"Yongli","non-dropping-particle":"","parse-names":false,"suffix":""},{"dropping-particle":"","family":"Diehl","given":"Allison","non-dropping-particle":"","parse-names":false,"suffix":""},{"dropping-particle":"","family":"Lewandowski","given":"Ashton","non-dropping-particle":"","parse-names":false,"suffix":""},{"dropping-particle":"","family":"Gopalakrishnan","given":"Kishore","non-dropping-particle":"","parse-names":false,"suffix":""},{"dropping-particle":"","family":"Baker","given":"Tracie","non-dropping-particle":"","parse-names":false,"suffix":""}],"container-title":"Science of the Total Environment","id":"ITEM-1","issued":{"date-parts":[["2020"]]},"page":"137383","publisher":"Elsevier B.V.","title":"Science of the Total Environment Removal ef fi ciency of micro- and nanoplastics ( 180 nm – 125 μ m ) during drinking water treatment","type":"article-journal","volume":"720"},"uris":["http://www.mendeley.com/documents/?uuid=9521bbae-6731-4240-b4f3-2c60f4c6fc1a"]}],"mendeley":{"formattedCitation":"(17)","plainTextFormattedCitation":"(17)","previouslyFormattedCitation":"(17)"},"properties":{"noteIndex":0},"schema":"https://github.com/citation-style-language/schema/raw/master/csl-citation.json"}</w:instrText>
            </w:r>
            <w:r>
              <w:rPr>
                <w:rFonts w:ascii="Times New Roman" w:hAnsi="Times New Roman" w:cs="Times New Roman"/>
                <w:sz w:val="18"/>
                <w:szCs w:val="18"/>
              </w:rPr>
              <w:fldChar w:fldCharType="separate"/>
            </w:r>
            <w:r w:rsidRPr="00247242">
              <w:rPr>
                <w:rFonts w:ascii="Times New Roman" w:hAnsi="Times New Roman" w:cs="Times New Roman"/>
                <w:noProof/>
                <w:sz w:val="18"/>
                <w:szCs w:val="18"/>
              </w:rPr>
              <w:t>(</w:t>
            </w:r>
            <w:r w:rsidRPr="00247242">
              <w:rPr>
                <w:rFonts w:ascii="Times New Roman" w:hAnsi="Times New Roman" w:cs="Times New Roman"/>
                <w:noProof/>
                <w:color w:val="0070C0"/>
                <w:sz w:val="18"/>
                <w:szCs w:val="18"/>
              </w:rPr>
              <w:t>17</w:t>
            </w:r>
            <w:r w:rsidRPr="00247242">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hideMark/>
          </w:tcPr>
          <w:p w:rsidR="002B3004" w:rsidRPr="002B3004" w:rsidRDefault="002B3004" w:rsidP="002B3004">
            <w:pPr>
              <w:spacing w:after="160" w:line="480" w:lineRule="auto"/>
              <w:ind w:firstLine="720"/>
              <w:rPr>
                <w:rFonts w:ascii="Times New Roman" w:hAnsi="Times New Roman" w:cs="Times New Roman"/>
                <w:sz w:val="18"/>
                <w:szCs w:val="18"/>
              </w:rPr>
            </w:pPr>
          </w:p>
        </w:tc>
        <w:tc>
          <w:tcPr>
            <w:tcW w:w="1377" w:type="dxa"/>
            <w:hideMark/>
          </w:tcPr>
          <w:p w:rsidR="002B3004" w:rsidRPr="002B3004" w:rsidRDefault="002B3004" w:rsidP="002B3004">
            <w:pPr>
              <w:spacing w:after="160" w:line="480" w:lineRule="auto"/>
              <w:ind w:firstLine="720"/>
              <w:rPr>
                <w:rFonts w:ascii="Times New Roman" w:hAnsi="Times New Roman" w:cs="Times New Roman"/>
                <w:sz w:val="18"/>
                <w:szCs w:val="18"/>
              </w:rPr>
            </w:pP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Tylosin (TYL)–PVC, PS, PE, PP</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Interaction decreases with increasing pH (3.0–7.2)</w:t>
            </w:r>
          </w:p>
        </w:tc>
        <w:tc>
          <w:tcPr>
            <w:tcW w:w="0" w:type="auto"/>
            <w:hideMark/>
          </w:tcPr>
          <w:p w:rsidR="002B3004" w:rsidRPr="002B3004" w:rsidRDefault="00247242"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chemosphere.2018.06.100","author":[{"dropping-particle":"","family":"Guo","given":"Xuetao","non-dropping-particle":"","parse-names":false,"suffix":""},{"dropping-particle":"","family":"Pang","given":"Jingwen","non-dropping-particle":"","parse-names":false,"suffix":""},{"dropping-particle":"","family":"Chen","given":"Shouyi","non-dropping-particle":"","parse-names":false,"suffix":""},{"dropping-particle":"","family":"Jia","given":"Hanzhong","non-dropping-particle":"","parse-names":false,"suffix":""}],"id":"ITEM-1","issued":{"date-parts":[["2018"]]},"publisher":"Elsevier B.V.","title":"AC SC","type":"article-journal"},"uris":["http://www.mendeley.com/documents/?uuid=b48948d4-7c80-4180-8443-c4d61ab647f6"]}],"mendeley":{"formattedCitation":"(9)","plainTextFormattedCitation":"(9)","previouslyFormattedCitation":"(9)"},"properties":{"noteIndex":0},"schema":"https://github.com/citation-style-language/schema/raw/master/csl-citation.json"}</w:instrText>
            </w:r>
            <w:r>
              <w:rPr>
                <w:rFonts w:ascii="Times New Roman" w:hAnsi="Times New Roman" w:cs="Times New Roman"/>
                <w:sz w:val="18"/>
                <w:szCs w:val="18"/>
              </w:rPr>
              <w:fldChar w:fldCharType="separate"/>
            </w:r>
            <w:r w:rsidRPr="00247242">
              <w:rPr>
                <w:rFonts w:ascii="Times New Roman" w:hAnsi="Times New Roman" w:cs="Times New Roman"/>
                <w:noProof/>
                <w:sz w:val="18"/>
                <w:szCs w:val="18"/>
              </w:rPr>
              <w:t>(</w:t>
            </w:r>
            <w:r w:rsidRPr="00247242">
              <w:rPr>
                <w:rFonts w:ascii="Times New Roman" w:hAnsi="Times New Roman" w:cs="Times New Roman"/>
                <w:noProof/>
                <w:color w:val="0070C0"/>
                <w:sz w:val="18"/>
                <w:szCs w:val="18"/>
              </w:rPr>
              <w:t>9</w:t>
            </w:r>
            <w:r w:rsidRPr="00247242">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pH</w:t>
            </w:r>
          </w:p>
        </w:tc>
        <w:tc>
          <w:tcPr>
            <w:tcW w:w="13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Hydrophobic Interaction</w:t>
            </w: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Ciprofloxacin (CPX)–PE</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Neutral → Hydrophobic interaction dominates</w:t>
            </w:r>
          </w:p>
        </w:tc>
        <w:tc>
          <w:tcPr>
            <w:tcW w:w="0" w:type="auto"/>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fldChar w:fldCharType="begin" w:fldLock="1"/>
            </w:r>
            <w:r w:rsidR="00247242">
              <w:rPr>
                <w:rFonts w:ascii="Times New Roman" w:hAnsi="Times New Roman" w:cs="Times New Roman"/>
                <w:sz w:val="18"/>
                <w:szCs w:val="18"/>
              </w:rPr>
              <w:instrText>ADDIN CSL_CITATION {"citationItems":[{"id":"ITEM-1","itemData":{"DOI":"10.1016/j.envint.2020.106367","ISSN":"18736750","PMID":"33497857","abstract":"Microplastics are well known for vector transport of hydrophobic organic contaminants, and there are growing concerns regarding their potential adverse effects on ecosystems and human health. However, recent studies focussing on hydrophilic compounds, such as pharmaceuticals and personal care products (PPCPs), have shown that the compounds ability to be adsorbed onto plastic surfaces. The extensive use of PPCPs has led to their ubiquitous presence in the environment resulting in their cooccurrence with microplastics. The partitioning between plastics and PPCPs and their fate through vector transport are determined by various physicochemical characteristics and environmental conditions of specific matrices. Although the sorption capacities of microplastics for different PPCP compounds have been investigated extensively, these findings have not yet been synthesized and analyzed critically. The specific objectives of this review were to synthesize and critically assess the various factors that affect the adsorption of hydrophilic compounds such as PPCPs on microplastic surfaces and their fate and transport in the environment. The review also focuses on environmental factors such as pH, salinity, and dissolved organics, and properties of polymers and PPCP compounds, and the relationships with sorption dynamics and mechanisms. Furthermore, the ecotoxicological effects of PPCP-sorbed microplastics on biota and human health are also discussed.","author":[{"dropping-particle":"","family":"Atugoda","given":"Thilakshani","non-dropping-particle":"","parse-names":false,"suffix":""},{"dropping-particle":"","family":"Vithanage","given":"Meththika","non-dropping-particle":"","parse-names":false,"suffix":""},{"dropping-particle":"","family":"Wijesekara","given":"Hasintha","non-dropping-particle":"","parse-names":false,"suffix":""},{"dropping-particle":"","family":"Bolan","given":"Nanthi","non-dropping-particle":"","parse-names":false,"suffix":""},{"dropping-particle":"","family":"Sarmah","given":"Ajit K.","non-dropping-particle":"","parse-names":false,"suffix":""},{"dropping-particle":"","family":"Bank","given":"Michael S.","non-dropping-particle":"","parse-names":false,"suffix":""},{"dropping-particle":"","family":"You","given":"Siming","non-dropping-particle":"","parse-names":false,"suffix":""},{"dropping-particle":"","family":"Ok","given":"Yong Sik","non-dropping-particle":"","parse-names":false,"suffix":""}],"container-title":"Environment International","id":"ITEM-1","issued":{"date-parts":[["2021"]]},"page":"106367","publisher":"Elsevier Ltd","title":"Interactions between microplastics, pharmaceuticals and personal care products: Implications for vector transport","type":"article-journal","volume":"149"},"uris":["http://www.mendeley.com/documents/?uuid=7cfa020c-8260-400e-ab09-2227b848927a"]}],"mendeley":{"formattedCitation":"(18)","plainTextFormattedCitation":"(18)","previouslyFormattedCitation":"(18)"},"properties":{"noteIndex":0},"schema":"https://github.com/citation-style-language/schema/raw/master/csl-citation.json"}</w:instrText>
            </w:r>
            <w:r w:rsidRPr="002B3004">
              <w:rPr>
                <w:rFonts w:ascii="Times New Roman" w:hAnsi="Times New Roman" w:cs="Times New Roman"/>
                <w:sz w:val="18"/>
                <w:szCs w:val="18"/>
              </w:rPr>
              <w:fldChar w:fldCharType="separate"/>
            </w:r>
            <w:r w:rsidR="00247242" w:rsidRPr="00247242">
              <w:rPr>
                <w:rFonts w:ascii="Times New Roman" w:hAnsi="Times New Roman" w:cs="Times New Roman"/>
                <w:noProof/>
                <w:sz w:val="18"/>
                <w:szCs w:val="18"/>
              </w:rPr>
              <w:t>(</w:t>
            </w:r>
            <w:r w:rsidR="00247242" w:rsidRPr="00247242">
              <w:rPr>
                <w:rFonts w:ascii="Times New Roman" w:hAnsi="Times New Roman" w:cs="Times New Roman"/>
                <w:noProof/>
                <w:color w:val="0070C0"/>
                <w:sz w:val="18"/>
                <w:szCs w:val="18"/>
              </w:rPr>
              <w:t>18</w:t>
            </w:r>
            <w:r w:rsidR="00247242" w:rsidRPr="00247242">
              <w:rPr>
                <w:rFonts w:ascii="Times New Roman" w:hAnsi="Times New Roman" w:cs="Times New Roman"/>
                <w:noProof/>
                <w:sz w:val="18"/>
                <w:szCs w:val="18"/>
              </w:rPr>
              <w:t>)</w:t>
            </w:r>
            <w:r w:rsidRPr="002B3004">
              <w:rPr>
                <w:rFonts w:ascii="Times New Roman" w:hAnsi="Times New Roman" w:cs="Times New Roman"/>
                <w:sz w:val="18"/>
                <w:szCs w:val="18"/>
              </w:rPr>
              <w:fldChar w:fldCharType="end"/>
            </w:r>
            <w:r w:rsidRPr="002B3004">
              <w:rPr>
                <w:rFonts w:ascii="Times New Roman" w:hAnsi="Times New Roman" w:cs="Times New Roman"/>
                <w:sz w:val="18"/>
                <w:szCs w:val="18"/>
              </w:rPr>
              <w:t xml:space="preserve"> </w:t>
            </w:r>
          </w:p>
        </w:tc>
      </w:tr>
      <w:tr w:rsidR="00247242" w:rsidRPr="002B3004" w:rsidTr="002B3004">
        <w:tc>
          <w:tcPr>
            <w:tcW w:w="1477" w:type="dxa"/>
            <w:hideMark/>
          </w:tcPr>
          <w:p w:rsidR="002B3004" w:rsidRPr="002B3004" w:rsidRDefault="002B3004" w:rsidP="002B3004">
            <w:pPr>
              <w:spacing w:after="160" w:line="480" w:lineRule="auto"/>
              <w:ind w:firstLine="720"/>
              <w:rPr>
                <w:rFonts w:ascii="Times New Roman" w:hAnsi="Times New Roman" w:cs="Times New Roman"/>
                <w:sz w:val="18"/>
                <w:szCs w:val="18"/>
              </w:rPr>
            </w:pPr>
          </w:p>
        </w:tc>
        <w:tc>
          <w:tcPr>
            <w:tcW w:w="1377" w:type="dxa"/>
            <w:hideMark/>
          </w:tcPr>
          <w:p w:rsidR="002B3004" w:rsidRPr="002B3004" w:rsidRDefault="002B3004" w:rsidP="002B3004">
            <w:pPr>
              <w:spacing w:after="160" w:line="480" w:lineRule="auto"/>
              <w:ind w:firstLine="720"/>
              <w:rPr>
                <w:rFonts w:ascii="Times New Roman" w:hAnsi="Times New Roman" w:cs="Times New Roman"/>
                <w:sz w:val="18"/>
                <w:szCs w:val="18"/>
              </w:rPr>
            </w:pP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Tylosin (TYL)–PVC, PS, PE, PP</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Hydrophobic interaction dominates at pH &gt;7.2</w:t>
            </w:r>
          </w:p>
        </w:tc>
        <w:tc>
          <w:tcPr>
            <w:tcW w:w="0" w:type="auto"/>
            <w:hideMark/>
          </w:tcPr>
          <w:p w:rsidR="002B3004" w:rsidRPr="002B3004" w:rsidRDefault="00247242"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chemosphere.2018.06.100","author":[{"dropping-particle":"","family":"Guo","given":"Xuetao","non-dropping-particle":"","parse-names":false,"suffix":""},{"dropping-particle":"","family":"Pang","given":"Jingwen","non-dropping-particle":"","parse-names":false,"suffix":""},{"dropping-particle":"","family":"Chen","given":"Shouyi","non-dropping-particle":"","parse-names":false,"suffix":""},{"dropping-particle":"","family":"Jia","given":"Hanzhong","non-dropping-particle":"","parse-names":false,"suffix":""}],"id":"ITEM-1","issued":{"date-parts":[["2018"]]},"publisher":"Elsevier B.V.","title":"AC SC","type":"article-journal"},"uris":["http://www.mendeley.com/documents/?uuid=b48948d4-7c80-4180-8443-c4d61ab647f6"]}],"mendeley":{"formattedCitation":"(9)","plainTextFormattedCitation":"(9)","previouslyFormattedCitation":"(9)"},"properties":{"noteIndex":0},"schema":"https://github.com/citation-style-language/schema/raw/master/csl-citation.json"}</w:instrText>
            </w:r>
            <w:r>
              <w:rPr>
                <w:rFonts w:ascii="Times New Roman" w:hAnsi="Times New Roman" w:cs="Times New Roman"/>
                <w:sz w:val="18"/>
                <w:szCs w:val="18"/>
              </w:rPr>
              <w:fldChar w:fldCharType="separate"/>
            </w:r>
            <w:r w:rsidRPr="00247242">
              <w:rPr>
                <w:rFonts w:ascii="Times New Roman" w:hAnsi="Times New Roman" w:cs="Times New Roman"/>
                <w:noProof/>
                <w:sz w:val="18"/>
                <w:szCs w:val="18"/>
              </w:rPr>
              <w:t>(</w:t>
            </w:r>
            <w:r w:rsidRPr="00247242">
              <w:rPr>
                <w:rFonts w:ascii="Times New Roman" w:hAnsi="Times New Roman" w:cs="Times New Roman"/>
                <w:noProof/>
                <w:color w:val="0070C0"/>
                <w:sz w:val="18"/>
                <w:szCs w:val="18"/>
              </w:rPr>
              <w:t>9</w:t>
            </w:r>
            <w:r w:rsidRPr="00247242">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pH</w:t>
            </w:r>
          </w:p>
        </w:tc>
        <w:tc>
          <w:tcPr>
            <w:tcW w:w="13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van der Waals Interaction</w:t>
            </w: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Sulfamethoxazole (SMX)–PE</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No significant change upon changing pH</w:t>
            </w:r>
          </w:p>
        </w:tc>
        <w:tc>
          <w:tcPr>
            <w:tcW w:w="0" w:type="auto"/>
            <w:hideMark/>
          </w:tcPr>
          <w:p w:rsidR="002B3004" w:rsidRPr="002B3004" w:rsidRDefault="00247242"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marpolbul.2018.04.027","ISSN":"0025-326X","author":[{"dropping-particle":"","family":"Xu","given":"Baile","non-dropping-particle":"","parse-names":false,"suffix":""},{"dropping-particle":"","family":"Liu","given":"Fei","non-dropping-particle":"","parse-names":false,"suffix":""},{"dropping-particle":"","family":"Brookes","given":"Philip C","non-dropping-particle":"","parse-names":false,"suffix":""},{"dropping-particle":"","family":"Xu","given":"Jianming","non-dropping-particle":"","parse-names":false,"suffix":""}],"container-title":"Marine Pollution Bulletin","id":"ITEM-1","issue":"April","issued":{"date-parts":[["2018"]]},"page":"191-196","publisher":"Elsevier","title":"The sorption kinetics and isotherms of sulfamethoxazole with polyethylene microplastics","type":"article-journal","volume":"131"},"uris":["http://www.mendeley.com/documents/?uuid=6430b1ca-0f31-4ec5-9bdf-a7c1c2d0aed3"]}],"mendeley":{"formattedCitation":"(19)","plainTextFormattedCitation":"(19)","previouslyFormattedCitation":"(19)"},"properties":{"noteIndex":0},"schema":"https://github.com/citation-style-language/schema/raw/master/csl-citation.json"}</w:instrText>
            </w:r>
            <w:r>
              <w:rPr>
                <w:rFonts w:ascii="Times New Roman" w:hAnsi="Times New Roman" w:cs="Times New Roman"/>
                <w:sz w:val="18"/>
                <w:szCs w:val="18"/>
              </w:rPr>
              <w:fldChar w:fldCharType="separate"/>
            </w:r>
            <w:r w:rsidRPr="00247242">
              <w:rPr>
                <w:rFonts w:ascii="Times New Roman" w:hAnsi="Times New Roman" w:cs="Times New Roman"/>
                <w:noProof/>
                <w:sz w:val="18"/>
                <w:szCs w:val="18"/>
              </w:rPr>
              <w:t>(</w:t>
            </w:r>
            <w:r w:rsidRPr="00247242">
              <w:rPr>
                <w:rFonts w:ascii="Times New Roman" w:hAnsi="Times New Roman" w:cs="Times New Roman"/>
                <w:noProof/>
                <w:color w:val="0070C0"/>
                <w:sz w:val="18"/>
                <w:szCs w:val="18"/>
              </w:rPr>
              <w:t>19</w:t>
            </w:r>
            <w:r w:rsidRPr="00247242">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Salinity</w:t>
            </w:r>
          </w:p>
        </w:tc>
        <w:tc>
          <w:tcPr>
            <w:tcW w:w="13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Electrostatic Interaction</w:t>
            </w: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Fluoroquinolones (FQ)–PS</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Increase in salinity reduces adsorption due to NP aggregation &amp; salting-out effect</w:t>
            </w:r>
          </w:p>
        </w:tc>
        <w:tc>
          <w:tcPr>
            <w:tcW w:w="0" w:type="auto"/>
            <w:hideMark/>
          </w:tcPr>
          <w:p w:rsidR="002B3004" w:rsidRPr="002B3004" w:rsidRDefault="00247242"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sidR="00526280">
              <w:rPr>
                <w:rFonts w:ascii="Times New Roman" w:hAnsi="Times New Roman" w:cs="Times New Roman"/>
                <w:sz w:val="18"/>
                <w:szCs w:val="18"/>
              </w:rPr>
              <w:instrText>ADDIN CSL_CITATION {"citationItems":[{"id":"ITEM-1","itemData":{"DOI":"10.1016/j.scitotenv.2020.137383","ISSN":"0048-9697","author":[{"dropping-particle":"","family":"Zhang","given":"Yongli","non-dropping-particle":"","parse-names":false,"suffix":""},{"dropping-particle":"","family":"Diehl","given":"Allison","non-dropping-particle":"","parse-names":false,"suffix":""},{"dropping-particle":"","family":"Lewandowski","given":"Ashton","non-dropping-particle":"","parse-names":false,"suffix":""},{"dropping-particle":"","family":"Gopalakrishnan","given":"Kishore","non-dropping-particle":"","parse-names":false,"suffix":""},{"dropping-particle":"","family":"Baker","given":"Tracie","non-dropping-particle":"","parse-names":false,"suffix":""}],"container-title":"Science of the Total Environment","id":"ITEM-1","issued":{"date-parts":[["2020"]]},"page":"137383","publisher":"Elsevier B.V.","title":"Science of the Total Environment Removal ef fi ciency of micro- and nanoplastics ( 180 nm – 125 μ m ) during drinking water treatment","type":"article-journal","volume":"720"},"uris":["http://www.mendeley.com/documents/?uuid=9521bbae-6731-4240-b4f3-2c60f4c6fc1a"]}],"mendeley":{"formattedCitation":"(17)","plainTextFormattedCitation":"(17)","previouslyFormattedCitation":"(17)"},"properties":{"noteIndex":0},"schema":"https://github.com/citation-style-language/schema/raw/master/csl-citation.json"}</w:instrText>
            </w:r>
            <w:r>
              <w:rPr>
                <w:rFonts w:ascii="Times New Roman" w:hAnsi="Times New Roman" w:cs="Times New Roman"/>
                <w:sz w:val="18"/>
                <w:szCs w:val="18"/>
              </w:rPr>
              <w:fldChar w:fldCharType="separate"/>
            </w:r>
            <w:r w:rsidRPr="00247242">
              <w:rPr>
                <w:rFonts w:ascii="Times New Roman" w:hAnsi="Times New Roman" w:cs="Times New Roman"/>
                <w:noProof/>
                <w:sz w:val="18"/>
                <w:szCs w:val="18"/>
              </w:rPr>
              <w:t>(</w:t>
            </w:r>
            <w:r w:rsidRPr="00526280">
              <w:rPr>
                <w:rFonts w:ascii="Times New Roman" w:hAnsi="Times New Roman" w:cs="Times New Roman"/>
                <w:noProof/>
                <w:color w:val="0070C0"/>
                <w:sz w:val="18"/>
                <w:szCs w:val="18"/>
              </w:rPr>
              <w:t>17</w:t>
            </w:r>
            <w:r w:rsidRPr="00247242">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tcBorders>
              <w:bottom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Salinity</w:t>
            </w:r>
          </w:p>
        </w:tc>
        <w:tc>
          <w:tcPr>
            <w:tcW w:w="1377" w:type="dxa"/>
            <w:tcBorders>
              <w:bottom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Hydrophobic Interaction</w:t>
            </w:r>
          </w:p>
        </w:tc>
        <w:tc>
          <w:tcPr>
            <w:tcW w:w="2127" w:type="dxa"/>
            <w:tcBorders>
              <w:bottom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Tetracycline (TC)–PE, PP, PS</w:t>
            </w:r>
          </w:p>
        </w:tc>
        <w:tc>
          <w:tcPr>
            <w:tcW w:w="3132" w:type="dxa"/>
            <w:tcBorders>
              <w:bottom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Increasing NaCl concentration (0.05–3.5%) had no significant effect</w:t>
            </w:r>
          </w:p>
        </w:tc>
        <w:tc>
          <w:tcPr>
            <w:tcW w:w="0" w:type="auto"/>
            <w:tcBorders>
              <w:bottom w:val="single" w:sz="4" w:space="0" w:color="auto"/>
            </w:tcBorders>
            <w:hideMark/>
          </w:tcPr>
          <w:p w:rsidR="002B3004" w:rsidRPr="002B3004" w:rsidRDefault="00526280"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envpol.2018.04.113","ISSN":"0269-7491","author":[{"dropping-particle":"","family":"Xu","given":"Baile","non-dropping-particle":"","parse-names":false,"suffix":""},{"dropping-particle":"","family":"Liu","given":"Fei","non-dropping-particle":"","parse-names":false,"suffix":""},{"dropping-particle":"","family":"Brookes","given":"Philip C","non-dropping-particle":"","parse-names":false,"suffix":""},{"dropping-particle":"","family":"Xu","given":"Jianming","non-dropping-particle":"","parse-names":false,"suffix":""}],"container-title":"Environmental Pollution","id":"ITEM-1","issued":{"date-parts":[["2018"]]},"page":"87-94","publisher":"Elsevier Ltd","title":"Microplastics play a minor role in tetracycline sorption in the presence of dissolved organic matter *","type":"article-journal","volume":"240"},"uris":["http://www.mendeley.com/documents/?uuid=467fb390-c169-46a4-839a-735d56ccbefb"]}],"mendeley":{"formattedCitation":"(20)","plainTextFormattedCitation":"(20)","previouslyFormattedCitation":"(20)"},"properties":{"noteIndex":0},"schema":"https://github.com/citation-style-language/schema/raw/master/csl-citation.json"}</w:instrText>
            </w:r>
            <w:r>
              <w:rPr>
                <w:rFonts w:ascii="Times New Roman" w:hAnsi="Times New Roman" w:cs="Times New Roman"/>
                <w:sz w:val="18"/>
                <w:szCs w:val="18"/>
              </w:rPr>
              <w:fldChar w:fldCharType="separate"/>
            </w:r>
            <w:r w:rsidRPr="00526280">
              <w:rPr>
                <w:rFonts w:ascii="Times New Roman" w:hAnsi="Times New Roman" w:cs="Times New Roman"/>
                <w:noProof/>
                <w:sz w:val="18"/>
                <w:szCs w:val="18"/>
              </w:rPr>
              <w:t>(</w:t>
            </w:r>
            <w:r w:rsidRPr="00526280">
              <w:rPr>
                <w:rFonts w:ascii="Times New Roman" w:hAnsi="Times New Roman" w:cs="Times New Roman"/>
                <w:noProof/>
                <w:color w:val="0070C0"/>
                <w:sz w:val="18"/>
                <w:szCs w:val="18"/>
              </w:rPr>
              <w:t>20</w:t>
            </w:r>
            <w:r w:rsidRPr="00526280">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tcBorders>
              <w:top w:val="single" w:sz="4" w:space="0" w:color="auto"/>
            </w:tcBorders>
          </w:tcPr>
          <w:p w:rsidR="002B3004" w:rsidRPr="002B3004" w:rsidRDefault="002B3004" w:rsidP="002B3004">
            <w:pPr>
              <w:spacing w:line="480" w:lineRule="auto"/>
              <w:rPr>
                <w:rFonts w:ascii="Times New Roman" w:hAnsi="Times New Roman" w:cs="Times New Roman"/>
                <w:b/>
                <w:bCs/>
                <w:sz w:val="18"/>
                <w:szCs w:val="18"/>
              </w:rPr>
            </w:pPr>
          </w:p>
        </w:tc>
        <w:tc>
          <w:tcPr>
            <w:tcW w:w="1377" w:type="dxa"/>
            <w:tcBorders>
              <w:top w:val="single" w:sz="4" w:space="0" w:color="auto"/>
            </w:tcBorders>
          </w:tcPr>
          <w:p w:rsidR="002B3004" w:rsidRPr="002B3004" w:rsidRDefault="002B3004" w:rsidP="002B3004">
            <w:pPr>
              <w:spacing w:line="480" w:lineRule="auto"/>
              <w:rPr>
                <w:rFonts w:ascii="Times New Roman" w:hAnsi="Times New Roman" w:cs="Times New Roman"/>
                <w:sz w:val="18"/>
                <w:szCs w:val="18"/>
              </w:rPr>
            </w:pPr>
          </w:p>
        </w:tc>
        <w:tc>
          <w:tcPr>
            <w:tcW w:w="2127" w:type="dxa"/>
            <w:tcBorders>
              <w:top w:val="single" w:sz="4" w:space="0" w:color="auto"/>
            </w:tcBorders>
          </w:tcPr>
          <w:p w:rsidR="002B3004" w:rsidRPr="002B3004" w:rsidRDefault="002B3004" w:rsidP="002B3004">
            <w:pPr>
              <w:spacing w:line="480" w:lineRule="auto"/>
              <w:rPr>
                <w:rFonts w:ascii="Times New Roman" w:hAnsi="Times New Roman" w:cs="Times New Roman"/>
                <w:sz w:val="18"/>
                <w:szCs w:val="18"/>
              </w:rPr>
            </w:pPr>
          </w:p>
        </w:tc>
        <w:tc>
          <w:tcPr>
            <w:tcW w:w="3132" w:type="dxa"/>
            <w:tcBorders>
              <w:top w:val="single" w:sz="4" w:space="0" w:color="auto"/>
            </w:tcBorders>
          </w:tcPr>
          <w:p w:rsidR="002B3004" w:rsidRPr="002B3004" w:rsidRDefault="002B3004" w:rsidP="002B3004">
            <w:pPr>
              <w:spacing w:line="480" w:lineRule="auto"/>
              <w:rPr>
                <w:rFonts w:ascii="Times New Roman" w:hAnsi="Times New Roman" w:cs="Times New Roman"/>
                <w:sz w:val="18"/>
                <w:szCs w:val="18"/>
              </w:rPr>
            </w:pPr>
          </w:p>
        </w:tc>
        <w:tc>
          <w:tcPr>
            <w:tcW w:w="0" w:type="auto"/>
            <w:tcBorders>
              <w:top w:val="single" w:sz="4" w:space="0" w:color="auto"/>
            </w:tcBorders>
          </w:tcPr>
          <w:p w:rsidR="002B3004" w:rsidRPr="002B3004" w:rsidRDefault="002B3004" w:rsidP="002B3004">
            <w:pPr>
              <w:spacing w:line="480" w:lineRule="auto"/>
              <w:rPr>
                <w:rFonts w:ascii="Times New Roman" w:hAnsi="Times New Roman" w:cs="Times New Roman"/>
                <w:sz w:val="18"/>
                <w:szCs w:val="18"/>
              </w:rPr>
            </w:pPr>
          </w:p>
        </w:tc>
      </w:tr>
      <w:tr w:rsidR="00247242" w:rsidRPr="002B3004" w:rsidTr="002B3004">
        <w:tc>
          <w:tcPr>
            <w:tcW w:w="1477" w:type="dxa"/>
            <w:tcBorders>
              <w:bottom w:val="single" w:sz="4" w:space="0" w:color="auto"/>
            </w:tcBorders>
          </w:tcPr>
          <w:p w:rsidR="002B3004" w:rsidRPr="002B3004" w:rsidRDefault="002B3004" w:rsidP="002B3004">
            <w:pPr>
              <w:spacing w:line="480" w:lineRule="auto"/>
              <w:rPr>
                <w:rFonts w:ascii="Times New Roman" w:hAnsi="Times New Roman" w:cs="Times New Roman"/>
                <w:b/>
                <w:bCs/>
                <w:sz w:val="18"/>
                <w:szCs w:val="18"/>
              </w:rPr>
            </w:pPr>
            <w:r w:rsidRPr="002B3004">
              <w:rPr>
                <w:rFonts w:ascii="Times New Roman" w:hAnsi="Times New Roman" w:cs="Times New Roman"/>
                <w:b/>
                <w:bCs/>
                <w:sz w:val="18"/>
                <w:szCs w:val="18"/>
              </w:rPr>
              <w:t xml:space="preserve">Table </w:t>
            </w:r>
            <w:r w:rsidR="009B133A">
              <w:rPr>
                <w:rFonts w:ascii="Times New Roman" w:hAnsi="Times New Roman" w:cs="Times New Roman"/>
                <w:b/>
                <w:bCs/>
                <w:sz w:val="18"/>
                <w:szCs w:val="18"/>
              </w:rPr>
              <w:t>S</w:t>
            </w:r>
            <w:r w:rsidR="00031098">
              <w:rPr>
                <w:rFonts w:ascii="Times New Roman" w:hAnsi="Times New Roman" w:cs="Times New Roman"/>
                <w:b/>
                <w:bCs/>
                <w:sz w:val="18"/>
                <w:szCs w:val="18"/>
              </w:rPr>
              <w:t>3</w:t>
            </w:r>
            <w:r w:rsidRPr="002B3004">
              <w:rPr>
                <w:rFonts w:ascii="Times New Roman" w:hAnsi="Times New Roman" w:cs="Times New Roman"/>
                <w:b/>
                <w:bCs/>
                <w:sz w:val="18"/>
                <w:szCs w:val="18"/>
              </w:rPr>
              <w:t xml:space="preserve"> Cont’d</w:t>
            </w:r>
          </w:p>
        </w:tc>
        <w:tc>
          <w:tcPr>
            <w:tcW w:w="1377" w:type="dxa"/>
            <w:tcBorders>
              <w:bottom w:val="single" w:sz="4" w:space="0" w:color="auto"/>
            </w:tcBorders>
          </w:tcPr>
          <w:p w:rsidR="002B3004" w:rsidRPr="002B3004" w:rsidRDefault="002B3004" w:rsidP="002B3004">
            <w:pPr>
              <w:spacing w:line="480" w:lineRule="auto"/>
              <w:rPr>
                <w:rFonts w:ascii="Times New Roman" w:hAnsi="Times New Roman" w:cs="Times New Roman"/>
                <w:sz w:val="18"/>
                <w:szCs w:val="18"/>
              </w:rPr>
            </w:pPr>
          </w:p>
        </w:tc>
        <w:tc>
          <w:tcPr>
            <w:tcW w:w="2127" w:type="dxa"/>
            <w:tcBorders>
              <w:bottom w:val="single" w:sz="4" w:space="0" w:color="auto"/>
            </w:tcBorders>
          </w:tcPr>
          <w:p w:rsidR="002B3004" w:rsidRPr="002B3004" w:rsidRDefault="002B3004" w:rsidP="002B3004">
            <w:pPr>
              <w:spacing w:line="480" w:lineRule="auto"/>
              <w:rPr>
                <w:rFonts w:ascii="Times New Roman" w:hAnsi="Times New Roman" w:cs="Times New Roman"/>
                <w:sz w:val="18"/>
                <w:szCs w:val="18"/>
              </w:rPr>
            </w:pPr>
          </w:p>
        </w:tc>
        <w:tc>
          <w:tcPr>
            <w:tcW w:w="3132" w:type="dxa"/>
            <w:tcBorders>
              <w:bottom w:val="single" w:sz="4" w:space="0" w:color="auto"/>
            </w:tcBorders>
          </w:tcPr>
          <w:p w:rsidR="002B3004" w:rsidRPr="002B3004" w:rsidRDefault="002B3004" w:rsidP="002B3004">
            <w:pPr>
              <w:spacing w:line="480" w:lineRule="auto"/>
              <w:rPr>
                <w:rFonts w:ascii="Times New Roman" w:hAnsi="Times New Roman" w:cs="Times New Roman"/>
                <w:sz w:val="18"/>
                <w:szCs w:val="18"/>
              </w:rPr>
            </w:pPr>
          </w:p>
        </w:tc>
        <w:tc>
          <w:tcPr>
            <w:tcW w:w="0" w:type="auto"/>
            <w:tcBorders>
              <w:bottom w:val="single" w:sz="4" w:space="0" w:color="auto"/>
            </w:tcBorders>
          </w:tcPr>
          <w:p w:rsidR="002B3004" w:rsidRPr="002B3004" w:rsidRDefault="002B3004" w:rsidP="002B3004">
            <w:pPr>
              <w:spacing w:line="480" w:lineRule="auto"/>
              <w:rPr>
                <w:rFonts w:ascii="Times New Roman" w:hAnsi="Times New Roman" w:cs="Times New Roman"/>
                <w:sz w:val="18"/>
                <w:szCs w:val="18"/>
              </w:rPr>
            </w:pPr>
          </w:p>
        </w:tc>
      </w:tr>
      <w:tr w:rsidR="00247242" w:rsidRPr="002B3004" w:rsidTr="002B3004">
        <w:tc>
          <w:tcPr>
            <w:tcW w:w="1477" w:type="dxa"/>
            <w:tcBorders>
              <w:top w:val="single" w:sz="4" w:space="0" w:color="auto"/>
              <w:bottom w:val="single" w:sz="4" w:space="0" w:color="auto"/>
            </w:tcBorders>
            <w:hideMark/>
          </w:tcPr>
          <w:p w:rsidR="002B3004" w:rsidRPr="002B3004" w:rsidRDefault="002B3004" w:rsidP="002B3004">
            <w:pPr>
              <w:spacing w:after="160" w:line="480" w:lineRule="auto"/>
              <w:rPr>
                <w:rFonts w:ascii="Times New Roman" w:hAnsi="Times New Roman" w:cs="Times New Roman"/>
                <w:b/>
                <w:bCs/>
                <w:sz w:val="18"/>
                <w:szCs w:val="18"/>
              </w:rPr>
            </w:pPr>
            <w:r w:rsidRPr="002B3004">
              <w:rPr>
                <w:rFonts w:ascii="Times New Roman" w:hAnsi="Times New Roman" w:cs="Times New Roman"/>
                <w:b/>
                <w:bCs/>
                <w:sz w:val="18"/>
                <w:szCs w:val="18"/>
              </w:rPr>
              <w:t>Factor</w:t>
            </w:r>
          </w:p>
        </w:tc>
        <w:tc>
          <w:tcPr>
            <w:tcW w:w="1377" w:type="dxa"/>
            <w:tcBorders>
              <w:top w:val="single" w:sz="4" w:space="0" w:color="auto"/>
              <w:bottom w:val="single" w:sz="4" w:space="0" w:color="auto"/>
            </w:tcBorders>
            <w:hideMark/>
          </w:tcPr>
          <w:p w:rsidR="002B3004" w:rsidRPr="002B3004" w:rsidRDefault="002B3004" w:rsidP="002B3004">
            <w:pPr>
              <w:spacing w:after="160" w:line="480" w:lineRule="auto"/>
              <w:rPr>
                <w:rFonts w:ascii="Times New Roman" w:hAnsi="Times New Roman" w:cs="Times New Roman"/>
                <w:b/>
                <w:bCs/>
                <w:sz w:val="18"/>
                <w:szCs w:val="18"/>
              </w:rPr>
            </w:pPr>
            <w:r w:rsidRPr="002B3004">
              <w:rPr>
                <w:rFonts w:ascii="Times New Roman" w:hAnsi="Times New Roman" w:cs="Times New Roman"/>
                <w:b/>
                <w:bCs/>
                <w:sz w:val="18"/>
                <w:szCs w:val="18"/>
              </w:rPr>
              <w:t>Type of Interaction</w:t>
            </w:r>
          </w:p>
        </w:tc>
        <w:tc>
          <w:tcPr>
            <w:tcW w:w="2127" w:type="dxa"/>
            <w:tcBorders>
              <w:top w:val="single" w:sz="4" w:space="0" w:color="auto"/>
              <w:bottom w:val="single" w:sz="4" w:space="0" w:color="auto"/>
            </w:tcBorders>
            <w:hideMark/>
          </w:tcPr>
          <w:p w:rsidR="002B3004" w:rsidRPr="002B3004" w:rsidRDefault="002B3004" w:rsidP="002B3004">
            <w:pPr>
              <w:spacing w:after="160" w:line="480" w:lineRule="auto"/>
              <w:rPr>
                <w:rFonts w:ascii="Times New Roman" w:hAnsi="Times New Roman" w:cs="Times New Roman"/>
                <w:b/>
                <w:bCs/>
                <w:sz w:val="18"/>
                <w:szCs w:val="18"/>
              </w:rPr>
            </w:pPr>
            <w:r w:rsidRPr="002B3004">
              <w:rPr>
                <w:rFonts w:ascii="Times New Roman" w:hAnsi="Times New Roman" w:cs="Times New Roman"/>
                <w:b/>
                <w:bCs/>
                <w:sz w:val="18"/>
                <w:szCs w:val="18"/>
              </w:rPr>
              <w:t>Antibiotic–Microplastic</w:t>
            </w:r>
          </w:p>
        </w:tc>
        <w:tc>
          <w:tcPr>
            <w:tcW w:w="3132" w:type="dxa"/>
            <w:tcBorders>
              <w:top w:val="single" w:sz="4" w:space="0" w:color="auto"/>
              <w:bottom w:val="single" w:sz="4" w:space="0" w:color="auto"/>
            </w:tcBorders>
            <w:hideMark/>
          </w:tcPr>
          <w:p w:rsidR="002B3004" w:rsidRPr="002B3004" w:rsidRDefault="002B3004" w:rsidP="002B3004">
            <w:pPr>
              <w:spacing w:after="160" w:line="480" w:lineRule="auto"/>
              <w:ind w:firstLine="720"/>
              <w:rPr>
                <w:rFonts w:ascii="Times New Roman" w:hAnsi="Times New Roman" w:cs="Times New Roman"/>
                <w:b/>
                <w:bCs/>
                <w:sz w:val="18"/>
                <w:szCs w:val="18"/>
              </w:rPr>
            </w:pPr>
            <w:r w:rsidRPr="002B3004">
              <w:rPr>
                <w:rFonts w:ascii="Times New Roman" w:hAnsi="Times New Roman" w:cs="Times New Roman"/>
                <w:b/>
                <w:bCs/>
                <w:sz w:val="18"/>
                <w:szCs w:val="18"/>
              </w:rPr>
              <w:t>Effects</w:t>
            </w:r>
          </w:p>
        </w:tc>
        <w:tc>
          <w:tcPr>
            <w:tcW w:w="0" w:type="auto"/>
            <w:tcBorders>
              <w:top w:val="single" w:sz="4" w:space="0" w:color="auto"/>
              <w:bottom w:val="single" w:sz="4" w:space="0" w:color="auto"/>
            </w:tcBorders>
            <w:hideMark/>
          </w:tcPr>
          <w:p w:rsidR="002B3004" w:rsidRPr="002B3004" w:rsidRDefault="002B3004" w:rsidP="002B3004">
            <w:pPr>
              <w:spacing w:after="160" w:line="480" w:lineRule="auto"/>
              <w:rPr>
                <w:rFonts w:ascii="Times New Roman" w:hAnsi="Times New Roman" w:cs="Times New Roman"/>
                <w:b/>
                <w:bCs/>
                <w:sz w:val="18"/>
                <w:szCs w:val="18"/>
              </w:rPr>
            </w:pPr>
            <w:r w:rsidRPr="002B3004">
              <w:rPr>
                <w:rFonts w:ascii="Times New Roman" w:hAnsi="Times New Roman" w:cs="Times New Roman"/>
                <w:b/>
                <w:bCs/>
                <w:sz w:val="18"/>
                <w:szCs w:val="18"/>
              </w:rPr>
              <w:t>Reference</w:t>
            </w:r>
          </w:p>
        </w:tc>
      </w:tr>
      <w:tr w:rsidR="00247242" w:rsidRPr="002B3004" w:rsidTr="002B3004">
        <w:tc>
          <w:tcPr>
            <w:tcW w:w="1477" w:type="dxa"/>
            <w:tcBorders>
              <w:top w:val="single" w:sz="4" w:space="0" w:color="auto"/>
            </w:tcBorders>
          </w:tcPr>
          <w:p w:rsidR="002B3004" w:rsidRPr="002B3004" w:rsidRDefault="002B3004" w:rsidP="002B3004">
            <w:pPr>
              <w:spacing w:line="480" w:lineRule="auto"/>
              <w:rPr>
                <w:rFonts w:ascii="Times New Roman" w:hAnsi="Times New Roman" w:cs="Times New Roman"/>
                <w:b/>
                <w:bCs/>
                <w:sz w:val="18"/>
                <w:szCs w:val="18"/>
              </w:rPr>
            </w:pPr>
            <w:r w:rsidRPr="002B3004">
              <w:rPr>
                <w:rFonts w:ascii="Times New Roman" w:hAnsi="Times New Roman" w:cs="Times New Roman"/>
                <w:b/>
                <w:bCs/>
                <w:sz w:val="18"/>
                <w:szCs w:val="18"/>
              </w:rPr>
              <w:t>Salinity</w:t>
            </w:r>
          </w:p>
        </w:tc>
        <w:tc>
          <w:tcPr>
            <w:tcW w:w="1377" w:type="dxa"/>
            <w:tcBorders>
              <w:top w:val="single" w:sz="4" w:space="0" w:color="auto"/>
            </w:tcBorders>
          </w:tcPr>
          <w:p w:rsidR="002B3004" w:rsidRPr="002B3004" w:rsidRDefault="002B3004" w:rsidP="002B3004">
            <w:pPr>
              <w:spacing w:line="480" w:lineRule="auto"/>
              <w:rPr>
                <w:rFonts w:ascii="Times New Roman" w:hAnsi="Times New Roman" w:cs="Times New Roman"/>
                <w:sz w:val="18"/>
                <w:szCs w:val="18"/>
              </w:rPr>
            </w:pPr>
            <w:r w:rsidRPr="002B3004">
              <w:rPr>
                <w:rFonts w:ascii="Times New Roman" w:hAnsi="Times New Roman" w:cs="Times New Roman"/>
                <w:sz w:val="18"/>
                <w:szCs w:val="18"/>
              </w:rPr>
              <w:t>Hydrophobic Interaction</w:t>
            </w:r>
          </w:p>
        </w:tc>
        <w:tc>
          <w:tcPr>
            <w:tcW w:w="2127" w:type="dxa"/>
            <w:tcBorders>
              <w:top w:val="single" w:sz="4" w:space="0" w:color="auto"/>
            </w:tcBorders>
          </w:tcPr>
          <w:p w:rsidR="002B3004" w:rsidRPr="002B3004" w:rsidRDefault="002B3004" w:rsidP="002B3004">
            <w:pPr>
              <w:spacing w:line="480" w:lineRule="auto"/>
              <w:rPr>
                <w:rFonts w:ascii="Times New Roman" w:hAnsi="Times New Roman" w:cs="Times New Roman"/>
                <w:sz w:val="18"/>
                <w:szCs w:val="18"/>
              </w:rPr>
            </w:pPr>
            <w:r w:rsidRPr="002B3004">
              <w:rPr>
                <w:rFonts w:ascii="Times New Roman" w:hAnsi="Times New Roman" w:cs="Times New Roman"/>
                <w:sz w:val="18"/>
                <w:szCs w:val="18"/>
              </w:rPr>
              <w:t>Tetracycline (TC)–PE, PP, PS</w:t>
            </w:r>
          </w:p>
        </w:tc>
        <w:tc>
          <w:tcPr>
            <w:tcW w:w="3132" w:type="dxa"/>
            <w:tcBorders>
              <w:top w:val="single" w:sz="4" w:space="0" w:color="auto"/>
            </w:tcBorders>
          </w:tcPr>
          <w:p w:rsidR="002B3004" w:rsidRPr="002B3004" w:rsidRDefault="002B3004" w:rsidP="002B3004">
            <w:pPr>
              <w:spacing w:line="480" w:lineRule="auto"/>
              <w:rPr>
                <w:rFonts w:ascii="Times New Roman" w:hAnsi="Times New Roman" w:cs="Times New Roman"/>
                <w:sz w:val="18"/>
                <w:szCs w:val="18"/>
              </w:rPr>
            </w:pPr>
            <w:r w:rsidRPr="002B3004">
              <w:rPr>
                <w:rFonts w:ascii="Times New Roman" w:hAnsi="Times New Roman" w:cs="Times New Roman"/>
                <w:sz w:val="18"/>
                <w:szCs w:val="18"/>
              </w:rPr>
              <w:t>Increasing NaCl concentration (0.05–3.5%) had no significant effect</w:t>
            </w:r>
          </w:p>
        </w:tc>
        <w:tc>
          <w:tcPr>
            <w:tcW w:w="0" w:type="auto"/>
            <w:tcBorders>
              <w:top w:val="single" w:sz="4" w:space="0" w:color="auto"/>
            </w:tcBorders>
          </w:tcPr>
          <w:p w:rsidR="002B3004" w:rsidRPr="002B3004" w:rsidRDefault="00526280" w:rsidP="002B3004">
            <w:pPr>
              <w:spacing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marpolbul.2018.04.027","ISSN":"0025-326X","author":[{"dropping-particle":"","family":"Xu","given":"Baile","non-dropping-particle":"","parse-names":false,"suffix":""},{"dropping-particle":"","family":"Liu","given":"Fei","non-dropping-particle":"","parse-names":false,"suffix":""},{"dropping-particle":"","family":"Brookes","given":"Philip C","non-dropping-particle":"","parse-names":false,"suffix":""},{"dropping-particle":"","family":"Xu","given":"Jianming","non-dropping-particle":"","parse-names":false,"suffix":""}],"container-title":"Marine Pollution Bulletin","id":"ITEM-1","issue":"April","issued":{"date-parts":[["2018"]]},"page":"191-196","publisher":"Elsevier","title":"The sorption kinetics and isotherms of sulfamethoxazole with polyethylene microplastics","type":"article-journal","volume":"131"},"uris":["http://www.mendeley.com/documents/?uuid=6430b1ca-0f31-4ec5-9bdf-a7c1c2d0aed3"]}],"mendeley":{"formattedCitation":"(19)","plainTextFormattedCitation":"(19)","previouslyFormattedCitation":"(19)"},"properties":{"noteIndex":0},"schema":"https://github.com/citation-style-language/schema/raw/master/csl-citation.json"}</w:instrText>
            </w:r>
            <w:r>
              <w:rPr>
                <w:rFonts w:ascii="Times New Roman" w:hAnsi="Times New Roman" w:cs="Times New Roman"/>
                <w:sz w:val="18"/>
                <w:szCs w:val="18"/>
              </w:rPr>
              <w:fldChar w:fldCharType="separate"/>
            </w:r>
            <w:r w:rsidRPr="00526280">
              <w:rPr>
                <w:rFonts w:ascii="Times New Roman" w:hAnsi="Times New Roman" w:cs="Times New Roman"/>
                <w:noProof/>
                <w:sz w:val="18"/>
                <w:szCs w:val="18"/>
              </w:rPr>
              <w:t>(</w:t>
            </w:r>
            <w:r w:rsidRPr="00526280">
              <w:rPr>
                <w:rFonts w:ascii="Times New Roman" w:hAnsi="Times New Roman" w:cs="Times New Roman"/>
                <w:noProof/>
                <w:color w:val="0070C0"/>
                <w:sz w:val="18"/>
                <w:szCs w:val="18"/>
              </w:rPr>
              <w:t>19</w:t>
            </w:r>
            <w:r w:rsidRPr="00526280">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Salinity</w:t>
            </w:r>
          </w:p>
        </w:tc>
        <w:tc>
          <w:tcPr>
            <w:tcW w:w="13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Hydrophobic Interaction</w:t>
            </w: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Tylosin (TYL)–PVC, PS, PE, PP</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Sorption first increased, then decreased with increasing ionic strength (0–0.1 M)</w:t>
            </w:r>
          </w:p>
        </w:tc>
        <w:tc>
          <w:tcPr>
            <w:tcW w:w="0" w:type="auto"/>
            <w:hideMark/>
          </w:tcPr>
          <w:p w:rsidR="002B3004" w:rsidRPr="002B3004" w:rsidRDefault="00526280"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chemosphere.2018.06.100","author":[{"dropping-particle":"","family":"Guo","given":"Xuetao","non-dropping-particle":"","parse-names":false,"suffix":""},{"dropping-particle":"","family":"Pang","given":"Jingwen","non-dropping-particle":"","parse-names":false,"suffix":""},{"dropping-particle":"","family":"Chen","given":"Shouyi","non-dropping-particle":"","parse-names":false,"suffix":""},{"dropping-particle":"","family":"Jia","given":"Hanzhong","non-dropping-particle":"","parse-names":false,"suffix":""}],"id":"ITEM-1","issued":{"date-parts":[["2018"]]},"publisher":"Elsevier B.V.","title":"AC SC","type":"article-journal"},"uris":["http://www.mendeley.com/documents/?uuid=b48948d4-7c80-4180-8443-c4d61ab647f6"]}],"mendeley":{"formattedCitation":"(9)","plainTextFormattedCitation":"(9)","previouslyFormattedCitation":"(9)"},"properties":{"noteIndex":0},"schema":"https://github.com/citation-style-language/schema/raw/master/csl-citation.json"}</w:instrText>
            </w:r>
            <w:r>
              <w:rPr>
                <w:rFonts w:ascii="Times New Roman" w:hAnsi="Times New Roman" w:cs="Times New Roman"/>
                <w:sz w:val="18"/>
                <w:szCs w:val="18"/>
              </w:rPr>
              <w:fldChar w:fldCharType="separate"/>
            </w:r>
            <w:r w:rsidRPr="00526280">
              <w:rPr>
                <w:rFonts w:ascii="Times New Roman" w:hAnsi="Times New Roman" w:cs="Times New Roman"/>
                <w:noProof/>
                <w:sz w:val="18"/>
                <w:szCs w:val="18"/>
              </w:rPr>
              <w:t>(</w:t>
            </w:r>
            <w:r w:rsidRPr="00526280">
              <w:rPr>
                <w:rFonts w:ascii="Times New Roman" w:hAnsi="Times New Roman" w:cs="Times New Roman"/>
                <w:noProof/>
                <w:color w:val="0070C0"/>
                <w:sz w:val="18"/>
                <w:szCs w:val="18"/>
              </w:rPr>
              <w:t>9</w:t>
            </w:r>
            <w:r w:rsidRPr="00526280">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Salinity</w:t>
            </w:r>
          </w:p>
        </w:tc>
        <w:tc>
          <w:tcPr>
            <w:tcW w:w="13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van der Waals Interaction</w:t>
            </w: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Sulfamethoxazole (SMX)–PE</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No significant change upon changing salinity</w:t>
            </w:r>
          </w:p>
        </w:tc>
        <w:tc>
          <w:tcPr>
            <w:tcW w:w="0" w:type="auto"/>
            <w:hideMark/>
          </w:tcPr>
          <w:p w:rsidR="002B3004" w:rsidRPr="002B3004" w:rsidRDefault="00526280"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envpol.2018.04.113","ISSN":"0269-7491","author":[{"dropping-particle":"","family":"Xu","given":"Baile","non-dropping-particle":"","parse-names":false,"suffix":""},{"dropping-particle":"","family":"Liu","given":"Fei","non-dropping-particle":"","parse-names":false,"suffix":""},{"dropping-particle":"","family":"Brookes","given":"Philip C","non-dropping-particle":"","parse-names":false,"suffix":""},{"dropping-particle":"","family":"Xu","given":"Jianming","non-dropping-particle":"","parse-names":false,"suffix":""}],"container-title":"Environmental Pollution","id":"ITEM-1","issued":{"date-parts":[["2018"]]},"page":"87-94","publisher":"Elsevier Ltd","title":"Microplastics play a minor role in tetracycline sorption in the presence of dissolved organic matter *","type":"article-journal","volume":"240"},"uris":["http://www.mendeley.com/documents/?uuid=467fb390-c169-46a4-839a-735d56ccbefb"]}],"mendeley":{"formattedCitation":"(20)","plainTextFormattedCitation":"(20)","previouslyFormattedCitation":"(20)"},"properties":{"noteIndex":0},"schema":"https://github.com/citation-style-language/schema/raw/master/csl-citation.json"}</w:instrText>
            </w:r>
            <w:r>
              <w:rPr>
                <w:rFonts w:ascii="Times New Roman" w:hAnsi="Times New Roman" w:cs="Times New Roman"/>
                <w:sz w:val="18"/>
                <w:szCs w:val="18"/>
              </w:rPr>
              <w:fldChar w:fldCharType="separate"/>
            </w:r>
            <w:r w:rsidRPr="00526280">
              <w:rPr>
                <w:rFonts w:ascii="Times New Roman" w:hAnsi="Times New Roman" w:cs="Times New Roman"/>
                <w:noProof/>
                <w:sz w:val="18"/>
                <w:szCs w:val="18"/>
              </w:rPr>
              <w:t>(</w:t>
            </w:r>
            <w:r w:rsidRPr="00526280">
              <w:rPr>
                <w:rFonts w:ascii="Times New Roman" w:hAnsi="Times New Roman" w:cs="Times New Roman"/>
                <w:noProof/>
                <w:color w:val="0070C0"/>
                <w:sz w:val="18"/>
                <w:szCs w:val="18"/>
              </w:rPr>
              <w:t>20</w:t>
            </w:r>
            <w:r w:rsidRPr="00526280">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Humic Acid</w:t>
            </w:r>
          </w:p>
        </w:tc>
        <w:tc>
          <w:tcPr>
            <w:tcW w:w="13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Electrostatic Interaction</w:t>
            </w: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Ciprofloxacin (CPX)–PE</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Interaction decreases due to higher affinity of CPX for humic acid</w:t>
            </w:r>
          </w:p>
        </w:tc>
        <w:tc>
          <w:tcPr>
            <w:tcW w:w="0" w:type="auto"/>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fldChar w:fldCharType="begin" w:fldLock="1"/>
            </w:r>
            <w:r w:rsidR="004817DA">
              <w:rPr>
                <w:rFonts w:ascii="Times New Roman" w:hAnsi="Times New Roman" w:cs="Times New Roman"/>
                <w:sz w:val="18"/>
                <w:szCs w:val="18"/>
              </w:rPr>
              <w:instrText>ADDIN CSL_CITATION {"citationItems":[{"id":"ITEM-1","itemData":{"DOI":"10.1016/j.eti.2020.100971","ISSN":"23521864","abstract":"This study investigates the adsorption behavior of Ciprofloxacin (CPX) antibiotic on polyethylene (PE) microplastics through batch adsorption experiments under various environmental conditions, i.e., ionic strengths, pH and in the presence of dissolved organic matter (DOM). The adsorption of CPX showed a gradual increase with increasing pH reaching the maximum adsorption at pH 6.5–7.5 and then decreased, which is likely due to the redistribution of CPX species with pH. The overall CPX adsorption capacity of PE microplastics decreased with an increase in the ionic strength revealing the hydrophobic and electrostatic interactions. Fourier-transform infrared spectra (FTIR) bands ascribable to −CH2 and −CH3 functional groups exhibited non-polar hydrophobic properties of PE microplastics. CPX adsorption kinetics data were compatible with the parabolic diffusion model and the Elovich model in the presence of humic acid, suggesting that the adsorption was assisted through diffusion-controlled processes. The isotherm equilibrium data fitted well for Hill and Dubinin–Radushkevich models implying multilayer adsorption through physical adsorption processes on the heterogeneous PE microplastics surface. Hence, PE microplastics could be a potential vector to transport CPX in a natural aquatic environment where the adsorption mechanism is being influenced primarily by the pH, ionic strength, DOM of the water system, and the properties of the plastic.","author":[{"dropping-particle":"","family":"Atugoda","given":"Thilakshani","non-dropping-particle":"","parse-names":false,"suffix":""},{"dropping-particle":"","family":"Wijesekara","given":"Hasintha","non-dropping-particle":"","parse-names":false,"suffix":""},{"dropping-particle":"","family":"Werellagama","given":"D. R.I.B.","non-dropping-particle":"","parse-names":false,"suffix":""},{"dropping-particle":"","family":"Jinadasa","given":"K. B.S.N.","non-dropping-particle":"","parse-names":false,"suffix":""},{"dropping-particle":"","family":"Bolan","given":"Nanthi S.","non-dropping-particle":"","parse-names":false,"suffix":""},{"dropping-particle":"","family":"Vithanage","given":"Meththika","non-dropping-particle":"","parse-names":false,"suffix":""}],"container-title":"Environmental Technology and Innovation","id":"ITEM-1","issued":{"date-parts":[["2020"]]},"page":"100971","publisher":"Elsevier B.V.","title":"Adsorptive interaction of antibiotic ciprofloxacin on polyethylene microplastics: Implications for vector transport in water","type":"article-journal","volume":"19"},"uris":["http://www.mendeley.com/documents/?uuid=6ddc22b5-2ac7-48c9-be58-c1b531ee38ca"]}],"mendeley":{"formattedCitation":"(16)","plainTextFormattedCitation":"(16)","previouslyFormattedCitation":"(16)"},"properties":{"noteIndex":0},"schema":"https://github.com/citation-style-language/schema/raw/master/csl-citation.json"}</w:instrText>
            </w:r>
            <w:r w:rsidRPr="002B3004">
              <w:rPr>
                <w:rFonts w:ascii="Times New Roman" w:hAnsi="Times New Roman" w:cs="Times New Roman"/>
                <w:sz w:val="18"/>
                <w:szCs w:val="18"/>
              </w:rPr>
              <w:fldChar w:fldCharType="separate"/>
            </w:r>
            <w:r w:rsidR="00D310EA" w:rsidRPr="00D310EA">
              <w:rPr>
                <w:rFonts w:ascii="Times New Roman" w:hAnsi="Times New Roman" w:cs="Times New Roman"/>
                <w:noProof/>
                <w:sz w:val="18"/>
                <w:szCs w:val="18"/>
              </w:rPr>
              <w:t>(</w:t>
            </w:r>
            <w:r w:rsidR="00D310EA" w:rsidRPr="00526280">
              <w:rPr>
                <w:rFonts w:ascii="Times New Roman" w:hAnsi="Times New Roman" w:cs="Times New Roman"/>
                <w:noProof/>
                <w:color w:val="0070C0"/>
                <w:sz w:val="18"/>
                <w:szCs w:val="18"/>
              </w:rPr>
              <w:t>16</w:t>
            </w:r>
            <w:r w:rsidR="00D310EA" w:rsidRPr="00D310EA">
              <w:rPr>
                <w:rFonts w:ascii="Times New Roman" w:hAnsi="Times New Roman" w:cs="Times New Roman"/>
                <w:noProof/>
                <w:sz w:val="18"/>
                <w:szCs w:val="18"/>
              </w:rPr>
              <w:t>)</w:t>
            </w:r>
            <w:r w:rsidRPr="002B3004">
              <w:rPr>
                <w:rFonts w:ascii="Times New Roman" w:hAnsi="Times New Roman" w:cs="Times New Roman"/>
                <w:sz w:val="18"/>
                <w:szCs w:val="18"/>
              </w:rPr>
              <w:fldChar w:fldCharType="end"/>
            </w:r>
          </w:p>
        </w:tc>
      </w:tr>
      <w:tr w:rsidR="00247242" w:rsidRPr="002B3004" w:rsidTr="002B3004">
        <w:tc>
          <w:tcPr>
            <w:tcW w:w="14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Humic Acid</w:t>
            </w:r>
          </w:p>
        </w:tc>
        <w:tc>
          <w:tcPr>
            <w:tcW w:w="13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Electrostatic Interaction</w:t>
            </w: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Fluoroquinolones (FQ)–PS</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Interaction decreases with increasing humic acid concentration</w:t>
            </w:r>
          </w:p>
        </w:tc>
        <w:tc>
          <w:tcPr>
            <w:tcW w:w="0" w:type="auto"/>
            <w:hideMark/>
          </w:tcPr>
          <w:p w:rsidR="002B3004" w:rsidRPr="002B3004" w:rsidRDefault="00526280"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{"citationItems":[{"id":"ITEM-1","itemData":{"DOI":"10.1016/j.chemosphere.2020.127202","ISSN":"18791298","PMID":"32470745","abstract":"Microplastic pollution, one of the major global challenges, is a severe threaten to aquatic organisms. The purpose of this study was to investigate the abundance, distribution and characteristics of microplastics in coastal surface waters from eastern Guangdong, south China. We chose pelagic Konosirus punctatus and demersal Mugil cephalus from different sampling sites as candidate monitoring species for the ingestion of marine microplastics, and talked about the relationship between water samples and fish samples. We tried to find out the regulation about microplastics characteristics in fish samples and fish own traits. The mean abundance of microplastics in surface water was 8895 items/m3, small white fragments were dominating character. We need to increase the amount of fish data to further explore. This study would not only provide a detailed reference for a better understanding of microplastic pollution in Guangdong coastal areas, but also shed an insight in prospect of using fish as biomonitoring of microplastic wastes.","author":[{"dropping-particle":"","family":"Zhang","given":"Chaonan","non-dropping-particle":"","parse-names":false,"suffix":""},{"dropping-particle":"","family":"Wang","given":"Shaodan","non-dropping-particle":"","parse-names":false,"suffix":""},{"dropping-particle":"","family":"Sun","given":"Di","non-dropping-particle":"","parse-names":false,"suffix":""},{"dropping-particle":"","family":"Pan","given":"Zhenkun","non-dropping-particle":"","parse-names":false,"suffix":""},{"dropping-particle":"","family":"Zhou","given":"Aiguo","non-dropping-particle":"","parse-names":false,"suffix":""},{"dropping-particle":"","family":"Xie","given":"Shaolin","non-dropping-particle":"","parse-names":false,"suffix":""},{"dropping-particle":"","family":"Wang","given":"Jun","non-dropping-particle":"","parse-names":false,"suffix":""},{"dropping-particle":"","family":"Zou","given":"Jixing","non-dropping-particle":"","parse-names":false,"suffix":""}],"container-title":"Chemosphere","id":"ITEM-1","issued":{"date-parts":[["2020"]]},"page":"127202","publisher":"Elsevier Ltd","title":"Microplastic pollution in surface water from east coastal areas of Guangdong, South China and preliminary study on microplastics biomonitoring using two marine fish","type":"article-journal","volume":"256"},"uris":["http://www.mendeley.com/documents/?uuid=7b6b083d-0f1b-44e5-bc6c-0ad6305fb6b8"]}],"mendeley":{"formattedCitation":"(21)","plainTextFormattedCitation":"(21)","previouslyFormattedCitation":"(21)"},"properties":{"noteIndex":0},"schema":"https://github.com/citation-style-language/schema/raw/master/csl-citation.json"}</w:instrText>
            </w:r>
            <w:r>
              <w:rPr>
                <w:rFonts w:ascii="Times New Roman" w:hAnsi="Times New Roman" w:cs="Times New Roman"/>
                <w:sz w:val="18"/>
                <w:szCs w:val="18"/>
              </w:rPr>
              <w:fldChar w:fldCharType="separate"/>
            </w:r>
            <w:r w:rsidRPr="00526280">
              <w:rPr>
                <w:rFonts w:ascii="Times New Roman" w:hAnsi="Times New Roman" w:cs="Times New Roman"/>
                <w:noProof/>
                <w:sz w:val="18"/>
                <w:szCs w:val="18"/>
              </w:rPr>
              <w:t>(</w:t>
            </w:r>
            <w:r w:rsidRPr="00526280">
              <w:rPr>
                <w:rFonts w:ascii="Times New Roman" w:hAnsi="Times New Roman" w:cs="Times New Roman"/>
                <w:noProof/>
                <w:color w:val="0070C0"/>
                <w:sz w:val="18"/>
                <w:szCs w:val="18"/>
              </w:rPr>
              <w:t>21</w:t>
            </w:r>
            <w:r w:rsidRPr="00526280">
              <w:rPr>
                <w:rFonts w:ascii="Times New Roman" w:hAnsi="Times New Roman" w:cs="Times New Roman"/>
                <w:noProof/>
                <w:sz w:val="18"/>
                <w:szCs w:val="18"/>
              </w:rPr>
              <w:t>)</w:t>
            </w:r>
            <w:r>
              <w:rPr>
                <w:rFonts w:ascii="Times New Roman" w:hAnsi="Times New Roman" w:cs="Times New Roman"/>
                <w:sz w:val="18"/>
                <w:szCs w:val="18"/>
              </w:rPr>
              <w:fldChar w:fldCharType="end"/>
            </w:r>
            <w:r w:rsidR="002B3004" w:rsidRPr="002B3004">
              <w:rPr>
                <w:rFonts w:ascii="Times New Roman" w:hAnsi="Times New Roman" w:cs="Times New Roman"/>
                <w:sz w:val="18"/>
                <w:szCs w:val="18"/>
              </w:rPr>
              <w:t xml:space="preserve">  </w:t>
            </w:r>
          </w:p>
        </w:tc>
      </w:tr>
      <w:tr w:rsidR="00247242" w:rsidRPr="002B3004" w:rsidTr="002B3004">
        <w:tc>
          <w:tcPr>
            <w:tcW w:w="14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Humic Acid</w:t>
            </w:r>
          </w:p>
        </w:tc>
        <w:tc>
          <w:tcPr>
            <w:tcW w:w="13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Electrostatic Interaction</w:t>
            </w: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Oxytetracycline (OTC)–PS</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Interaction increases due to π-π interaction with humic acid</w:t>
            </w:r>
          </w:p>
        </w:tc>
        <w:tc>
          <w:tcPr>
            <w:tcW w:w="0" w:type="auto"/>
            <w:hideMark/>
          </w:tcPr>
          <w:p w:rsidR="002B3004" w:rsidRPr="002B3004" w:rsidRDefault="00526280"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sidR="00D83410">
              <w:rPr>
                <w:rFonts w:ascii="Times New Roman" w:hAnsi="Times New Roman" w:cs="Times New Roman"/>
                <w:sz w:val="18"/>
                <w:szCs w:val="18"/>
              </w:rPr>
              <w:instrText>ADDIN CSL_CITATION {"citationItems":[{"id":"ITEM-1","itemData":{"DOI":"10.1016/j.envpol.2018.09.122","ISSN":"0269-7491","author":[{"dropping-particle":"","family":"Zhang","given":"Haibo","non-dropping-particle":"","parse-names":false,"suffix":""},{"dropping-particle":"","family":"Jiaqing","given":"Wang","non-dropping-particle":"","parse-names":false,"suffix":""},{"dropping-particle":"","family":"Zhou","given":"Bianying","non-dropping-particle":"","parse-names":false,"suffix":""},{"dropping-particle":"","family":"Zhou","given":"Yang","non-dropping-particle":"","parse-names":false,"suffix":""},{"dropping-particle":"","family":"Dai","given":"Zhenfei","non-dropping-particle":"","parse-names":false,"suffix":""},{"dropping-particle":"","family":"Zhou","given":"Qian","non-dropping-particle":"","parse-names":false,"suffix":""}],"container-title":"Environmental Pollution","id":"ITEM-1","issued":{"date-parts":[["2018"]]},"publisher":"Elsevier Ltd","title":"AC SC","type":"article-journal"},"uris":["http://www.mendeley.com/documents/?uuid=44dd21d0-265c-40cc-99ec-6acb8de6d821"]}],"mendeley":{"formattedCitation":"(22)","plainTextFormattedCitation":"(22)","previouslyFormattedCitation":"(22)"},"properties":{"noteIndex":0},"schema":"https://github.com/citation-style-language/schema/raw/master/csl-citation.json"}</w:instrText>
            </w:r>
            <w:r>
              <w:rPr>
                <w:rFonts w:ascii="Times New Roman" w:hAnsi="Times New Roman" w:cs="Times New Roman"/>
                <w:sz w:val="18"/>
                <w:szCs w:val="18"/>
              </w:rPr>
              <w:fldChar w:fldCharType="separate"/>
            </w:r>
            <w:r w:rsidRPr="00526280">
              <w:rPr>
                <w:rFonts w:ascii="Times New Roman" w:hAnsi="Times New Roman" w:cs="Times New Roman"/>
                <w:noProof/>
                <w:sz w:val="18"/>
                <w:szCs w:val="18"/>
              </w:rPr>
              <w:t>(</w:t>
            </w:r>
            <w:r w:rsidRPr="00D83410">
              <w:rPr>
                <w:rFonts w:ascii="Times New Roman" w:hAnsi="Times New Roman" w:cs="Times New Roman"/>
                <w:noProof/>
                <w:color w:val="0070C0"/>
                <w:sz w:val="18"/>
                <w:szCs w:val="18"/>
              </w:rPr>
              <w:t>22</w:t>
            </w:r>
            <w:r w:rsidRPr="00526280">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Other Ions</w:t>
            </w:r>
          </w:p>
        </w:tc>
        <w:tc>
          <w:tcPr>
            <w:tcW w:w="13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Electrostatic Interaction</w:t>
            </w: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Ciprofloxacin (CPX)–PE</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Interaction decreases due to sodium ion disturbance in PE’s electrical double layer</w:t>
            </w:r>
          </w:p>
        </w:tc>
        <w:tc>
          <w:tcPr>
            <w:tcW w:w="0" w:type="auto"/>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fldChar w:fldCharType="begin" w:fldLock="1"/>
            </w:r>
            <w:r w:rsidR="004817DA">
              <w:rPr>
                <w:rFonts w:ascii="Times New Roman" w:hAnsi="Times New Roman" w:cs="Times New Roman"/>
                <w:sz w:val="18"/>
                <w:szCs w:val="18"/>
              </w:rPr>
              <w:instrText>ADDIN CSL_CITATION {"citationItems":[{"id":"ITEM-1","itemData":{"DOI":"10.1016/j.eti.2020.100971","ISSN":"23521864","abstract":"This study investigates the adsorption behavior of Ciprofloxacin (CPX) antibiotic on polyethylene (PE) microplastics through batch adsorption experiments under various environmental conditions, i.e., ionic strengths, pH and in the presence of dissolved organic matter (DOM). The adsorption of CPX showed a gradual increase with increasing pH reaching the maximum adsorption at pH 6.5–7.5 and then decreased, which is likely due to the redistribution of CPX species with pH. The overall CPX adsorption capacity of PE microplastics decreased with an increase in the ionic strength revealing the hydrophobic and electrostatic interactions. Fourier-transform infrared spectra (FTIR) bands ascribable to −CH2 and −CH3 functional groups exhibited non-polar hydrophobic properties of PE microplastics. CPX adsorption kinetics data were compatible with the parabolic diffusion model and the Elovich model in the presence of humic acid, suggesting that the adsorption was assisted through diffusion-controlled processes. The isotherm equilibrium data fitted well for Hill and Dubinin–Radushkevich models implying multilayer adsorption through physical adsorption processes on the heterogeneous PE microplastics surface. Hence, PE microplastics could be a potential vector to transport CPX in a natural aquatic environment where the adsorption mechanism is being influenced primarily by the pH, ionic strength, DOM of the water system, and the properties of the plastic.","author":[{"dropping-particle":"","family":"Atugoda","given":"Thilakshani","non-dropping-particle":"","parse-names":false,"suffix":""},{"dropping-particle":"","family":"Wijesekara","given":"Hasintha","non-dropping-particle":"","parse-names":false,"suffix":""},{"dropping-particle":"","family":"Werellagama","given":"D. R.I.B.","non-dropping-particle":"","parse-names":false,"suffix":""},{"dropping-particle":"","family":"Jinadasa","given":"K. B.S.N.","non-dropping-particle":"","parse-names":false,"suffix":""},{"dropping-particle":"","family":"Bolan","given":"Nanthi S.","non-dropping-particle":"","parse-names":false,"suffix":""},{"dropping-particle":"","family":"Vithanage","given":"Meththika","non-dropping-particle":"","parse-names":false,"suffix":""}],"container-title":"Environmental Technology and Innovation","id":"ITEM-1","issued":{"date-parts":[["2020"]]},"page":"100971","publisher":"Elsevier B.V.","title":"Adsorptive interaction of antibiotic ciprofloxacin on polyethylene microplastics: Implications for vector transport in water","type":"article-journal","volume":"19"},"uris":["http://www.mendeley.com/documents/?uuid=6ddc22b5-2ac7-48c9-be58-c1b531ee38ca"]}],"mendeley":{"formattedCitation":"(16)","plainTextFormattedCitation":"(16)","previouslyFormattedCitation":"(16)"},"properties":{"noteIndex":0},"schema":"https://github.com/citation-style-language/schema/raw/master/csl-citation.json"}</w:instrText>
            </w:r>
            <w:r w:rsidRPr="002B3004">
              <w:rPr>
                <w:rFonts w:ascii="Times New Roman" w:hAnsi="Times New Roman" w:cs="Times New Roman"/>
                <w:sz w:val="18"/>
                <w:szCs w:val="18"/>
              </w:rPr>
              <w:fldChar w:fldCharType="separate"/>
            </w:r>
            <w:r w:rsidR="00D310EA" w:rsidRPr="00D310EA">
              <w:rPr>
                <w:rFonts w:ascii="Times New Roman" w:hAnsi="Times New Roman" w:cs="Times New Roman"/>
                <w:noProof/>
                <w:sz w:val="18"/>
                <w:szCs w:val="18"/>
              </w:rPr>
              <w:t>(</w:t>
            </w:r>
            <w:r w:rsidR="00D310EA" w:rsidRPr="00D83410">
              <w:rPr>
                <w:rFonts w:ascii="Times New Roman" w:hAnsi="Times New Roman" w:cs="Times New Roman"/>
                <w:noProof/>
                <w:color w:val="0070C0"/>
                <w:sz w:val="18"/>
                <w:szCs w:val="18"/>
              </w:rPr>
              <w:t>16</w:t>
            </w:r>
            <w:r w:rsidR="00D310EA" w:rsidRPr="00D310EA">
              <w:rPr>
                <w:rFonts w:ascii="Times New Roman" w:hAnsi="Times New Roman" w:cs="Times New Roman"/>
                <w:noProof/>
                <w:sz w:val="18"/>
                <w:szCs w:val="18"/>
              </w:rPr>
              <w:t>)</w:t>
            </w:r>
            <w:r w:rsidRPr="002B3004">
              <w:rPr>
                <w:rFonts w:ascii="Times New Roman" w:hAnsi="Times New Roman" w:cs="Times New Roman"/>
                <w:sz w:val="18"/>
                <w:szCs w:val="18"/>
              </w:rPr>
              <w:fldChar w:fldCharType="end"/>
            </w:r>
          </w:p>
        </w:tc>
      </w:tr>
      <w:tr w:rsidR="00247242" w:rsidRPr="002B3004" w:rsidTr="002B3004">
        <w:tc>
          <w:tcPr>
            <w:tcW w:w="14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Other Ions</w:t>
            </w:r>
          </w:p>
        </w:tc>
        <w:tc>
          <w:tcPr>
            <w:tcW w:w="137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Cationic Bridging Mechanism</w:t>
            </w:r>
          </w:p>
        </w:tc>
        <w:tc>
          <w:tcPr>
            <w:tcW w:w="2127"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Tetracycline (TC)–PE</w:t>
            </w:r>
          </w:p>
        </w:tc>
        <w:tc>
          <w:tcPr>
            <w:tcW w:w="3132" w:type="dxa"/>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Interaction decreases with Cu²⁺ but increases with Pb²⁺, Cr³⁺, Cd²⁺, Zn²⁺ due to metal bridging</w:t>
            </w:r>
          </w:p>
        </w:tc>
        <w:tc>
          <w:tcPr>
            <w:tcW w:w="0" w:type="auto"/>
            <w:hideMark/>
          </w:tcPr>
          <w:p w:rsidR="002B3004" w:rsidRPr="002B3004" w:rsidRDefault="00D83410"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{"citationItems":[{"id":"ITEM-1","itemData":{"DOI":"10.1016/j.chemosphere.2020.127650","ISSN":"18791298","PMID":"32693263","abstract":"In recent years, the composite pollution of microplastics with organic pollutants and heavy metal ions in the water environment, including their combined toxicity, has received increasing attention. However, the mechanism underlying the joint effect of antibiotics and heavy metals on the surface behavior of microplastics has not been reported. The primary purpose of this article was to analyze the adsorption of levofloxacin (OFL) onto polyvinyl chloride (PVC) in an aqueous solution. The adsorption behavior was studied using kinetics, thermodynamics, and isotherm models, and the effects of several environmental factors, such as ionic strength, fulvic acid, and heavy metals, were determined. The adsorption kinetics and isotherms models indicated that the whole adsorption process was controlled by both intraparticle and outer diffusion, as well as chemical adsorption, which was the dominant mechanism. Based on the results of the thermodynamic experiment, the adsorption process was a nonspontaneous and exothermic reaction process. Furthermore, the presence of Cu2+, Zn2+, and Cr3+ ions significantly promoted the adsorption of OFL, but the presence of Cd2+ and Pb2+ ions inhibited its adsorption. At the same time, the presence of the ionic strength and fulvic acid remarkably restricted the adsorption process. These findings confirmed that electrostatic interactions, ion exchange, intermolecular hydrogen bonds, and halogen bond cooperation were the main adsorption mechanisms. This paper mainly discusses the interaction between combinations of pollutants with microplastics, which provides theoretical guidance for the interface behavior, migration and transformation of marine microplastics in the actual environment.","author":[{"dropping-particle":"","family":"Yu","given":"Fei","non-dropping-particle":"","parse-names":false,"suffix":""},{"dropping-particle":"","family":"Li","given":"Ye","non-dropping-particle":"","parse-names":false,"suffix":""},{"dropping-particle":"","family":"Huang","given":"Guoqiong","non-dropping-particle":"","parse-names":false,"suffix":""},{"dropping-particle":"","family":"Yang","given":"Changfu","non-dropping-particle":"","parse-names":false,"suffix":""},{"dropping-particle":"","family":"Chen","given":"Chen","non-dropping-particle":"","parse-names":false,"suffix":""},{"dropping-particle":"","family":"Zhou","given":"Tao","non-dropping-particle":"","parse-names":false,"suffix":""},{"dropping-particle":"","family":"Zhao","given":"Youcai","non-dropping-particle":"","parse-names":false,"suffix":""},{"dropping-particle":"","family":"Ma","given":"Jie","non-dropping-particle":"","parse-names":false,"suffix":""}],"container-title":"Chemosphere","id":"ITEM-1","issued":{"date-parts":[["2020"]]},"title":"Adsorption behavior of the antibiotic levofloxacin on microplastics in the presence of different heavy metals in an aqueous solution","type":"article-journal","volume":"260"},"uris":["http://www.mendeley.com/documents/?uuid=5e34bc01-a56f-4baf-acdb-ac9d96717e8c"]}],"mendeley":{"formattedCitation":"(5)","plainTextFormattedCitation":"(5)","previouslyFormattedCitation":"(5)"},"properties":{"noteIndex":0},"schema":"https://github.com/citation-style-language/schema/raw/master/csl-citation.json"}</w:instrText>
            </w:r>
            <w:r>
              <w:rPr>
                <w:rFonts w:ascii="Times New Roman" w:hAnsi="Times New Roman" w:cs="Times New Roman"/>
                <w:sz w:val="18"/>
                <w:szCs w:val="18"/>
              </w:rPr>
              <w:fldChar w:fldCharType="separate"/>
            </w:r>
            <w:r w:rsidRPr="00D83410">
              <w:rPr>
                <w:rFonts w:ascii="Times New Roman" w:hAnsi="Times New Roman" w:cs="Times New Roman"/>
                <w:noProof/>
                <w:sz w:val="18"/>
                <w:szCs w:val="18"/>
              </w:rPr>
              <w:t>(</w:t>
            </w:r>
            <w:r w:rsidRPr="00D83410">
              <w:rPr>
                <w:rFonts w:ascii="Times New Roman" w:hAnsi="Times New Roman" w:cs="Times New Roman"/>
                <w:noProof/>
                <w:color w:val="0070C0"/>
                <w:sz w:val="18"/>
                <w:szCs w:val="18"/>
              </w:rPr>
              <w:t>5</w:t>
            </w:r>
            <w:r w:rsidRPr="00D83410">
              <w:rPr>
                <w:rFonts w:ascii="Times New Roman" w:hAnsi="Times New Roman" w:cs="Times New Roman"/>
                <w:noProof/>
                <w:sz w:val="18"/>
                <w:szCs w:val="18"/>
              </w:rPr>
              <w:t>)</w:t>
            </w:r>
            <w:r>
              <w:rPr>
                <w:rFonts w:ascii="Times New Roman" w:hAnsi="Times New Roman" w:cs="Times New Roman"/>
                <w:sz w:val="18"/>
                <w:szCs w:val="18"/>
              </w:rPr>
              <w:fldChar w:fldCharType="end"/>
            </w:r>
          </w:p>
        </w:tc>
      </w:tr>
      <w:tr w:rsidR="00247242" w:rsidRPr="002B3004" w:rsidTr="002B3004">
        <w:tc>
          <w:tcPr>
            <w:tcW w:w="1477" w:type="dxa"/>
            <w:tcBorders>
              <w:bottom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b/>
                <w:bCs/>
                <w:sz w:val="18"/>
                <w:szCs w:val="18"/>
              </w:rPr>
              <w:t>Other Ions</w:t>
            </w:r>
          </w:p>
        </w:tc>
        <w:tc>
          <w:tcPr>
            <w:tcW w:w="1377" w:type="dxa"/>
            <w:tcBorders>
              <w:bottom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Cationic Bridging Mechanism</w:t>
            </w:r>
          </w:p>
        </w:tc>
        <w:tc>
          <w:tcPr>
            <w:tcW w:w="2127" w:type="dxa"/>
            <w:tcBorders>
              <w:bottom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Oxytetracycline (OTC)–PS</w:t>
            </w:r>
          </w:p>
        </w:tc>
        <w:tc>
          <w:tcPr>
            <w:tcW w:w="3132" w:type="dxa"/>
            <w:tcBorders>
              <w:bottom w:val="single" w:sz="4" w:space="0" w:color="auto"/>
            </w:tcBorders>
            <w:hideMark/>
          </w:tcPr>
          <w:p w:rsidR="002B3004" w:rsidRPr="002B3004" w:rsidRDefault="002B3004" w:rsidP="002B3004">
            <w:pPr>
              <w:spacing w:after="160" w:line="480" w:lineRule="auto"/>
              <w:rPr>
                <w:rFonts w:ascii="Times New Roman" w:hAnsi="Times New Roman" w:cs="Times New Roman"/>
                <w:sz w:val="18"/>
                <w:szCs w:val="18"/>
              </w:rPr>
            </w:pPr>
            <w:r w:rsidRPr="002B3004">
              <w:rPr>
                <w:rFonts w:ascii="Times New Roman" w:hAnsi="Times New Roman" w:cs="Times New Roman"/>
                <w:sz w:val="18"/>
                <w:szCs w:val="18"/>
              </w:rPr>
              <w:t>Interaction increases with multivalent cations (Ca²⁺) due to ternary complex formation</w:t>
            </w:r>
          </w:p>
        </w:tc>
        <w:tc>
          <w:tcPr>
            <w:tcW w:w="0" w:type="auto"/>
            <w:tcBorders>
              <w:bottom w:val="single" w:sz="4" w:space="0" w:color="auto"/>
            </w:tcBorders>
            <w:hideMark/>
          </w:tcPr>
          <w:p w:rsidR="002B3004" w:rsidRPr="002B3004" w:rsidRDefault="00D83410" w:rsidP="002B3004">
            <w:pPr>
              <w:spacing w:after="160" w:line="480" w:lineRule="auto"/>
              <w:rPr>
                <w:rFonts w:ascii="Times New Roman" w:hAnsi="Times New Roman" w:cs="Times New Roman"/>
                <w:sz w:val="18"/>
                <w:szCs w:val="18"/>
              </w:rPr>
            </w:pPr>
            <w:r>
              <w:rPr>
                <w:rFonts w:ascii="Times New Roman" w:hAnsi="Times New Roman" w:cs="Times New Roman"/>
                <w:sz w:val="18"/>
                <w:szCs w:val="18"/>
              </w:rPr>
              <w:fldChar w:fldCharType="begin" w:fldLock="1"/>
            </w:r>
            <w:r w:rsidR="00943844">
              <w:rPr>
                <w:rFonts w:ascii="Times New Roman" w:hAnsi="Times New Roman" w:cs="Times New Roman"/>
                <w:sz w:val="18"/>
                <w:szCs w:val="18"/>
              </w:rPr>
              <w:instrText>ADDIN CSL_CITATION {"citationItems":[{"id":"ITEM-1","itemData":{"DOI":"10.1016/j.envpol.2018.09.122","ISSN":"0269-7491","author":[{"dropping-particle":"","family":"Zhang","given":"Haibo","non-dropping-particle":"","parse-names":false,"suffix":""},{"dropping-particle":"","family":"Jiaqing","given":"Wang","non-dropping-particle":"","parse-names":false,"suffix":""},{"dropping-particle":"","family":"Zhou","given":"Bianying","non-dropping-particle":"","parse-names":false,"suffix":""},{"dropping-particle":"","family":"Zhou","given":"Yang","non-dropping-particle":"","parse-names":false,"suffix":""},{"dropping-particle":"","family":"Dai","given":"Zhenfei","non-dropping-particle":"","parse-names":false,"suffix":""},{"dropping-particle":"","family":"Zhou","given":"Qian","non-dropping-particle":"","parse-names":false,"suffix":""}],"container-title":"Environmental Pollution","id":"ITEM-1","issued":{"date-parts":[["2018"]]},"publisher":"Elsevier Ltd","title":"AC SC","type":"article-journal"},"uris":["http://www.mendeley.com/documents/?uuid=44dd21d0-265c-40cc-99ec-6acb8de6d821"]}],"mendeley":{"formattedCitation":"(22)","plainTextFormattedCitation":"(22)","previouslyFormattedCitation":"(22)"},"properties":{"noteIndex":0},"schema":"https://github.com/citation-style-language/schema/raw/master/csl-citation.json"}</w:instrText>
            </w:r>
            <w:r>
              <w:rPr>
                <w:rFonts w:ascii="Times New Roman" w:hAnsi="Times New Roman" w:cs="Times New Roman"/>
                <w:sz w:val="18"/>
                <w:szCs w:val="18"/>
              </w:rPr>
              <w:fldChar w:fldCharType="separate"/>
            </w:r>
            <w:r w:rsidRPr="00D83410">
              <w:rPr>
                <w:rFonts w:ascii="Times New Roman" w:hAnsi="Times New Roman" w:cs="Times New Roman"/>
                <w:noProof/>
                <w:sz w:val="18"/>
                <w:szCs w:val="18"/>
              </w:rPr>
              <w:t>(</w:t>
            </w:r>
            <w:r w:rsidRPr="00D83410">
              <w:rPr>
                <w:rFonts w:ascii="Times New Roman" w:hAnsi="Times New Roman" w:cs="Times New Roman"/>
                <w:noProof/>
                <w:color w:val="0070C0"/>
                <w:sz w:val="18"/>
                <w:szCs w:val="18"/>
              </w:rPr>
              <w:t>22</w:t>
            </w:r>
            <w:r w:rsidRPr="00D83410">
              <w:rPr>
                <w:rFonts w:ascii="Times New Roman" w:hAnsi="Times New Roman" w:cs="Times New Roman"/>
                <w:noProof/>
                <w:sz w:val="18"/>
                <w:szCs w:val="18"/>
              </w:rPr>
              <w:t>)</w:t>
            </w:r>
            <w:r>
              <w:rPr>
                <w:rFonts w:ascii="Times New Roman" w:hAnsi="Times New Roman" w:cs="Times New Roman"/>
                <w:sz w:val="18"/>
                <w:szCs w:val="18"/>
              </w:rPr>
              <w:fldChar w:fldCharType="end"/>
            </w:r>
          </w:p>
        </w:tc>
      </w:tr>
    </w:tbl>
    <w:p w:rsidR="00B21A2E" w:rsidRDefault="00B21A2E"/>
    <w:p w:rsidR="006747CB" w:rsidRDefault="006747CB"/>
    <w:p w:rsidR="006747CB" w:rsidRDefault="006747CB"/>
    <w:p w:rsidR="00CA6567" w:rsidRDefault="00CA6567" w:rsidP="00CA6567">
      <w:pPr>
        <w:keepNext/>
      </w:pPr>
      <w:r w:rsidRPr="00CA6567">
        <w:rPr>
          <w:rFonts w:ascii="Calibri" w:eastAsia="Calibri" w:hAnsi="Calibri" w:cs="Times New Roman"/>
          <w:noProof/>
          <w:lang w:val="en-IN" w:eastAsia="en-IN"/>
        </w:rPr>
        <mc:AlternateContent>
          <mc:Choice Requires="wpg">
            <w:drawing>
              <wp:inline distT="0" distB="0" distL="0" distR="0" wp14:anchorId="4276AE68" wp14:editId="5E0DAF36">
                <wp:extent cx="4844572" cy="5552281"/>
                <wp:effectExtent l="0" t="0" r="13335" b="10795"/>
                <wp:docPr id="2" name="Group 2"/>
                <wp:cNvGraphicFramePr/>
                <a:graphic xmlns:a="http://schemas.openxmlformats.org/drawingml/2006/main">
                  <a:graphicData uri="http://schemas.microsoft.com/office/word/2010/wordprocessingGroup">
                    <wpg:wgp>
                      <wpg:cNvGrpSpPr/>
                      <wpg:grpSpPr>
                        <a:xfrm>
                          <a:off x="0" y="0"/>
                          <a:ext cx="4844572" cy="5552281"/>
                          <a:chOff x="0" y="0"/>
                          <a:chExt cx="4844572" cy="5552281"/>
                        </a:xfrm>
                      </wpg:grpSpPr>
                      <wps:wsp>
                        <wps:cNvPr id="3" name="Rectangle 3"/>
                        <wps:cNvSpPr/>
                        <wps:spPr>
                          <a:xfrm>
                            <a:off x="461802" y="342900"/>
                            <a:ext cx="1887220" cy="1243584"/>
                          </a:xfrm>
                          <a:prstGeom prst="rect">
                            <a:avLst/>
                          </a:prstGeom>
                          <a:no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rPr>
                                  <w:rFonts w:ascii="Arial" w:hAnsi="Arial" w:cs="Arial"/>
                                  <w:color w:val="000000"/>
                                  <w:sz w:val="18"/>
                                  <w:szCs w:val="20"/>
                                </w:rPr>
                              </w:pP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Records identified from*:</w:t>
                              </w:r>
                            </w:p>
                            <w:p w:rsidR="00526280" w:rsidRPr="00CA6567" w:rsidRDefault="00526280" w:rsidP="00CA6567">
                              <w:pPr>
                                <w:ind w:left="284"/>
                                <w:rPr>
                                  <w:rFonts w:ascii="Arial" w:hAnsi="Arial" w:cs="Arial"/>
                                  <w:color w:val="000000"/>
                                  <w:sz w:val="18"/>
                                </w:rPr>
                              </w:pPr>
                              <w:r w:rsidRPr="00CA6567">
                                <w:rPr>
                                  <w:rFonts w:ascii="Arial" w:hAnsi="Arial" w:cs="Arial"/>
                                  <w:color w:val="000000"/>
                                  <w:sz w:val="18"/>
                                  <w:szCs w:val="20"/>
                                </w:rPr>
                                <w:t>Databases (n =</w:t>
                              </w:r>
                              <w:r w:rsidRPr="004250D6">
                                <w:rPr>
                                  <w:rFonts w:ascii="var(--ds-font-family-code)" w:eastAsia="Times New Roman" w:hAnsi="var(--ds-font-family-code)" w:cs="Courier New"/>
                                  <w:color w:val="FFFFFF"/>
                                  <w:sz w:val="19"/>
                                  <w:szCs w:val="19"/>
                                </w:rPr>
                                <w:t xml:space="preserve"> </w:t>
                              </w:r>
                              <w:r w:rsidRPr="00CA6567">
                                <w:rPr>
                                  <w:rFonts w:ascii="Arial" w:hAnsi="Arial" w:cs="Arial"/>
                                  <w:color w:val="000000"/>
                                  <w:sz w:val="18"/>
                                </w:rPr>
                                <w:t>1,500</w:t>
                              </w:r>
                              <w:r w:rsidRPr="00CA6567">
                                <w:rPr>
                                  <w:rFonts w:ascii="Arial" w:hAnsi="Arial" w:cs="Arial"/>
                                  <w:color w:val="000000"/>
                                  <w:sz w:val="18"/>
                                  <w:szCs w:val="20"/>
                                </w:rPr>
                                <w:t>)</w:t>
                              </w:r>
                            </w:p>
                            <w:p w:rsidR="00526280" w:rsidRPr="00CA6567" w:rsidRDefault="00526280" w:rsidP="00CA6567">
                              <w:pPr>
                                <w:spacing w:after="0" w:line="240" w:lineRule="auto"/>
                                <w:ind w:left="284"/>
                                <w:rPr>
                                  <w:rFonts w:ascii="Arial" w:hAnsi="Arial" w:cs="Arial"/>
                                  <w:color w:val="000000"/>
                                  <w:sz w:val="18"/>
                                  <w:szCs w:val="20"/>
                                </w:rPr>
                              </w:pPr>
                              <w:r w:rsidRPr="00CA6567">
                                <w:rPr>
                                  <w:rFonts w:ascii="Arial" w:hAnsi="Arial" w:cs="Arial"/>
                                  <w:color w:val="000000"/>
                                  <w:sz w:val="18"/>
                                  <w:szCs w:val="20"/>
                                </w:rPr>
                                <w:t>Registers (n = 0)</w:t>
                              </w:r>
                            </w:p>
                            <w:p w:rsidR="00526280" w:rsidRPr="00CA6567" w:rsidRDefault="00526280" w:rsidP="00CA6567">
                              <w:pPr>
                                <w:spacing w:after="0" w:line="240" w:lineRule="auto"/>
                                <w:ind w:left="284"/>
                                <w:rPr>
                                  <w:rFonts w:ascii="Arial" w:hAnsi="Arial" w:cs="Arial"/>
                                  <w:color w:val="000000"/>
                                  <w:sz w:val="18"/>
                                  <w:szCs w:val="20"/>
                                </w:rPr>
                              </w:pPr>
                            </w:p>
                            <w:p w:rsidR="00526280" w:rsidRPr="00CA6567" w:rsidRDefault="00526280" w:rsidP="00CA6567">
                              <w:pPr>
                                <w:spacing w:after="0" w:line="240" w:lineRule="auto"/>
                                <w:ind w:left="284"/>
                                <w:rPr>
                                  <w:rFonts w:ascii="Arial" w:hAnsi="Arial" w:cs="Arial"/>
                                  <w:color w:val="000000"/>
                                  <w:sz w:val="18"/>
                                  <w:szCs w:val="20"/>
                                </w:rPr>
                              </w:pPr>
                              <w:r w:rsidRPr="00CA6567">
                                <w:rPr>
                                  <w:rFonts w:ascii="Arial" w:hAnsi="Arial" w:cs="Arial"/>
                                  <w:color w:val="000000"/>
                                  <w:sz w:val="18"/>
                                  <w:szCs w:val="20"/>
                                </w:rPr>
                                <w:t>Total records identified (n = 1,500)</w:t>
                              </w:r>
                            </w:p>
                            <w:p w:rsidR="00526280" w:rsidRPr="00CA6567" w:rsidRDefault="00526280" w:rsidP="00CA6567">
                              <w:pPr>
                                <w:spacing w:after="0" w:line="240" w:lineRule="auto"/>
                                <w:ind w:left="284"/>
                                <w:rPr>
                                  <w:rFonts w:ascii="Arial" w:hAnsi="Arial" w:cs="Arial"/>
                                  <w:color w:val="000000"/>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938302" y="342900"/>
                            <a:ext cx="1887220" cy="1242999"/>
                          </a:xfrm>
                          <a:prstGeom prst="rect">
                            <a:avLst/>
                          </a:prstGeom>
                          <a:no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 xml:space="preserve">Records removed </w:t>
                              </w:r>
                              <w:r w:rsidRPr="00CA6567">
                                <w:rPr>
                                  <w:rFonts w:ascii="Arial" w:hAnsi="Arial" w:cs="Arial"/>
                                  <w:i/>
                                  <w:iCs/>
                                  <w:color w:val="000000"/>
                                  <w:sz w:val="18"/>
                                  <w:szCs w:val="20"/>
                                </w:rPr>
                                <w:t>before screening</w:t>
                              </w:r>
                              <w:r w:rsidRPr="00CA6567">
                                <w:rPr>
                                  <w:rFonts w:ascii="Arial" w:hAnsi="Arial" w:cs="Arial"/>
                                  <w:color w:val="000000"/>
                                  <w:sz w:val="18"/>
                                  <w:szCs w:val="20"/>
                                </w:rPr>
                                <w:t>:</w:t>
                              </w:r>
                            </w:p>
                            <w:p w:rsidR="00526280" w:rsidRPr="00CA6567" w:rsidRDefault="00526280" w:rsidP="00CA6567">
                              <w:pPr>
                                <w:ind w:left="284"/>
                                <w:rPr>
                                  <w:rFonts w:ascii="Arial" w:hAnsi="Arial" w:cs="Arial"/>
                                  <w:color w:val="000000"/>
                                  <w:sz w:val="18"/>
                                </w:rPr>
                              </w:pPr>
                              <w:r w:rsidRPr="00CA6567">
                                <w:rPr>
                                  <w:rFonts w:ascii="Arial" w:hAnsi="Arial" w:cs="Arial"/>
                                  <w:color w:val="000000"/>
                                  <w:sz w:val="18"/>
                                  <w:szCs w:val="20"/>
                                </w:rPr>
                                <w:t xml:space="preserve">Duplicate records removed (n = </w:t>
                              </w:r>
                              <w:r w:rsidRPr="00CA6567">
                                <w:rPr>
                                  <w:rFonts w:ascii="Arial" w:hAnsi="Arial" w:cs="Arial"/>
                                  <w:color w:val="000000"/>
                                  <w:sz w:val="18"/>
                                </w:rPr>
                                <w:t>350</w:t>
                              </w:r>
                              <w:r w:rsidRPr="00CA6567">
                                <w:rPr>
                                  <w:rFonts w:ascii="Arial" w:hAnsi="Arial" w:cs="Arial"/>
                                  <w:color w:val="000000"/>
                                  <w:sz w:val="18"/>
                                  <w:szCs w:val="20"/>
                                </w:rPr>
                                <w:t>)</w:t>
                              </w:r>
                            </w:p>
                            <w:p w:rsidR="00526280" w:rsidRPr="00CA6567" w:rsidRDefault="00526280" w:rsidP="00CA6567">
                              <w:pPr>
                                <w:spacing w:after="0" w:line="240" w:lineRule="auto"/>
                                <w:ind w:left="284"/>
                                <w:rPr>
                                  <w:rFonts w:ascii="Arial" w:hAnsi="Arial" w:cs="Arial"/>
                                  <w:color w:val="000000"/>
                                  <w:sz w:val="18"/>
                                  <w:szCs w:val="20"/>
                                </w:rPr>
                              </w:pPr>
                              <w:r w:rsidRPr="00CA6567">
                                <w:rPr>
                                  <w:rFonts w:ascii="Arial" w:hAnsi="Arial" w:cs="Arial"/>
                                  <w:color w:val="000000"/>
                                  <w:sz w:val="18"/>
                                  <w:szCs w:val="20"/>
                                </w:rPr>
                                <w:t>Records marked as ineligible by automation tools (n = 0)</w:t>
                              </w:r>
                            </w:p>
                            <w:p w:rsidR="00526280" w:rsidRPr="00CA6567" w:rsidRDefault="00526280" w:rsidP="00CA6567">
                              <w:pPr>
                                <w:spacing w:after="0" w:line="240" w:lineRule="auto"/>
                                <w:ind w:left="284"/>
                                <w:rPr>
                                  <w:rFonts w:ascii="Arial" w:hAnsi="Arial" w:cs="Arial"/>
                                  <w:color w:val="000000"/>
                                  <w:sz w:val="18"/>
                                  <w:szCs w:val="20"/>
                                </w:rPr>
                              </w:pPr>
                              <w:r w:rsidRPr="00CA6567">
                                <w:rPr>
                                  <w:rFonts w:ascii="Arial" w:hAnsi="Arial" w:cs="Arial"/>
                                  <w:color w:val="000000"/>
                                  <w:sz w:val="18"/>
                                  <w:szCs w:val="20"/>
                                </w:rPr>
                                <w:t>Records removed for other reasons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461802" y="1876425"/>
                            <a:ext cx="1887220" cy="526415"/>
                          </a:xfrm>
                          <a:prstGeom prst="rect">
                            <a:avLst/>
                          </a:prstGeom>
                          <a:no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Records screened</w:t>
                              </w:r>
                            </w:p>
                            <w:p w:rsidR="00526280" w:rsidRPr="00CA6567" w:rsidRDefault="00526280" w:rsidP="00CA6567">
                              <w:pPr>
                                <w:rPr>
                                  <w:rFonts w:ascii="Arial" w:hAnsi="Arial" w:cs="Arial"/>
                                  <w:color w:val="000000"/>
                                  <w:sz w:val="18"/>
                                </w:rPr>
                              </w:pPr>
                              <w:r w:rsidRPr="00CA6567">
                                <w:rPr>
                                  <w:rFonts w:ascii="Arial" w:hAnsi="Arial" w:cs="Arial"/>
                                  <w:color w:val="000000"/>
                                  <w:sz w:val="18"/>
                                  <w:szCs w:val="20"/>
                                </w:rPr>
                                <w:t>(n =</w:t>
                              </w:r>
                              <w:r w:rsidRPr="00D727E4">
                                <w:rPr>
                                  <w:rFonts w:ascii="var(--ds-font-family-code)" w:eastAsia="Times New Roman" w:hAnsi="var(--ds-font-family-code)" w:cs="Courier New"/>
                                  <w:color w:val="FFFFFF"/>
                                  <w:sz w:val="19"/>
                                  <w:szCs w:val="19"/>
                                </w:rPr>
                                <w:t xml:space="preserve"> </w:t>
                              </w:r>
                              <w:r w:rsidRPr="00CA6567">
                                <w:rPr>
                                  <w:rFonts w:ascii="Arial" w:hAnsi="Arial" w:cs="Arial"/>
                                  <w:color w:val="000000"/>
                                  <w:sz w:val="18"/>
                                </w:rPr>
                                <w:t>1,200</w:t>
                              </w:r>
                              <w:r w:rsidRPr="00CA6567">
                                <w:rPr>
                                  <w:rFonts w:ascii="Arial" w:hAnsi="Arial" w:cs="Arial"/>
                                  <w:color w:val="000000"/>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947827" y="1876425"/>
                            <a:ext cx="1887220" cy="526415"/>
                          </a:xfrm>
                          <a:prstGeom prst="rect">
                            <a:avLst/>
                          </a:prstGeom>
                          <a:no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Records excluded**</w:t>
                              </w:r>
                            </w:p>
                            <w:p w:rsidR="00526280" w:rsidRPr="00CA6567" w:rsidRDefault="00526280" w:rsidP="00CA6567">
                              <w:pPr>
                                <w:rPr>
                                  <w:rFonts w:ascii="Arial" w:hAnsi="Arial" w:cs="Arial"/>
                                  <w:color w:val="000000"/>
                                  <w:sz w:val="18"/>
                                </w:rPr>
                              </w:pPr>
                              <w:r w:rsidRPr="00CA6567">
                                <w:rPr>
                                  <w:rFonts w:ascii="Arial" w:hAnsi="Arial" w:cs="Arial"/>
                                  <w:color w:val="000000"/>
                                  <w:sz w:val="18"/>
                                  <w:szCs w:val="20"/>
                                </w:rPr>
                                <w:t>(n =</w:t>
                              </w:r>
                              <w:r w:rsidRPr="00D727E4">
                                <w:rPr>
                                  <w:rFonts w:ascii="var(--ds-font-family-code)" w:eastAsia="Times New Roman" w:hAnsi="var(--ds-font-family-code)" w:cs="Courier New"/>
                                  <w:color w:val="FFFFFF"/>
                                  <w:sz w:val="19"/>
                                  <w:szCs w:val="19"/>
                                </w:rPr>
                                <w:t xml:space="preserve"> </w:t>
                              </w:r>
                              <w:r w:rsidRPr="00CA6567">
                                <w:rPr>
                                  <w:rFonts w:ascii="Arial" w:hAnsi="Arial" w:cs="Arial"/>
                                  <w:color w:val="000000"/>
                                  <w:sz w:val="18"/>
                                </w:rPr>
                                <w:t>952</w:t>
                              </w:r>
                              <w:r w:rsidRPr="00CA6567">
                                <w:rPr>
                                  <w:rFonts w:ascii="Arial" w:hAnsi="Arial" w:cs="Arial"/>
                                  <w:color w:val="000000"/>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461802" y="2695575"/>
                            <a:ext cx="1887220" cy="526415"/>
                          </a:xfrm>
                          <a:prstGeom prst="rect">
                            <a:avLst/>
                          </a:prstGeom>
                          <a:no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Reports sought for retrieval</w:t>
                              </w:r>
                            </w:p>
                            <w:p w:rsidR="00526280" w:rsidRPr="00CA6567" w:rsidRDefault="00526280" w:rsidP="00CA6567">
                              <w:pPr>
                                <w:rPr>
                                  <w:rFonts w:ascii="Arial" w:hAnsi="Arial" w:cs="Arial"/>
                                  <w:color w:val="000000"/>
                                  <w:sz w:val="18"/>
                                </w:rPr>
                              </w:pPr>
                              <w:r w:rsidRPr="00CA6567">
                                <w:rPr>
                                  <w:rFonts w:ascii="Arial" w:hAnsi="Arial" w:cs="Arial"/>
                                  <w:color w:val="000000"/>
                                  <w:sz w:val="18"/>
                                  <w:szCs w:val="20"/>
                                </w:rPr>
                                <w:t>(n =</w:t>
                              </w:r>
                              <w:r w:rsidRPr="00D727E4">
                                <w:rPr>
                                  <w:rFonts w:ascii="var(--ds-font-family-code)" w:eastAsia="Times New Roman" w:hAnsi="var(--ds-font-family-code)" w:cs="Courier New"/>
                                  <w:color w:val="FFFFFF"/>
                                  <w:sz w:val="19"/>
                                  <w:szCs w:val="19"/>
                                </w:rPr>
                                <w:t xml:space="preserve"> </w:t>
                              </w:r>
                              <w:r w:rsidRPr="00CA6567">
                                <w:rPr>
                                  <w:rFonts w:ascii="Arial" w:hAnsi="Arial" w:cs="Arial"/>
                                  <w:color w:val="000000"/>
                                  <w:sz w:val="18"/>
                                </w:rPr>
                                <w:t>248</w:t>
                              </w:r>
                              <w:r w:rsidRPr="00CA6567">
                                <w:rPr>
                                  <w:rFonts w:ascii="Arial" w:hAnsi="Arial" w:cs="Arial"/>
                                  <w:color w:val="000000"/>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2947827" y="2714625"/>
                            <a:ext cx="1887220" cy="526415"/>
                          </a:xfrm>
                          <a:prstGeom prst="rect">
                            <a:avLst/>
                          </a:prstGeom>
                          <a:no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Reports not retrieved</w:t>
                              </w: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(n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461802" y="3514725"/>
                            <a:ext cx="1887220" cy="526415"/>
                          </a:xfrm>
                          <a:prstGeom prst="rect">
                            <a:avLst/>
                          </a:prstGeom>
                          <a:no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Reports assessed for eligibility</w:t>
                              </w:r>
                            </w:p>
                            <w:p w:rsidR="00526280" w:rsidRPr="00CA6567" w:rsidRDefault="00526280" w:rsidP="00CA6567">
                              <w:pPr>
                                <w:rPr>
                                  <w:rFonts w:ascii="Arial" w:hAnsi="Arial" w:cs="Arial"/>
                                  <w:color w:val="000000"/>
                                  <w:sz w:val="18"/>
                                </w:rPr>
                              </w:pPr>
                              <w:r w:rsidRPr="00CA6567">
                                <w:rPr>
                                  <w:rFonts w:ascii="Arial" w:hAnsi="Arial" w:cs="Arial"/>
                                  <w:color w:val="000000"/>
                                  <w:sz w:val="18"/>
                                  <w:szCs w:val="20"/>
                                </w:rPr>
                                <w:t>(n =</w:t>
                              </w:r>
                              <w:r w:rsidRPr="00D727E4">
                                <w:rPr>
                                  <w:rFonts w:ascii="var(--ds-font-family-code)" w:eastAsia="Times New Roman" w:hAnsi="var(--ds-font-family-code)" w:cs="Courier New"/>
                                  <w:color w:val="FFFFFF"/>
                                  <w:sz w:val="19"/>
                                  <w:szCs w:val="19"/>
                                </w:rPr>
                                <w:t xml:space="preserve"> </w:t>
                              </w:r>
                              <w:r w:rsidRPr="00CA6567">
                                <w:rPr>
                                  <w:rFonts w:ascii="Arial" w:hAnsi="Arial" w:cs="Arial"/>
                                  <w:color w:val="000000"/>
                                  <w:sz w:val="18"/>
                                </w:rPr>
                                <w:t>248</w:t>
                              </w:r>
                              <w:r w:rsidRPr="00CA6567">
                                <w:rPr>
                                  <w:rFonts w:ascii="Arial" w:hAnsi="Arial" w:cs="Arial"/>
                                  <w:color w:val="000000"/>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957352" y="3514725"/>
                            <a:ext cx="1887220" cy="1581150"/>
                          </a:xfrm>
                          <a:prstGeom prst="rect">
                            <a:avLst/>
                          </a:prstGeom>
                          <a:no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bCs/>
                                  <w:color w:val="000000"/>
                                  <w:sz w:val="18"/>
                                  <w:szCs w:val="20"/>
                                </w:rPr>
                                <w:t>Reports excluded</w:t>
                              </w:r>
                              <w:r w:rsidRPr="00CA6567">
                                <w:rPr>
                                  <w:rFonts w:ascii="Arial" w:hAnsi="Arial" w:cs="Arial"/>
                                  <w:color w:val="000000"/>
                                  <w:sz w:val="18"/>
                                  <w:szCs w:val="20"/>
                                </w:rPr>
                                <w:t>: n =76</w:t>
                              </w:r>
                            </w:p>
                            <w:p w:rsidR="00526280" w:rsidRPr="00CA6567" w:rsidRDefault="00526280" w:rsidP="00CA6567">
                              <w:pPr>
                                <w:spacing w:after="0" w:line="240" w:lineRule="auto"/>
                                <w:rPr>
                                  <w:rFonts w:ascii="Arial" w:hAnsi="Arial" w:cs="Arial"/>
                                  <w:color w:val="000000"/>
                                  <w:sz w:val="18"/>
                                  <w:szCs w:val="20"/>
                                </w:rPr>
                              </w:pP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Reports excluded:</w:t>
                              </w:r>
                            </w:p>
                            <w:p w:rsidR="00526280" w:rsidRPr="00CA6567" w:rsidRDefault="00526280" w:rsidP="00CA6567">
                              <w:pPr>
                                <w:spacing w:after="0" w:line="240" w:lineRule="auto"/>
                                <w:rPr>
                                  <w:rFonts w:ascii="Arial" w:hAnsi="Arial" w:cs="Arial"/>
                                  <w:color w:val="000000"/>
                                  <w:sz w:val="18"/>
                                  <w:szCs w:val="20"/>
                                </w:rPr>
                              </w:pPr>
                            </w:p>
                            <w:p w:rsidR="00526280" w:rsidRPr="00CA6567" w:rsidRDefault="00526280" w:rsidP="00CA6567">
                              <w:pPr>
                                <w:rPr>
                                  <w:rFonts w:ascii="Arial" w:hAnsi="Arial" w:cs="Arial"/>
                                  <w:color w:val="000000"/>
                                  <w:sz w:val="18"/>
                                </w:rPr>
                              </w:pPr>
                              <w:r w:rsidRPr="00A974F1">
                                <w:rPr>
                                  <w:rFonts w:ascii="var(--ds-font-family-code)" w:eastAsia="Times New Roman" w:hAnsi="var(--ds-font-family-code)" w:cs="Courier New"/>
                                  <w:color w:val="FFFFFF"/>
                                  <w:sz w:val="19"/>
                                  <w:szCs w:val="19"/>
                                </w:rPr>
                                <w:t xml:space="preserve"> </w:t>
                              </w:r>
                              <w:r w:rsidRPr="00CA6567">
                                <w:rPr>
                                  <w:rFonts w:ascii="Arial" w:hAnsi="Arial" w:cs="Arial"/>
                                  <w:color w:val="000000"/>
                                  <w:sz w:val="18"/>
                                </w:rPr>
                                <w:t xml:space="preserve">Macroplastic focus </w:t>
                              </w:r>
                              <w:r w:rsidRPr="00CA6567">
                                <w:rPr>
                                  <w:rFonts w:ascii="Arial" w:hAnsi="Arial" w:cs="Arial"/>
                                  <w:color w:val="000000"/>
                                  <w:sz w:val="18"/>
                                  <w:szCs w:val="20"/>
                                </w:rPr>
                                <w:t>(n =</w:t>
                              </w:r>
                              <w:r w:rsidRPr="00E10F30">
                                <w:rPr>
                                  <w:color w:val="404040"/>
                                  <w:sz w:val="29"/>
                                  <w:szCs w:val="29"/>
                                </w:rPr>
                                <w:t xml:space="preserve"> </w:t>
                              </w:r>
                              <w:r w:rsidRPr="00CA6567">
                                <w:rPr>
                                  <w:rFonts w:ascii="Arial" w:hAnsi="Arial" w:cs="Arial"/>
                                  <w:color w:val="000000"/>
                                  <w:sz w:val="18"/>
                                  <w:szCs w:val="20"/>
                                </w:rPr>
                                <w:t>40)</w:t>
                              </w:r>
                            </w:p>
                            <w:p w:rsidR="00526280" w:rsidRPr="00CA6567" w:rsidRDefault="00526280" w:rsidP="00CA6567">
                              <w:pPr>
                                <w:rPr>
                                  <w:rFonts w:ascii="Arial" w:hAnsi="Arial" w:cs="Arial"/>
                                  <w:color w:val="000000"/>
                                  <w:sz w:val="18"/>
                                </w:rPr>
                              </w:pPr>
                              <w:r w:rsidRPr="00CA6567">
                                <w:rPr>
                                  <w:rFonts w:ascii="Arial" w:hAnsi="Arial" w:cs="Arial"/>
                                  <w:color w:val="000000"/>
                                  <w:sz w:val="18"/>
                                  <w:szCs w:val="20"/>
                                </w:rPr>
                                <w:t>Non-English (n =</w:t>
                              </w:r>
                              <w:r w:rsidRPr="00E10F30">
                                <w:rPr>
                                  <w:color w:val="404040"/>
                                  <w:sz w:val="29"/>
                                  <w:szCs w:val="29"/>
                                </w:rPr>
                                <w:t xml:space="preserve"> </w:t>
                              </w:r>
                              <w:r w:rsidRPr="00CA6567">
                                <w:rPr>
                                  <w:rFonts w:ascii="Arial" w:hAnsi="Arial" w:cs="Arial"/>
                                  <w:color w:val="000000"/>
                                  <w:sz w:val="18"/>
                                  <w:szCs w:val="20"/>
                                </w:rPr>
                                <w:t>20)</w:t>
                              </w: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Insufficient data (n =</w:t>
                              </w:r>
                              <w:r w:rsidRPr="00E10F30">
                                <w:rPr>
                                  <w:color w:val="404040"/>
                                  <w:sz w:val="29"/>
                                  <w:szCs w:val="29"/>
                                </w:rPr>
                                <w:t xml:space="preserve"> </w:t>
                              </w:r>
                              <w:r w:rsidRPr="00CA6567">
                                <w:rPr>
                                  <w:rFonts w:ascii="Arial" w:hAnsi="Arial" w:cs="Arial"/>
                                  <w:color w:val="000000"/>
                                  <w:sz w:val="18"/>
                                  <w:szCs w:val="20"/>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442752" y="4810125"/>
                            <a:ext cx="1887220" cy="723900"/>
                          </a:xfrm>
                          <a:prstGeom prst="rect">
                            <a:avLst/>
                          </a:prstGeom>
                          <a:no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Studies included in review</w:t>
                              </w: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(n =</w:t>
                              </w:r>
                              <w:r w:rsidRPr="00E10F30">
                                <w:rPr>
                                  <w:color w:val="404040"/>
                                  <w:sz w:val="29"/>
                                  <w:szCs w:val="29"/>
                                </w:rPr>
                                <w:t xml:space="preserve"> </w:t>
                              </w:r>
                              <w:r w:rsidRPr="00CA6567">
                                <w:rPr>
                                  <w:rFonts w:ascii="Arial" w:hAnsi="Arial" w:cs="Arial"/>
                                  <w:color w:val="000000"/>
                                  <w:sz w:val="18"/>
                                  <w:szCs w:val="20"/>
                                </w:rPr>
                                <w:t>172)</w:t>
                              </w: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Reports of included studies</w:t>
                              </w: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(n =</w:t>
                              </w:r>
                              <w:r w:rsidRPr="00A974F1">
                                <w:rPr>
                                  <w:color w:val="404040"/>
                                  <w:sz w:val="29"/>
                                  <w:szCs w:val="29"/>
                                </w:rPr>
                                <w:t xml:space="preserve"> </w:t>
                              </w:r>
                              <w:r w:rsidRPr="00CA6567">
                                <w:rPr>
                                  <w:rFonts w:ascii="Arial" w:hAnsi="Arial" w:cs="Arial"/>
                                  <w:color w:val="000000"/>
                                  <w:sz w:val="18"/>
                                  <w:szCs w:val="20"/>
                                </w:rPr>
                                <w:t>172)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a:off x="2357277" y="952500"/>
                            <a:ext cx="563270" cy="0"/>
                          </a:xfrm>
                          <a:prstGeom prst="straightConnector1">
                            <a:avLst/>
                          </a:prstGeom>
                          <a:noFill/>
                          <a:ln w="6350" cap="flat" cmpd="sng" algn="ctr">
                            <a:solidFill>
                              <a:sysClr val="windowText" lastClr="000000"/>
                            </a:solidFill>
                            <a:prstDash val="solid"/>
                            <a:miter lim="800000"/>
                            <a:tailEnd type="triangle"/>
                          </a:ln>
                          <a:effectLst/>
                        </wps:spPr>
                        <wps:bodyPr/>
                      </wps:wsp>
                      <wps:wsp>
                        <wps:cNvPr id="13" name="Straight Arrow Connector 13"/>
                        <wps:cNvCnPr/>
                        <wps:spPr>
                          <a:xfrm>
                            <a:off x="2357277" y="2124075"/>
                            <a:ext cx="563245" cy="0"/>
                          </a:xfrm>
                          <a:prstGeom prst="straightConnector1">
                            <a:avLst/>
                          </a:prstGeom>
                          <a:noFill/>
                          <a:ln w="6350" cap="flat" cmpd="sng" algn="ctr">
                            <a:solidFill>
                              <a:sysClr val="windowText" lastClr="000000"/>
                            </a:solidFill>
                            <a:prstDash val="solid"/>
                            <a:miter lim="800000"/>
                            <a:tailEnd type="triangle"/>
                          </a:ln>
                          <a:effectLst/>
                        </wps:spPr>
                        <wps:bodyPr/>
                      </wps:wsp>
                      <wps:wsp>
                        <wps:cNvPr id="14" name="Straight Arrow Connector 14"/>
                        <wps:cNvCnPr/>
                        <wps:spPr>
                          <a:xfrm>
                            <a:off x="2366802" y="2971800"/>
                            <a:ext cx="563245" cy="0"/>
                          </a:xfrm>
                          <a:prstGeom prst="straightConnector1">
                            <a:avLst/>
                          </a:prstGeom>
                          <a:noFill/>
                          <a:ln w="6350" cap="flat" cmpd="sng" algn="ctr">
                            <a:solidFill>
                              <a:sysClr val="windowText" lastClr="000000"/>
                            </a:solidFill>
                            <a:prstDash val="solid"/>
                            <a:miter lim="800000"/>
                            <a:tailEnd type="triangle"/>
                          </a:ln>
                          <a:effectLst/>
                        </wps:spPr>
                        <wps:bodyPr/>
                      </wps:wsp>
                      <wps:wsp>
                        <wps:cNvPr id="15" name="Straight Arrow Connector 15"/>
                        <wps:cNvCnPr/>
                        <wps:spPr>
                          <a:xfrm>
                            <a:off x="2376327" y="3800475"/>
                            <a:ext cx="563245" cy="0"/>
                          </a:xfrm>
                          <a:prstGeom prst="straightConnector1">
                            <a:avLst/>
                          </a:prstGeom>
                          <a:noFill/>
                          <a:ln w="6350" cap="flat" cmpd="sng" algn="ctr">
                            <a:solidFill>
                              <a:sysClr val="windowText" lastClr="000000"/>
                            </a:solidFill>
                            <a:prstDash val="solid"/>
                            <a:miter lim="800000"/>
                            <a:tailEnd type="triangle"/>
                          </a:ln>
                          <a:effectLst/>
                        </wps:spPr>
                        <wps:bodyPr/>
                      </wps:wsp>
                      <wps:wsp>
                        <wps:cNvPr id="16" name="Flowchart: Alternate Process 16"/>
                        <wps:cNvSpPr/>
                        <wps:spPr>
                          <a:xfrm>
                            <a:off x="461802" y="0"/>
                            <a:ext cx="4345229" cy="262966"/>
                          </a:xfrm>
                          <a:prstGeom prst="flowChartAlternateProcess">
                            <a:avLst/>
                          </a:prstGeom>
                          <a:solidFill>
                            <a:srgbClr val="FFC000"/>
                          </a:solidFill>
                          <a:ln w="12700" cap="flat" cmpd="sng" algn="ctr">
                            <a:solidFill>
                              <a:srgbClr val="FFC000">
                                <a:shade val="50000"/>
                              </a:srgbClr>
                            </a:solidFill>
                            <a:prstDash val="solid"/>
                            <a:miter lim="800000"/>
                          </a:ln>
                          <a:effectLst/>
                        </wps:spPr>
                        <wps:txbx>
                          <w:txbxContent>
                            <w:p w:rsidR="00526280" w:rsidRPr="00CA6567" w:rsidRDefault="00526280" w:rsidP="00CA6567">
                              <w:pPr>
                                <w:spacing w:after="0" w:line="240" w:lineRule="auto"/>
                                <w:jc w:val="center"/>
                                <w:rPr>
                                  <w:rFonts w:ascii="Arial" w:hAnsi="Arial" w:cs="Arial"/>
                                  <w:b/>
                                  <w:color w:val="000000"/>
                                  <w:sz w:val="18"/>
                                  <w:szCs w:val="18"/>
                                </w:rPr>
                              </w:pPr>
                              <w:r w:rsidRPr="00CA6567">
                                <w:rPr>
                                  <w:rFonts w:ascii="Arial" w:hAnsi="Arial" w:cs="Arial"/>
                                  <w:b/>
                                  <w:color w:val="000000"/>
                                  <w:sz w:val="18"/>
                                  <w:szCs w:val="18"/>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lowchart: Alternate Process 17"/>
                        <wps:cNvSpPr/>
                        <wps:spPr>
                          <a:xfrm rot="16200000">
                            <a:off x="-500223" y="828675"/>
                            <a:ext cx="127698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jc w:val="center"/>
                                <w:rPr>
                                  <w:rFonts w:ascii="Arial" w:hAnsi="Arial" w:cs="Arial"/>
                                  <w:b/>
                                  <w:color w:val="000000"/>
                                  <w:sz w:val="18"/>
                                  <w:szCs w:val="18"/>
                                </w:rPr>
                              </w:pPr>
                              <w:r w:rsidRPr="00CA6567">
                                <w:rPr>
                                  <w:rFonts w:ascii="Arial" w:hAnsi="Arial" w:cs="Arial"/>
                                  <w:b/>
                                  <w:color w:val="000000"/>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Alternate Process 18"/>
                        <wps:cNvSpPr/>
                        <wps:spPr>
                          <a:xfrm rot="16200000">
                            <a:off x="-1262223" y="3124200"/>
                            <a:ext cx="278733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jc w:val="center"/>
                                <w:rPr>
                                  <w:rFonts w:ascii="Arial" w:hAnsi="Arial" w:cs="Arial"/>
                                  <w:b/>
                                  <w:color w:val="000000"/>
                                  <w:sz w:val="18"/>
                                  <w:szCs w:val="18"/>
                                </w:rPr>
                              </w:pPr>
                              <w:r w:rsidRPr="00CA6567">
                                <w:rPr>
                                  <w:rFonts w:ascii="Arial" w:hAnsi="Arial" w:cs="Arial"/>
                                  <w:b/>
                                  <w:color w:val="000000"/>
                                  <w:sz w:val="18"/>
                                  <w:szCs w:val="18"/>
                                </w:rPr>
                                <w:t>Screening</w:t>
                              </w:r>
                            </w:p>
                            <w:p w:rsidR="00526280" w:rsidRPr="00CA6567" w:rsidRDefault="00526280" w:rsidP="00CA6567">
                              <w:pPr>
                                <w:spacing w:after="0" w:line="240" w:lineRule="auto"/>
                                <w:rPr>
                                  <w:rFonts w:ascii="Arial" w:hAnsi="Arial" w:cs="Arial"/>
                                  <w:b/>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rot="16200000">
                            <a:off x="-233523" y="5038725"/>
                            <a:ext cx="764223"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rsidR="00526280" w:rsidRPr="00CA6567" w:rsidRDefault="00526280" w:rsidP="00CA6567">
                              <w:pPr>
                                <w:spacing w:after="0" w:line="240" w:lineRule="auto"/>
                                <w:jc w:val="center"/>
                                <w:rPr>
                                  <w:rFonts w:ascii="Arial" w:hAnsi="Arial" w:cs="Arial"/>
                                  <w:b/>
                                  <w:color w:val="000000"/>
                                  <w:sz w:val="18"/>
                                  <w:szCs w:val="18"/>
                                </w:rPr>
                              </w:pPr>
                              <w:r w:rsidRPr="00CA6567">
                                <w:rPr>
                                  <w:rFonts w:ascii="Arial" w:hAnsi="Arial" w:cs="Arial"/>
                                  <w:b/>
                                  <w:color w:val="000000"/>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wps:spPr>
                          <a:xfrm>
                            <a:off x="1300002" y="2409825"/>
                            <a:ext cx="0" cy="281305"/>
                          </a:xfrm>
                          <a:prstGeom prst="straightConnector1">
                            <a:avLst/>
                          </a:prstGeom>
                          <a:noFill/>
                          <a:ln w="6350" cap="flat" cmpd="sng" algn="ctr">
                            <a:solidFill>
                              <a:sysClr val="windowText" lastClr="000000"/>
                            </a:solidFill>
                            <a:prstDash val="solid"/>
                            <a:miter lim="800000"/>
                            <a:tailEnd type="triangle"/>
                          </a:ln>
                          <a:effectLst/>
                        </wps:spPr>
                        <wps:bodyPr/>
                      </wps:wsp>
                      <wps:wsp>
                        <wps:cNvPr id="21" name="Straight Arrow Connector 21"/>
                        <wps:cNvCnPr/>
                        <wps:spPr>
                          <a:xfrm>
                            <a:off x="1309527" y="3219450"/>
                            <a:ext cx="0" cy="281305"/>
                          </a:xfrm>
                          <a:prstGeom prst="straightConnector1">
                            <a:avLst/>
                          </a:prstGeom>
                          <a:noFill/>
                          <a:ln w="6350" cap="flat" cmpd="sng" algn="ctr">
                            <a:solidFill>
                              <a:sysClr val="windowText" lastClr="000000"/>
                            </a:solidFill>
                            <a:prstDash val="solid"/>
                            <a:miter lim="800000"/>
                            <a:tailEnd type="triangle"/>
                          </a:ln>
                          <a:effectLst/>
                        </wps:spPr>
                        <wps:bodyPr/>
                      </wps:wsp>
                      <wps:wsp>
                        <wps:cNvPr id="22" name="Straight Arrow Connector 22"/>
                        <wps:cNvCnPr/>
                        <wps:spPr>
                          <a:xfrm>
                            <a:off x="1300002" y="4048125"/>
                            <a:ext cx="0" cy="746151"/>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76AE68" id="Group 2" o:spid="_x0000_s1026" style="width:381.45pt;height:437.2pt;mso-position-horizontal-relative:char;mso-position-vertical-relative:line" coordsize="48445,55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">
                <v:rect id="Rectangle 3" o:spid="_x0000_s1027" style="position:absolute;left:4618;top:3429;width:18872;height:12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" filled="f" strokecolor="windowText" strokeweight="1pt">
                  <v:textbox>
                    <w:txbxContent>
                      <w:p w:rsidR="00526280" w:rsidRPr="00CA6567" w:rsidRDefault="00526280" w:rsidP="00CA6567">
                        <w:pPr>
                          <w:spacing w:after="0" w:line="240" w:lineRule="auto"/>
                          <w:rPr>
                            <w:rFonts w:ascii="Arial" w:hAnsi="Arial" w:cs="Arial"/>
                            <w:color w:val="000000"/>
                            <w:sz w:val="18"/>
                            <w:szCs w:val="20"/>
                          </w:rPr>
                        </w:pP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Records identified from*:</w:t>
                        </w:r>
                      </w:p>
                      <w:p w:rsidR="00526280" w:rsidRPr="00CA6567" w:rsidRDefault="00526280" w:rsidP="00CA6567">
                        <w:pPr>
                          <w:ind w:left="284"/>
                          <w:rPr>
                            <w:rFonts w:ascii="Arial" w:hAnsi="Arial" w:cs="Arial"/>
                            <w:color w:val="000000"/>
                            <w:sz w:val="18"/>
                          </w:rPr>
                        </w:pPr>
                        <w:r w:rsidRPr="00CA6567">
                          <w:rPr>
                            <w:rFonts w:ascii="Arial" w:hAnsi="Arial" w:cs="Arial"/>
                            <w:color w:val="000000"/>
                            <w:sz w:val="18"/>
                            <w:szCs w:val="20"/>
                          </w:rPr>
                          <w:t>Databases (n =</w:t>
                        </w:r>
                        <w:r w:rsidRPr="004250D6">
                          <w:rPr>
                            <w:rFonts w:ascii="var(--ds-font-family-code)" w:eastAsia="Times New Roman" w:hAnsi="var(--ds-font-family-code)" w:cs="Courier New"/>
                            <w:color w:val="FFFFFF"/>
                            <w:sz w:val="19"/>
                            <w:szCs w:val="19"/>
                          </w:rPr>
                          <w:t xml:space="preserve"> </w:t>
                        </w:r>
                        <w:r w:rsidRPr="00CA6567">
                          <w:rPr>
                            <w:rFonts w:ascii="Arial" w:hAnsi="Arial" w:cs="Arial"/>
                            <w:color w:val="000000"/>
                            <w:sz w:val="18"/>
                          </w:rPr>
                          <w:t>1,500</w:t>
                        </w:r>
                        <w:r w:rsidRPr="00CA6567">
                          <w:rPr>
                            <w:rFonts w:ascii="Arial" w:hAnsi="Arial" w:cs="Arial"/>
                            <w:color w:val="000000"/>
                            <w:sz w:val="18"/>
                            <w:szCs w:val="20"/>
                          </w:rPr>
                          <w:t>)</w:t>
                        </w:r>
                      </w:p>
                      <w:p w:rsidR="00526280" w:rsidRPr="00CA6567" w:rsidRDefault="00526280" w:rsidP="00CA6567">
                        <w:pPr>
                          <w:spacing w:after="0" w:line="240" w:lineRule="auto"/>
                          <w:ind w:left="284"/>
                          <w:rPr>
                            <w:rFonts w:ascii="Arial" w:hAnsi="Arial" w:cs="Arial"/>
                            <w:color w:val="000000"/>
                            <w:sz w:val="18"/>
                            <w:szCs w:val="20"/>
                          </w:rPr>
                        </w:pPr>
                        <w:r w:rsidRPr="00CA6567">
                          <w:rPr>
                            <w:rFonts w:ascii="Arial" w:hAnsi="Arial" w:cs="Arial"/>
                            <w:color w:val="000000"/>
                            <w:sz w:val="18"/>
                            <w:szCs w:val="20"/>
                          </w:rPr>
                          <w:t>Registers (n = 0)</w:t>
                        </w:r>
                      </w:p>
                      <w:p w:rsidR="00526280" w:rsidRPr="00CA6567" w:rsidRDefault="00526280" w:rsidP="00CA6567">
                        <w:pPr>
                          <w:spacing w:after="0" w:line="240" w:lineRule="auto"/>
                          <w:ind w:left="284"/>
                          <w:rPr>
                            <w:rFonts w:ascii="Arial" w:hAnsi="Arial" w:cs="Arial"/>
                            <w:color w:val="000000"/>
                            <w:sz w:val="18"/>
                            <w:szCs w:val="20"/>
                          </w:rPr>
                        </w:pPr>
                      </w:p>
                      <w:p w:rsidR="00526280" w:rsidRPr="00CA6567" w:rsidRDefault="00526280" w:rsidP="00CA6567">
                        <w:pPr>
                          <w:spacing w:after="0" w:line="240" w:lineRule="auto"/>
                          <w:ind w:left="284"/>
                          <w:rPr>
                            <w:rFonts w:ascii="Arial" w:hAnsi="Arial" w:cs="Arial"/>
                            <w:color w:val="000000"/>
                            <w:sz w:val="18"/>
                            <w:szCs w:val="20"/>
                          </w:rPr>
                        </w:pPr>
                        <w:r w:rsidRPr="00CA6567">
                          <w:rPr>
                            <w:rFonts w:ascii="Arial" w:hAnsi="Arial" w:cs="Arial"/>
                            <w:color w:val="000000"/>
                            <w:sz w:val="18"/>
                            <w:szCs w:val="20"/>
                          </w:rPr>
                          <w:t>Total records identified (n = 1,500)</w:t>
                        </w:r>
                      </w:p>
                      <w:p w:rsidR="00526280" w:rsidRPr="00CA6567" w:rsidRDefault="00526280" w:rsidP="00CA6567">
                        <w:pPr>
                          <w:spacing w:after="0" w:line="240" w:lineRule="auto"/>
                          <w:ind w:left="284"/>
                          <w:rPr>
                            <w:rFonts w:ascii="Arial" w:hAnsi="Arial" w:cs="Arial"/>
                            <w:color w:val="000000"/>
                            <w:sz w:val="18"/>
                            <w:szCs w:val="20"/>
                          </w:rPr>
                        </w:pPr>
                      </w:p>
                    </w:txbxContent>
                  </v:textbox>
                </v:rect>
                <v:rect id="Rectangle 4" o:spid="_x0000_s1028" style="position:absolute;left:29383;top:3429;width:18872;height:12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" filled="f" strokecolor="windowText" strokeweight="1pt">
                  <v:textbo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 xml:space="preserve">Records removed </w:t>
                        </w:r>
                        <w:r w:rsidRPr="00CA6567">
                          <w:rPr>
                            <w:rFonts w:ascii="Arial" w:hAnsi="Arial" w:cs="Arial"/>
                            <w:i/>
                            <w:iCs/>
                            <w:color w:val="000000"/>
                            <w:sz w:val="18"/>
                            <w:szCs w:val="20"/>
                          </w:rPr>
                          <w:t>before screening</w:t>
                        </w:r>
                        <w:r w:rsidRPr="00CA6567">
                          <w:rPr>
                            <w:rFonts w:ascii="Arial" w:hAnsi="Arial" w:cs="Arial"/>
                            <w:color w:val="000000"/>
                            <w:sz w:val="18"/>
                            <w:szCs w:val="20"/>
                          </w:rPr>
                          <w:t>:</w:t>
                        </w:r>
                      </w:p>
                      <w:p w:rsidR="00526280" w:rsidRPr="00CA6567" w:rsidRDefault="00526280" w:rsidP="00CA6567">
                        <w:pPr>
                          <w:ind w:left="284"/>
                          <w:rPr>
                            <w:rFonts w:ascii="Arial" w:hAnsi="Arial" w:cs="Arial"/>
                            <w:color w:val="000000"/>
                            <w:sz w:val="18"/>
                          </w:rPr>
                        </w:pPr>
                        <w:r w:rsidRPr="00CA6567">
                          <w:rPr>
                            <w:rFonts w:ascii="Arial" w:hAnsi="Arial" w:cs="Arial"/>
                            <w:color w:val="000000"/>
                            <w:sz w:val="18"/>
                            <w:szCs w:val="20"/>
                          </w:rPr>
                          <w:t xml:space="preserve">Duplicate records removed (n = </w:t>
                        </w:r>
                        <w:r w:rsidRPr="00CA6567">
                          <w:rPr>
                            <w:rFonts w:ascii="Arial" w:hAnsi="Arial" w:cs="Arial"/>
                            <w:color w:val="000000"/>
                            <w:sz w:val="18"/>
                          </w:rPr>
                          <w:t>350</w:t>
                        </w:r>
                        <w:r w:rsidRPr="00CA6567">
                          <w:rPr>
                            <w:rFonts w:ascii="Arial" w:hAnsi="Arial" w:cs="Arial"/>
                            <w:color w:val="000000"/>
                            <w:sz w:val="18"/>
                            <w:szCs w:val="20"/>
                          </w:rPr>
                          <w:t>)</w:t>
                        </w:r>
                      </w:p>
                      <w:p w:rsidR="00526280" w:rsidRPr="00CA6567" w:rsidRDefault="00526280" w:rsidP="00CA6567">
                        <w:pPr>
                          <w:spacing w:after="0" w:line="240" w:lineRule="auto"/>
                          <w:ind w:left="284"/>
                          <w:rPr>
                            <w:rFonts w:ascii="Arial" w:hAnsi="Arial" w:cs="Arial"/>
                            <w:color w:val="000000"/>
                            <w:sz w:val="18"/>
                            <w:szCs w:val="20"/>
                          </w:rPr>
                        </w:pPr>
                        <w:r w:rsidRPr="00CA6567">
                          <w:rPr>
                            <w:rFonts w:ascii="Arial" w:hAnsi="Arial" w:cs="Arial"/>
                            <w:color w:val="000000"/>
                            <w:sz w:val="18"/>
                            <w:szCs w:val="20"/>
                          </w:rPr>
                          <w:t>Records marked as ineligible by automation tools (n = 0)</w:t>
                        </w:r>
                      </w:p>
                      <w:p w:rsidR="00526280" w:rsidRPr="00CA6567" w:rsidRDefault="00526280" w:rsidP="00CA6567">
                        <w:pPr>
                          <w:spacing w:after="0" w:line="240" w:lineRule="auto"/>
                          <w:ind w:left="284"/>
                          <w:rPr>
                            <w:rFonts w:ascii="Arial" w:hAnsi="Arial" w:cs="Arial"/>
                            <w:color w:val="000000"/>
                            <w:sz w:val="18"/>
                            <w:szCs w:val="20"/>
                          </w:rPr>
                        </w:pPr>
                        <w:r w:rsidRPr="00CA6567">
                          <w:rPr>
                            <w:rFonts w:ascii="Arial" w:hAnsi="Arial" w:cs="Arial"/>
                            <w:color w:val="000000"/>
                            <w:sz w:val="18"/>
                            <w:szCs w:val="20"/>
                          </w:rPr>
                          <w:t>Records removed for other reasons (n = 0)</w:t>
                        </w:r>
                      </w:p>
                    </w:txbxContent>
                  </v:textbox>
                </v:rect>
                <v:rect id="Rectangle 5" o:spid="_x0000_s1029" style="position:absolute;left:4618;top:18764;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" filled="f" strokecolor="windowText" strokeweight="1pt">
                  <v:textbo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Records screened</w:t>
                        </w:r>
                      </w:p>
                      <w:p w:rsidR="00526280" w:rsidRPr="00CA6567" w:rsidRDefault="00526280" w:rsidP="00CA6567">
                        <w:pPr>
                          <w:rPr>
                            <w:rFonts w:ascii="Arial" w:hAnsi="Arial" w:cs="Arial"/>
                            <w:color w:val="000000"/>
                            <w:sz w:val="18"/>
                          </w:rPr>
                        </w:pPr>
                        <w:r w:rsidRPr="00CA6567">
                          <w:rPr>
                            <w:rFonts w:ascii="Arial" w:hAnsi="Arial" w:cs="Arial"/>
                            <w:color w:val="000000"/>
                            <w:sz w:val="18"/>
                            <w:szCs w:val="20"/>
                          </w:rPr>
                          <w:t>(n =</w:t>
                        </w:r>
                        <w:r w:rsidRPr="00D727E4">
                          <w:rPr>
                            <w:rFonts w:ascii="var(--ds-font-family-code)" w:eastAsia="Times New Roman" w:hAnsi="var(--ds-font-family-code)" w:cs="Courier New"/>
                            <w:color w:val="FFFFFF"/>
                            <w:sz w:val="19"/>
                            <w:szCs w:val="19"/>
                          </w:rPr>
                          <w:t xml:space="preserve"> </w:t>
                        </w:r>
                        <w:r w:rsidRPr="00CA6567">
                          <w:rPr>
                            <w:rFonts w:ascii="Arial" w:hAnsi="Arial" w:cs="Arial"/>
                            <w:color w:val="000000"/>
                            <w:sz w:val="18"/>
                          </w:rPr>
                          <w:t>1,200</w:t>
                        </w:r>
                        <w:r w:rsidRPr="00CA6567">
                          <w:rPr>
                            <w:rFonts w:ascii="Arial" w:hAnsi="Arial" w:cs="Arial"/>
                            <w:color w:val="000000"/>
                            <w:sz w:val="18"/>
                            <w:szCs w:val="20"/>
                          </w:rPr>
                          <w:t>)</w:t>
                        </w:r>
                      </w:p>
                    </w:txbxContent>
                  </v:textbox>
                </v:rect>
                <v:rect id="Rectangle 6" o:spid="_x0000_s1030" style="position:absolute;left:29478;top:18764;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" filled="f" strokecolor="windowText" strokeweight="1pt">
                  <v:textbo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Records excluded**</w:t>
                        </w:r>
                      </w:p>
                      <w:p w:rsidR="00526280" w:rsidRPr="00CA6567" w:rsidRDefault="00526280" w:rsidP="00CA6567">
                        <w:pPr>
                          <w:rPr>
                            <w:rFonts w:ascii="Arial" w:hAnsi="Arial" w:cs="Arial"/>
                            <w:color w:val="000000"/>
                            <w:sz w:val="18"/>
                          </w:rPr>
                        </w:pPr>
                        <w:r w:rsidRPr="00CA6567">
                          <w:rPr>
                            <w:rFonts w:ascii="Arial" w:hAnsi="Arial" w:cs="Arial"/>
                            <w:color w:val="000000"/>
                            <w:sz w:val="18"/>
                            <w:szCs w:val="20"/>
                          </w:rPr>
                          <w:t>(n =</w:t>
                        </w:r>
                        <w:r w:rsidRPr="00D727E4">
                          <w:rPr>
                            <w:rFonts w:ascii="var(--ds-font-family-code)" w:eastAsia="Times New Roman" w:hAnsi="var(--ds-font-family-code)" w:cs="Courier New"/>
                            <w:color w:val="FFFFFF"/>
                            <w:sz w:val="19"/>
                            <w:szCs w:val="19"/>
                          </w:rPr>
                          <w:t xml:space="preserve"> </w:t>
                        </w:r>
                        <w:r w:rsidRPr="00CA6567">
                          <w:rPr>
                            <w:rFonts w:ascii="Arial" w:hAnsi="Arial" w:cs="Arial"/>
                            <w:color w:val="000000"/>
                            <w:sz w:val="18"/>
                          </w:rPr>
                          <w:t>952</w:t>
                        </w:r>
                        <w:r w:rsidRPr="00CA6567">
                          <w:rPr>
                            <w:rFonts w:ascii="Arial" w:hAnsi="Arial" w:cs="Arial"/>
                            <w:color w:val="000000"/>
                            <w:sz w:val="18"/>
                            <w:szCs w:val="20"/>
                          </w:rPr>
                          <w:t>)</w:t>
                        </w:r>
                      </w:p>
                    </w:txbxContent>
                  </v:textbox>
                </v:rect>
                <v:rect id="Rectangle 7" o:spid="_x0000_s1031" style="position:absolute;left:4618;top:26955;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" filled="f" strokecolor="windowText" strokeweight="1pt">
                  <v:textbo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Reports sought for retrieval</w:t>
                        </w:r>
                      </w:p>
                      <w:p w:rsidR="00526280" w:rsidRPr="00CA6567" w:rsidRDefault="00526280" w:rsidP="00CA6567">
                        <w:pPr>
                          <w:rPr>
                            <w:rFonts w:ascii="Arial" w:hAnsi="Arial" w:cs="Arial"/>
                            <w:color w:val="000000"/>
                            <w:sz w:val="18"/>
                          </w:rPr>
                        </w:pPr>
                        <w:r w:rsidRPr="00CA6567">
                          <w:rPr>
                            <w:rFonts w:ascii="Arial" w:hAnsi="Arial" w:cs="Arial"/>
                            <w:color w:val="000000"/>
                            <w:sz w:val="18"/>
                            <w:szCs w:val="20"/>
                          </w:rPr>
                          <w:t>(n =</w:t>
                        </w:r>
                        <w:r w:rsidRPr="00D727E4">
                          <w:rPr>
                            <w:rFonts w:ascii="var(--ds-font-family-code)" w:eastAsia="Times New Roman" w:hAnsi="var(--ds-font-family-code)" w:cs="Courier New"/>
                            <w:color w:val="FFFFFF"/>
                            <w:sz w:val="19"/>
                            <w:szCs w:val="19"/>
                          </w:rPr>
                          <w:t xml:space="preserve"> </w:t>
                        </w:r>
                        <w:r w:rsidRPr="00CA6567">
                          <w:rPr>
                            <w:rFonts w:ascii="Arial" w:hAnsi="Arial" w:cs="Arial"/>
                            <w:color w:val="000000"/>
                            <w:sz w:val="18"/>
                          </w:rPr>
                          <w:t>248</w:t>
                        </w:r>
                        <w:r w:rsidRPr="00CA6567">
                          <w:rPr>
                            <w:rFonts w:ascii="Arial" w:hAnsi="Arial" w:cs="Arial"/>
                            <w:color w:val="000000"/>
                            <w:sz w:val="18"/>
                            <w:szCs w:val="20"/>
                          </w:rPr>
                          <w:t>)</w:t>
                        </w:r>
                      </w:p>
                    </w:txbxContent>
                  </v:textbox>
                </v:rect>
                <v:rect id="Rectangle 8" o:spid="_x0000_s1032" style="position:absolute;left:29478;top:27146;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" filled="f" strokecolor="windowText" strokeweight="1pt">
                  <v:textbo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Reports not retrieved</w:t>
                        </w: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(n =0)</w:t>
                        </w:r>
                      </w:p>
                    </w:txbxContent>
                  </v:textbox>
                </v:rect>
                <v:rect id="Rectangle 9" o:spid="_x0000_s1033" style="position:absolute;left:4618;top:35147;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" filled="f" strokecolor="windowText" strokeweight="1pt">
                  <v:textbo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Reports assessed for eligibility</w:t>
                        </w:r>
                      </w:p>
                      <w:p w:rsidR="00526280" w:rsidRPr="00CA6567" w:rsidRDefault="00526280" w:rsidP="00CA6567">
                        <w:pPr>
                          <w:rPr>
                            <w:rFonts w:ascii="Arial" w:hAnsi="Arial" w:cs="Arial"/>
                            <w:color w:val="000000"/>
                            <w:sz w:val="18"/>
                          </w:rPr>
                        </w:pPr>
                        <w:r w:rsidRPr="00CA6567">
                          <w:rPr>
                            <w:rFonts w:ascii="Arial" w:hAnsi="Arial" w:cs="Arial"/>
                            <w:color w:val="000000"/>
                            <w:sz w:val="18"/>
                            <w:szCs w:val="20"/>
                          </w:rPr>
                          <w:t>(n =</w:t>
                        </w:r>
                        <w:r w:rsidRPr="00D727E4">
                          <w:rPr>
                            <w:rFonts w:ascii="var(--ds-font-family-code)" w:eastAsia="Times New Roman" w:hAnsi="var(--ds-font-family-code)" w:cs="Courier New"/>
                            <w:color w:val="FFFFFF"/>
                            <w:sz w:val="19"/>
                            <w:szCs w:val="19"/>
                          </w:rPr>
                          <w:t xml:space="preserve"> </w:t>
                        </w:r>
                        <w:r w:rsidRPr="00CA6567">
                          <w:rPr>
                            <w:rFonts w:ascii="Arial" w:hAnsi="Arial" w:cs="Arial"/>
                            <w:color w:val="000000"/>
                            <w:sz w:val="18"/>
                          </w:rPr>
                          <w:t>248</w:t>
                        </w:r>
                        <w:r w:rsidRPr="00CA6567">
                          <w:rPr>
                            <w:rFonts w:ascii="Arial" w:hAnsi="Arial" w:cs="Arial"/>
                            <w:color w:val="000000"/>
                            <w:sz w:val="18"/>
                            <w:szCs w:val="20"/>
                          </w:rPr>
                          <w:t>)</w:t>
                        </w:r>
                      </w:p>
                    </w:txbxContent>
                  </v:textbox>
                </v:rect>
                <v:rect id="Rectangle 10" o:spid="_x0000_s1034" style="position:absolute;left:29573;top:35147;width:18872;height:1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" filled="f" strokecolor="windowText" strokeweight="1pt">
                  <v:textbo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bCs/>
                            <w:color w:val="000000"/>
                            <w:sz w:val="18"/>
                            <w:szCs w:val="20"/>
                          </w:rPr>
                          <w:t>Reports excluded</w:t>
                        </w:r>
                        <w:r w:rsidRPr="00CA6567">
                          <w:rPr>
                            <w:rFonts w:ascii="Arial" w:hAnsi="Arial" w:cs="Arial"/>
                            <w:color w:val="000000"/>
                            <w:sz w:val="18"/>
                            <w:szCs w:val="20"/>
                          </w:rPr>
                          <w:t>: n =76</w:t>
                        </w:r>
                      </w:p>
                      <w:p w:rsidR="00526280" w:rsidRPr="00CA6567" w:rsidRDefault="00526280" w:rsidP="00CA6567">
                        <w:pPr>
                          <w:spacing w:after="0" w:line="240" w:lineRule="auto"/>
                          <w:rPr>
                            <w:rFonts w:ascii="Arial" w:hAnsi="Arial" w:cs="Arial"/>
                            <w:color w:val="000000"/>
                            <w:sz w:val="18"/>
                            <w:szCs w:val="20"/>
                          </w:rPr>
                        </w:pP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Reports excluded:</w:t>
                        </w:r>
                      </w:p>
                      <w:p w:rsidR="00526280" w:rsidRPr="00CA6567" w:rsidRDefault="00526280" w:rsidP="00CA6567">
                        <w:pPr>
                          <w:spacing w:after="0" w:line="240" w:lineRule="auto"/>
                          <w:rPr>
                            <w:rFonts w:ascii="Arial" w:hAnsi="Arial" w:cs="Arial"/>
                            <w:color w:val="000000"/>
                            <w:sz w:val="18"/>
                            <w:szCs w:val="20"/>
                          </w:rPr>
                        </w:pPr>
                      </w:p>
                      <w:p w:rsidR="00526280" w:rsidRPr="00CA6567" w:rsidRDefault="00526280" w:rsidP="00CA6567">
                        <w:pPr>
                          <w:rPr>
                            <w:rFonts w:ascii="Arial" w:hAnsi="Arial" w:cs="Arial"/>
                            <w:color w:val="000000"/>
                            <w:sz w:val="18"/>
                          </w:rPr>
                        </w:pPr>
                        <w:r w:rsidRPr="00A974F1">
                          <w:rPr>
                            <w:rFonts w:ascii="var(--ds-font-family-code)" w:eastAsia="Times New Roman" w:hAnsi="var(--ds-font-family-code)" w:cs="Courier New"/>
                            <w:color w:val="FFFFFF"/>
                            <w:sz w:val="19"/>
                            <w:szCs w:val="19"/>
                          </w:rPr>
                          <w:t xml:space="preserve"> </w:t>
                        </w:r>
                        <w:proofErr w:type="spellStart"/>
                        <w:r w:rsidRPr="00CA6567">
                          <w:rPr>
                            <w:rFonts w:ascii="Arial" w:hAnsi="Arial" w:cs="Arial"/>
                            <w:color w:val="000000"/>
                            <w:sz w:val="18"/>
                          </w:rPr>
                          <w:t>Macroplastic</w:t>
                        </w:r>
                        <w:proofErr w:type="spellEnd"/>
                        <w:r w:rsidRPr="00CA6567">
                          <w:rPr>
                            <w:rFonts w:ascii="Arial" w:hAnsi="Arial" w:cs="Arial"/>
                            <w:color w:val="000000"/>
                            <w:sz w:val="18"/>
                          </w:rPr>
                          <w:t xml:space="preserve"> focus </w:t>
                        </w:r>
                        <w:r w:rsidRPr="00CA6567">
                          <w:rPr>
                            <w:rFonts w:ascii="Arial" w:hAnsi="Arial" w:cs="Arial"/>
                            <w:color w:val="000000"/>
                            <w:sz w:val="18"/>
                            <w:szCs w:val="20"/>
                          </w:rPr>
                          <w:t>(n =</w:t>
                        </w:r>
                        <w:r w:rsidRPr="00E10F30">
                          <w:rPr>
                            <w:color w:val="404040"/>
                            <w:sz w:val="29"/>
                            <w:szCs w:val="29"/>
                          </w:rPr>
                          <w:t xml:space="preserve"> </w:t>
                        </w:r>
                        <w:r w:rsidRPr="00CA6567">
                          <w:rPr>
                            <w:rFonts w:ascii="Arial" w:hAnsi="Arial" w:cs="Arial"/>
                            <w:color w:val="000000"/>
                            <w:sz w:val="18"/>
                            <w:szCs w:val="20"/>
                          </w:rPr>
                          <w:t>40)</w:t>
                        </w:r>
                      </w:p>
                      <w:p w:rsidR="00526280" w:rsidRPr="00CA6567" w:rsidRDefault="00526280" w:rsidP="00CA6567">
                        <w:pPr>
                          <w:rPr>
                            <w:rFonts w:ascii="Arial" w:hAnsi="Arial" w:cs="Arial"/>
                            <w:color w:val="000000"/>
                            <w:sz w:val="18"/>
                          </w:rPr>
                        </w:pPr>
                        <w:r w:rsidRPr="00CA6567">
                          <w:rPr>
                            <w:rFonts w:ascii="Arial" w:hAnsi="Arial" w:cs="Arial"/>
                            <w:color w:val="000000"/>
                            <w:sz w:val="18"/>
                            <w:szCs w:val="20"/>
                          </w:rPr>
                          <w:t>Non-English (n =</w:t>
                        </w:r>
                        <w:r w:rsidRPr="00E10F30">
                          <w:rPr>
                            <w:color w:val="404040"/>
                            <w:sz w:val="29"/>
                            <w:szCs w:val="29"/>
                          </w:rPr>
                          <w:t xml:space="preserve"> </w:t>
                        </w:r>
                        <w:r w:rsidRPr="00CA6567">
                          <w:rPr>
                            <w:rFonts w:ascii="Arial" w:hAnsi="Arial" w:cs="Arial"/>
                            <w:color w:val="000000"/>
                            <w:sz w:val="18"/>
                            <w:szCs w:val="20"/>
                          </w:rPr>
                          <w:t>20)</w:t>
                        </w: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Insufficient data (n =</w:t>
                        </w:r>
                        <w:r w:rsidRPr="00E10F30">
                          <w:rPr>
                            <w:color w:val="404040"/>
                            <w:sz w:val="29"/>
                            <w:szCs w:val="29"/>
                          </w:rPr>
                          <w:t xml:space="preserve"> </w:t>
                        </w:r>
                        <w:r w:rsidRPr="00CA6567">
                          <w:rPr>
                            <w:rFonts w:ascii="Arial" w:hAnsi="Arial" w:cs="Arial"/>
                            <w:color w:val="000000"/>
                            <w:sz w:val="18"/>
                            <w:szCs w:val="20"/>
                          </w:rPr>
                          <w:t>16)</w:t>
                        </w:r>
                      </w:p>
                    </w:txbxContent>
                  </v:textbox>
                </v:rect>
                <v:rect id="Rectangle 11" o:spid="_x0000_s1035" style="position:absolute;left:4427;top:48101;width:18872;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" filled="f" strokecolor="windowText" strokeweight="1pt">
                  <v:textbox>
                    <w:txbxContent>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Studies included in review</w:t>
                        </w: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(n =</w:t>
                        </w:r>
                        <w:r w:rsidRPr="00E10F30">
                          <w:rPr>
                            <w:color w:val="404040"/>
                            <w:sz w:val="29"/>
                            <w:szCs w:val="29"/>
                          </w:rPr>
                          <w:t xml:space="preserve"> </w:t>
                        </w:r>
                        <w:r w:rsidRPr="00CA6567">
                          <w:rPr>
                            <w:rFonts w:ascii="Arial" w:hAnsi="Arial" w:cs="Arial"/>
                            <w:color w:val="000000"/>
                            <w:sz w:val="18"/>
                            <w:szCs w:val="20"/>
                          </w:rPr>
                          <w:t>172)</w:t>
                        </w: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Reports of included studies</w:t>
                        </w:r>
                      </w:p>
                      <w:p w:rsidR="00526280" w:rsidRPr="00CA6567" w:rsidRDefault="00526280" w:rsidP="00CA6567">
                        <w:pPr>
                          <w:spacing w:after="0" w:line="240" w:lineRule="auto"/>
                          <w:rPr>
                            <w:rFonts w:ascii="Arial" w:hAnsi="Arial" w:cs="Arial"/>
                            <w:color w:val="000000"/>
                            <w:sz w:val="18"/>
                            <w:szCs w:val="20"/>
                          </w:rPr>
                        </w:pPr>
                        <w:r w:rsidRPr="00CA6567">
                          <w:rPr>
                            <w:rFonts w:ascii="Arial" w:hAnsi="Arial" w:cs="Arial"/>
                            <w:color w:val="000000"/>
                            <w:sz w:val="18"/>
                            <w:szCs w:val="20"/>
                          </w:rPr>
                          <w:t>(n =</w:t>
                        </w:r>
                        <w:r w:rsidRPr="00A974F1">
                          <w:rPr>
                            <w:color w:val="404040"/>
                            <w:sz w:val="29"/>
                            <w:szCs w:val="29"/>
                          </w:rPr>
                          <w:t xml:space="preserve"> </w:t>
                        </w:r>
                        <w:r w:rsidRPr="00CA6567">
                          <w:rPr>
                            <w:rFonts w:ascii="Arial" w:hAnsi="Arial" w:cs="Arial"/>
                            <w:color w:val="000000"/>
                            <w:sz w:val="18"/>
                            <w:szCs w:val="20"/>
                          </w:rPr>
                          <w:t>172)</w:t>
                        </w:r>
                      </w:p>
                    </w:txbxContent>
                  </v:textbox>
                </v:rect>
                <v:shapetype id="_x0000_t32" coordsize="21600,21600" o:spt="32" o:oned="t" path="m,l21600,21600e" filled="f">
                  <v:path arrowok="t" fillok="f" o:connecttype="none"/>
                  <o:lock v:ext="edit" shapetype="t"/>
                </v:shapetype>
                <v:shape id="Straight Arrow Connector 12" o:spid="_x0000_s1036" type="#_x0000_t32" style="position:absolute;left:23572;top:9525;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" strokecolor="windowText" strokeweight=".5pt">
                  <v:stroke endarrow="block" joinstyle="miter"/>
                </v:shape>
                <v:shape id="Straight Arrow Connector 13" o:spid="_x0000_s1037" type="#_x0000_t32" style="position:absolute;left:23572;top:21240;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" strokecolor="windowText" strokeweight=".5pt">
                  <v:stroke endarrow="block" joinstyle="miter"/>
                </v:shape>
                <v:shape id="Straight Arrow Connector 14" o:spid="_x0000_s1038" type="#_x0000_t32" style="position:absolute;left:23668;top:29718;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" strokecolor="windowText" strokeweight=".5pt">
                  <v:stroke endarrow="block" joinstyle="miter"/>
                </v:shape>
                <v:shape id="Straight Arrow Connector 15" o:spid="_x0000_s1039" type="#_x0000_t32" style="position:absolute;left:23763;top:38004;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" strokecolor="windowText" strokeweight=".5pt">
                  <v:stroke endarrow="block" joinstyle="miter"/>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40" type="#_x0000_t176" style="position:absolute;left:4618;width:43452;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" fillcolor="#ffc000" strokecolor="#bc8c00" strokeweight="1pt">
                  <v:textbox>
                    <w:txbxContent>
                      <w:p w:rsidR="00526280" w:rsidRPr="00CA6567" w:rsidRDefault="00526280" w:rsidP="00CA6567">
                        <w:pPr>
                          <w:spacing w:after="0" w:line="240" w:lineRule="auto"/>
                          <w:jc w:val="center"/>
                          <w:rPr>
                            <w:rFonts w:ascii="Arial" w:hAnsi="Arial" w:cs="Arial"/>
                            <w:b/>
                            <w:color w:val="000000"/>
                            <w:sz w:val="18"/>
                            <w:szCs w:val="18"/>
                          </w:rPr>
                        </w:pPr>
                        <w:r w:rsidRPr="00CA6567">
                          <w:rPr>
                            <w:rFonts w:ascii="Arial" w:hAnsi="Arial" w:cs="Arial"/>
                            <w:b/>
                            <w:color w:val="000000"/>
                            <w:sz w:val="18"/>
                            <w:szCs w:val="18"/>
                          </w:rPr>
                          <w:t>Identification of studies via databases and registers</w:t>
                        </w:r>
                      </w:p>
                    </w:txbxContent>
                  </v:textbox>
                </v:shape>
                <v:shape id="Flowchart: Alternate Process 17" o:spid="_x0000_s1041" type="#_x0000_t176" style="position:absolute;left:-5002;top:8286;width:12770;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" fillcolor="#9dc3e6" strokecolor="windowText" strokeweight="1pt">
                  <v:textbox>
                    <w:txbxContent>
                      <w:p w:rsidR="00526280" w:rsidRPr="00CA6567" w:rsidRDefault="00526280" w:rsidP="00CA6567">
                        <w:pPr>
                          <w:spacing w:after="0" w:line="240" w:lineRule="auto"/>
                          <w:jc w:val="center"/>
                          <w:rPr>
                            <w:rFonts w:ascii="Arial" w:hAnsi="Arial" w:cs="Arial"/>
                            <w:b/>
                            <w:color w:val="000000"/>
                            <w:sz w:val="18"/>
                            <w:szCs w:val="18"/>
                          </w:rPr>
                        </w:pPr>
                        <w:r w:rsidRPr="00CA6567">
                          <w:rPr>
                            <w:rFonts w:ascii="Arial" w:hAnsi="Arial" w:cs="Arial"/>
                            <w:b/>
                            <w:color w:val="000000"/>
                            <w:sz w:val="18"/>
                            <w:szCs w:val="18"/>
                          </w:rPr>
                          <w:t>Identification</w:t>
                        </w:r>
                      </w:p>
                    </w:txbxContent>
                  </v:textbox>
                </v:shape>
                <v:shape id="Flowchart: Alternate Process 18" o:spid="_x0000_s1042" type="#_x0000_t176" style="position:absolute;left:-12623;top:31242;width:27874;height:26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" fillcolor="#9dc3e6" strokecolor="windowText" strokeweight="1pt">
                  <v:textbox>
                    <w:txbxContent>
                      <w:p w:rsidR="00526280" w:rsidRPr="00CA6567" w:rsidRDefault="00526280" w:rsidP="00CA6567">
                        <w:pPr>
                          <w:spacing w:after="0" w:line="240" w:lineRule="auto"/>
                          <w:jc w:val="center"/>
                          <w:rPr>
                            <w:rFonts w:ascii="Arial" w:hAnsi="Arial" w:cs="Arial"/>
                            <w:b/>
                            <w:color w:val="000000"/>
                            <w:sz w:val="18"/>
                            <w:szCs w:val="18"/>
                          </w:rPr>
                        </w:pPr>
                        <w:r w:rsidRPr="00CA6567">
                          <w:rPr>
                            <w:rFonts w:ascii="Arial" w:hAnsi="Arial" w:cs="Arial"/>
                            <w:b/>
                            <w:color w:val="000000"/>
                            <w:sz w:val="18"/>
                            <w:szCs w:val="18"/>
                          </w:rPr>
                          <w:t>Screening</w:t>
                        </w:r>
                      </w:p>
                      <w:p w:rsidR="00526280" w:rsidRPr="00CA6567" w:rsidRDefault="00526280" w:rsidP="00CA6567">
                        <w:pPr>
                          <w:spacing w:after="0" w:line="240" w:lineRule="auto"/>
                          <w:rPr>
                            <w:rFonts w:ascii="Arial" w:hAnsi="Arial" w:cs="Arial"/>
                            <w:b/>
                            <w:color w:val="000000"/>
                            <w:sz w:val="18"/>
                            <w:szCs w:val="18"/>
                          </w:rPr>
                        </w:pPr>
                      </w:p>
                    </w:txbxContent>
                  </v:textbox>
                </v:shape>
                <v:shape id="Flowchart: Alternate Process 19" o:spid="_x0000_s1043" type="#_x0000_t176" style="position:absolute;left:-2335;top:50386;width:7642;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" fillcolor="#9dc3e6" strokecolor="windowText" strokeweight="1pt">
                  <v:textbox>
                    <w:txbxContent>
                      <w:p w:rsidR="00526280" w:rsidRPr="00CA6567" w:rsidRDefault="00526280" w:rsidP="00CA6567">
                        <w:pPr>
                          <w:spacing w:after="0" w:line="240" w:lineRule="auto"/>
                          <w:jc w:val="center"/>
                          <w:rPr>
                            <w:rFonts w:ascii="Arial" w:hAnsi="Arial" w:cs="Arial"/>
                            <w:b/>
                            <w:color w:val="000000"/>
                            <w:sz w:val="18"/>
                            <w:szCs w:val="18"/>
                          </w:rPr>
                        </w:pPr>
                        <w:r w:rsidRPr="00CA6567">
                          <w:rPr>
                            <w:rFonts w:ascii="Arial" w:hAnsi="Arial" w:cs="Arial"/>
                            <w:b/>
                            <w:color w:val="000000"/>
                            <w:sz w:val="18"/>
                            <w:szCs w:val="18"/>
                          </w:rPr>
                          <w:t>Included</w:t>
                        </w:r>
                      </w:p>
                    </w:txbxContent>
                  </v:textbox>
                </v:shape>
                <v:shape id="Straight Arrow Connector 20" o:spid="_x0000_s1044" type="#_x0000_t32" style="position:absolute;left:13000;top:24098;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" strokecolor="windowText" strokeweight=".5pt">
                  <v:stroke endarrow="block" joinstyle="miter"/>
                </v:shape>
                <v:shape id="Straight Arrow Connector 21" o:spid="_x0000_s1045" type="#_x0000_t32" style="position:absolute;left:13095;top:32194;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" strokecolor="windowText" strokeweight=".5pt">
                  <v:stroke endarrow="block" joinstyle="miter"/>
                </v:shape>
                <v:shape id="Straight Arrow Connector 22" o:spid="_x0000_s1046" type="#_x0000_t32" style="position:absolute;left:13000;top:40481;width:0;height:7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" strokecolor="windowText" strokeweight=".5pt">
                  <v:stroke endarrow="block" joinstyle="miter"/>
                </v:shape>
                <w10:anchorlock/>
              </v:group>
            </w:pict>
          </mc:Fallback>
        </mc:AlternateContent>
      </w:r>
    </w:p>
    <w:p w:rsidR="006747CB" w:rsidRPr="008C6BF9" w:rsidRDefault="00CA6567" w:rsidP="00CA6567">
      <w:pPr>
        <w:pStyle w:val="Caption"/>
        <w:jc w:val="both"/>
        <w:rPr>
          <w:rFonts w:ascii="Times New Roman" w:hAnsi="Times New Roman" w:cs="Times New Roman"/>
          <w:i w:val="0"/>
          <w:color w:val="auto"/>
          <w:sz w:val="20"/>
          <w:szCs w:val="20"/>
        </w:rPr>
      </w:pPr>
      <w:r w:rsidRPr="008C6BF9">
        <w:rPr>
          <w:rFonts w:ascii="Times New Roman" w:hAnsi="Times New Roman" w:cs="Times New Roman"/>
          <w:b/>
          <w:i w:val="0"/>
          <w:color w:val="auto"/>
          <w:sz w:val="20"/>
          <w:szCs w:val="20"/>
        </w:rPr>
        <w:t xml:space="preserve">Figure </w:t>
      </w:r>
      <w:r w:rsidR="009B133A">
        <w:rPr>
          <w:rFonts w:ascii="Times New Roman" w:hAnsi="Times New Roman" w:cs="Times New Roman"/>
          <w:b/>
          <w:i w:val="0"/>
          <w:color w:val="auto"/>
          <w:sz w:val="20"/>
          <w:szCs w:val="20"/>
        </w:rPr>
        <w:t>S</w:t>
      </w:r>
      <w:r w:rsidRPr="008C6BF9">
        <w:rPr>
          <w:rFonts w:ascii="Times New Roman" w:hAnsi="Times New Roman" w:cs="Times New Roman"/>
          <w:b/>
          <w:i w:val="0"/>
          <w:color w:val="auto"/>
          <w:sz w:val="20"/>
          <w:szCs w:val="20"/>
        </w:rPr>
        <w:fldChar w:fldCharType="begin"/>
      </w:r>
      <w:r w:rsidRPr="008C6BF9">
        <w:rPr>
          <w:rFonts w:ascii="Times New Roman" w:hAnsi="Times New Roman" w:cs="Times New Roman"/>
          <w:b/>
          <w:i w:val="0"/>
          <w:color w:val="auto"/>
          <w:sz w:val="20"/>
          <w:szCs w:val="20"/>
        </w:rPr>
        <w:instrText xml:space="preserve"> SEQ Figure \* ARABIC </w:instrText>
      </w:r>
      <w:r w:rsidRPr="008C6BF9">
        <w:rPr>
          <w:rFonts w:ascii="Times New Roman" w:hAnsi="Times New Roman" w:cs="Times New Roman"/>
          <w:b/>
          <w:i w:val="0"/>
          <w:color w:val="auto"/>
          <w:sz w:val="20"/>
          <w:szCs w:val="20"/>
        </w:rPr>
        <w:fldChar w:fldCharType="separate"/>
      </w:r>
      <w:r w:rsidRPr="008C6BF9">
        <w:rPr>
          <w:rFonts w:ascii="Times New Roman" w:hAnsi="Times New Roman" w:cs="Times New Roman"/>
          <w:b/>
          <w:i w:val="0"/>
          <w:noProof/>
          <w:color w:val="auto"/>
          <w:sz w:val="20"/>
          <w:szCs w:val="20"/>
        </w:rPr>
        <w:t>1</w:t>
      </w:r>
      <w:r w:rsidRPr="008C6BF9">
        <w:rPr>
          <w:rFonts w:ascii="Times New Roman" w:hAnsi="Times New Roman" w:cs="Times New Roman"/>
          <w:b/>
          <w:i w:val="0"/>
          <w:color w:val="auto"/>
          <w:sz w:val="20"/>
          <w:szCs w:val="20"/>
        </w:rPr>
        <w:fldChar w:fldCharType="end"/>
      </w:r>
      <w:r w:rsidRPr="008C6BF9">
        <w:rPr>
          <w:rFonts w:ascii="Times New Roman" w:hAnsi="Times New Roman" w:cs="Times New Roman"/>
          <w:i w:val="0"/>
          <w:color w:val="auto"/>
          <w:sz w:val="20"/>
          <w:szCs w:val="20"/>
        </w:rPr>
        <w:t>: PRISMA 2020 flow diagram of the literature search and selection process. A total of 1,500 records were identified from six databases. After removing 350 duplicates and screening titles/abstracts, 248 full-text articles were assessed for eligibility. Seventy-six studies were excluded due to macroplastic focus, non-English language, or insufficient data, resulting in 172 studies included in the qualitative synthesis.</w:t>
      </w:r>
    </w:p>
    <w:p w:rsidR="006747CB" w:rsidRDefault="006747CB"/>
    <w:p w:rsidR="00B21A2E" w:rsidRDefault="00B21A2E" w:rsidP="0094667E">
      <w:pPr>
        <w:pStyle w:val="Caption"/>
      </w:pPr>
    </w:p>
    <w:p w:rsidR="00E86425" w:rsidRDefault="00E86425" w:rsidP="00E86425"/>
    <w:p w:rsidR="00E86425" w:rsidRDefault="00E86425" w:rsidP="00E86425"/>
    <w:p w:rsidR="00E86425" w:rsidRDefault="00E86425" w:rsidP="00E86425"/>
    <w:p w:rsidR="00E86425" w:rsidRPr="00E86425" w:rsidRDefault="00E86425" w:rsidP="00E86425"/>
    <w:p w:rsidR="007A59A7" w:rsidRPr="00943844" w:rsidRDefault="00943844" w:rsidP="007A59A7">
      <w:pPr>
        <w:rPr>
          <w:rFonts w:ascii="Times New Roman" w:hAnsi="Times New Roman" w:cs="Times New Roman"/>
          <w:b/>
          <w:sz w:val="24"/>
          <w:szCs w:val="24"/>
        </w:rPr>
      </w:pPr>
      <w:r w:rsidRPr="00943844">
        <w:rPr>
          <w:rFonts w:ascii="Times New Roman" w:hAnsi="Times New Roman" w:cs="Times New Roman"/>
          <w:b/>
          <w:sz w:val="24"/>
          <w:szCs w:val="24"/>
        </w:rPr>
        <w:t>References</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943844">
        <w:rPr>
          <w:rFonts w:ascii="Times New Roman" w:hAnsi="Times New Roman" w:cs="Times New Roman"/>
          <w:noProof/>
          <w:sz w:val="24"/>
          <w:szCs w:val="24"/>
        </w:rPr>
        <w:t xml:space="preserve">1. </w:t>
      </w:r>
      <w:r w:rsidRPr="00943844">
        <w:rPr>
          <w:rFonts w:ascii="Times New Roman" w:hAnsi="Times New Roman" w:cs="Times New Roman"/>
          <w:noProof/>
          <w:sz w:val="24"/>
          <w:szCs w:val="24"/>
        </w:rPr>
        <w:tab/>
        <w:t xml:space="preserve">Crawford CB, Quinn B. Microplastics, standardisation and spatial distribution. 2017; </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2. </w:t>
      </w:r>
      <w:r w:rsidRPr="00943844">
        <w:rPr>
          <w:rFonts w:ascii="Times New Roman" w:hAnsi="Times New Roman" w:cs="Times New Roman"/>
          <w:noProof/>
          <w:sz w:val="24"/>
          <w:szCs w:val="24"/>
        </w:rPr>
        <w:tab/>
        <w:t xml:space="preserve">Dong H, Chen Y, Wang J, Zhang Y, Zhang P, Li X, et al. Interactions of microplastics and antibiotic resistance genes and their effects on the aquaculture environments. J Hazard Mater. 2021 Feb 5;403:123961. </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3. </w:t>
      </w:r>
      <w:r w:rsidRPr="00943844">
        <w:rPr>
          <w:rFonts w:ascii="Times New Roman" w:hAnsi="Times New Roman" w:cs="Times New Roman"/>
          <w:noProof/>
          <w:sz w:val="24"/>
          <w:szCs w:val="24"/>
        </w:rPr>
        <w:tab/>
        <w:t>Li X, Chen L, Mei Q, Dong B, Dai X, Ding G, et al. Graphic abstract SC. Water Res [Internet]. 2018; Available from: https://doi.org/10.1016/j.watres.2018.05.034</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4. </w:t>
      </w:r>
      <w:r w:rsidRPr="00943844">
        <w:rPr>
          <w:rFonts w:ascii="Times New Roman" w:hAnsi="Times New Roman" w:cs="Times New Roman"/>
          <w:noProof/>
          <w:sz w:val="24"/>
          <w:szCs w:val="24"/>
        </w:rPr>
        <w:tab/>
        <w:t xml:space="preserve">Xue X, Hong S, Cheng R, Li H, Qiu L, Fang C. Adsorption characteristics of antibiotics on microplastics: The effect of surface contamination with an anionic surfactant. Chemosphere. 2022 Nov 1;307:136195. </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5. </w:t>
      </w:r>
      <w:r w:rsidRPr="00943844">
        <w:rPr>
          <w:rFonts w:ascii="Times New Roman" w:hAnsi="Times New Roman" w:cs="Times New Roman"/>
          <w:noProof/>
          <w:sz w:val="24"/>
          <w:szCs w:val="24"/>
        </w:rPr>
        <w:tab/>
        <w:t xml:space="preserve">Yu F, Li Y, Huang G, Yang C, Chen C, Zhou T, et al. Adsorption behavior of the antibiotic levofloxacin on microplastics in the presence of different heavy metals in an aqueous solution. Chemosphere. 2020;260. </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6. </w:t>
      </w:r>
      <w:r w:rsidRPr="00943844">
        <w:rPr>
          <w:rFonts w:ascii="Times New Roman" w:hAnsi="Times New Roman" w:cs="Times New Roman"/>
          <w:noProof/>
          <w:sz w:val="24"/>
          <w:szCs w:val="24"/>
        </w:rPr>
        <w:tab/>
        <w:t>Yu F, Yang C, Huang G, Zhou T, Zhao Y, Ma J. Interfacial interaction between diverse microplastics and tetracycline by adsorption in an aqueous solution. Sci Total Environ [Internet]. 2020;721:137729. Available from: https://doi.org/10.1016/j.scitotenv.2020.137729</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7. </w:t>
      </w:r>
      <w:r w:rsidRPr="00943844">
        <w:rPr>
          <w:rFonts w:ascii="Times New Roman" w:hAnsi="Times New Roman" w:cs="Times New Roman"/>
          <w:noProof/>
          <w:sz w:val="24"/>
          <w:szCs w:val="24"/>
        </w:rPr>
        <w:tab/>
        <w:t>Chen Y, Li J, Wang F, Yang H, Liu L. Adsorption of tetracyclines onto polyethylene microplastics: A combined study of experiment and molecular dynamics simulation. Chemosphere [Internet]. 2021;265:129133. Available from: https://doi.org/10.1016/j.chemosphere.2020.129133</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8. </w:t>
      </w:r>
      <w:r w:rsidRPr="00943844">
        <w:rPr>
          <w:rFonts w:ascii="Times New Roman" w:hAnsi="Times New Roman" w:cs="Times New Roman"/>
          <w:noProof/>
          <w:sz w:val="24"/>
          <w:szCs w:val="24"/>
        </w:rPr>
        <w:tab/>
        <w:t xml:space="preserve">Puckowski A, Cwie W, Mioduszewska K, Stepnowski P, Bia A. Chemosphere Sorption of pharmaceuticals on the surface of microplastics. 2021;263. </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9. </w:t>
      </w:r>
      <w:r w:rsidRPr="00943844">
        <w:rPr>
          <w:rFonts w:ascii="Times New Roman" w:hAnsi="Times New Roman" w:cs="Times New Roman"/>
          <w:noProof/>
          <w:sz w:val="24"/>
          <w:szCs w:val="24"/>
        </w:rPr>
        <w:tab/>
        <w:t xml:space="preserve">Guo X, Pang J, Chen S, Jia H. AC SC. 2018; </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10. </w:t>
      </w:r>
      <w:r w:rsidRPr="00943844">
        <w:rPr>
          <w:rFonts w:ascii="Times New Roman" w:hAnsi="Times New Roman" w:cs="Times New Roman"/>
          <w:noProof/>
          <w:sz w:val="24"/>
          <w:szCs w:val="24"/>
        </w:rPr>
        <w:tab/>
        <w:t xml:space="preserve">Xu S. Decomplexation of Cu(II)/Ni(II)-EDTA by ozone-oxidation process. 2019;(Ii). </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11. </w:t>
      </w:r>
      <w:r w:rsidRPr="00943844">
        <w:rPr>
          <w:rFonts w:ascii="Times New Roman" w:hAnsi="Times New Roman" w:cs="Times New Roman"/>
          <w:noProof/>
          <w:sz w:val="24"/>
          <w:szCs w:val="24"/>
        </w:rPr>
        <w:tab/>
        <w:t>Guo X, Wang J. Sorption of antibiotics onto aged microplastics in freshwater and seawater. Mar Pollut Bull [Internet]. 2019;149(August):110511. Available from: https://doi.org/10.1016/j.marpolbul.2019.110511</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12. </w:t>
      </w:r>
      <w:r w:rsidRPr="00943844">
        <w:rPr>
          <w:rFonts w:ascii="Times New Roman" w:hAnsi="Times New Roman" w:cs="Times New Roman"/>
          <w:noProof/>
          <w:sz w:val="24"/>
          <w:szCs w:val="24"/>
        </w:rPr>
        <w:tab/>
        <w:t>Liu J, Ma Y, Xu T, Shao G. Preparation of zwitterionic hybrid polymer and its application for the removal of heavy metal ions from water. J Hazard Mater [Internet]. 2010;178(1–3):1021–9. Available from: http://dx.doi.org/10.1016/j.jhazmat.2010.02.041</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13. </w:t>
      </w:r>
      <w:r w:rsidRPr="00943844">
        <w:rPr>
          <w:rFonts w:ascii="Times New Roman" w:hAnsi="Times New Roman" w:cs="Times New Roman"/>
          <w:noProof/>
          <w:sz w:val="24"/>
          <w:szCs w:val="24"/>
        </w:rPr>
        <w:tab/>
        <w:t>Lin W, Jiang R, Wu J, Wei S, Yin L, Xiao X, et al. Sorption properties of hydrophobic organic chemicals to micro-sized polystyrene particles. Sci Total Environ [Internet]. 2019;690:565–72. Available from: https://doi.org/10.1016/j.scitotenv.2019.06.537</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14. </w:t>
      </w:r>
      <w:r w:rsidRPr="00943844">
        <w:rPr>
          <w:rFonts w:ascii="Times New Roman" w:hAnsi="Times New Roman" w:cs="Times New Roman"/>
          <w:noProof/>
          <w:sz w:val="24"/>
          <w:szCs w:val="24"/>
        </w:rPr>
        <w:tab/>
        <w:t xml:space="preserve">González-Pleiter M, Pedrouzo-Rodríguez A, Verdú I, Leganés F, Marco E, Rosal R, et al. Microplastics as vectors of the antibiotics azithromycin and clarithromycin: Effects towards freshwater microalgae. Chemosphere. 2021;268. </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15. </w:t>
      </w:r>
      <w:r w:rsidRPr="00943844">
        <w:rPr>
          <w:rFonts w:ascii="Times New Roman" w:hAnsi="Times New Roman" w:cs="Times New Roman"/>
          <w:noProof/>
          <w:sz w:val="24"/>
          <w:szCs w:val="24"/>
        </w:rPr>
        <w:tab/>
        <w:t>Xiong Y, Zhao J, Li L, Wang Y, Dai X, Yu F, et al. Interfacial Interaction between Micro / Nanoplastics and Typical. Water Res [Internet]. 2020;116100. Available from: https://doi.org/10.1016/j.watres.2020.116100</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16. </w:t>
      </w:r>
      <w:r w:rsidRPr="00943844">
        <w:rPr>
          <w:rFonts w:ascii="Times New Roman" w:hAnsi="Times New Roman" w:cs="Times New Roman"/>
          <w:noProof/>
          <w:sz w:val="24"/>
          <w:szCs w:val="24"/>
        </w:rPr>
        <w:tab/>
        <w:t>Atugoda T, Wijesekara H, Werellagama DRIB, Jinadasa KBSN, Bolan NS, Vithanage M. Adsorptive interaction of antibiotic ciprofloxacin on polyethylene microplastics: Implications for vector transport in water. Environ Technol Innov [Internet]. 2020;19:100971. Available from: https://doi.org/10.1016/j.eti.2020.100971</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17. </w:t>
      </w:r>
      <w:r w:rsidRPr="00943844">
        <w:rPr>
          <w:rFonts w:ascii="Times New Roman" w:hAnsi="Times New Roman" w:cs="Times New Roman"/>
          <w:noProof/>
          <w:sz w:val="24"/>
          <w:szCs w:val="24"/>
        </w:rPr>
        <w:tab/>
        <w:t>Zhang Y, Diehl A, Lewandowski A, Gopalakrishnan K, Baker T. Science of the Total Environment Removal ef fi ciency of micro- and nanoplastics ( 180 nm – 125 μ m ) during drinking water treatment. Sci Total Environ [Internet]. 2020;720:137383. Available from: https://doi.org/10.1016/j.scitotenv.2020.137383</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18. </w:t>
      </w:r>
      <w:r w:rsidRPr="00943844">
        <w:rPr>
          <w:rFonts w:ascii="Times New Roman" w:hAnsi="Times New Roman" w:cs="Times New Roman"/>
          <w:noProof/>
          <w:sz w:val="24"/>
          <w:szCs w:val="24"/>
        </w:rPr>
        <w:tab/>
        <w:t>Atugoda T, Vithanage M, Wijesekara H, Bolan N, Sarmah AK, Bank MS, et al. Interactions between microplastics, pharmaceuticals and personal care products: Implications for vector transport. Environ Int [Internet]. 2021;149:106367. Available from: https://doi.org/10.1016/j.envint.2020.106367</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19. </w:t>
      </w:r>
      <w:r w:rsidRPr="00943844">
        <w:rPr>
          <w:rFonts w:ascii="Times New Roman" w:hAnsi="Times New Roman" w:cs="Times New Roman"/>
          <w:noProof/>
          <w:sz w:val="24"/>
          <w:szCs w:val="24"/>
        </w:rPr>
        <w:tab/>
        <w:t>Xu B, Liu F, Brookes PC, Xu J. The sorption kinetics and isotherms of sulfamethoxazole with polyethylene microplastics. Mar Pollut Bull [Internet]. 2018;131(April):191–6. Available from: https://doi.org/10.1016/j.marpolbul.2018.04.027</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20. </w:t>
      </w:r>
      <w:r w:rsidRPr="00943844">
        <w:rPr>
          <w:rFonts w:ascii="Times New Roman" w:hAnsi="Times New Roman" w:cs="Times New Roman"/>
          <w:noProof/>
          <w:sz w:val="24"/>
          <w:szCs w:val="24"/>
        </w:rPr>
        <w:tab/>
        <w:t>Xu B, Liu F, Brookes PC, Xu J. Microplastics play a minor role in tetracycline sorption in the presence of dissolved organic matter *. Environ Pollut [Internet]. 2018;240:87–94. Available from: https://doi.org/10.1016/j.envpol.2018.04.113</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szCs w:val="24"/>
        </w:rPr>
      </w:pPr>
      <w:r w:rsidRPr="00943844">
        <w:rPr>
          <w:rFonts w:ascii="Times New Roman" w:hAnsi="Times New Roman" w:cs="Times New Roman"/>
          <w:noProof/>
          <w:sz w:val="24"/>
          <w:szCs w:val="24"/>
        </w:rPr>
        <w:t xml:space="preserve">21. </w:t>
      </w:r>
      <w:r w:rsidRPr="00943844">
        <w:rPr>
          <w:rFonts w:ascii="Times New Roman" w:hAnsi="Times New Roman" w:cs="Times New Roman"/>
          <w:noProof/>
          <w:sz w:val="24"/>
          <w:szCs w:val="24"/>
        </w:rPr>
        <w:tab/>
        <w:t>Zhang C, Wang S, Sun D, Pan Z, Zhou A, Xie S, et al. Microplastic pollution in surface water from east coastal areas of Guangdong, South China and preliminary study on microplastics biomonitoring using two marine fish. Chemosphere [Internet]. 2020;256:127202. Available from: https://doi.org/10.1016/j.chemosphere.2020.127202</w:t>
      </w:r>
    </w:p>
    <w:p w:rsidR="00943844" w:rsidRPr="00943844" w:rsidRDefault="00943844" w:rsidP="00943844">
      <w:pPr>
        <w:widowControl w:val="0"/>
        <w:autoSpaceDE w:val="0"/>
        <w:autoSpaceDN w:val="0"/>
        <w:adjustRightInd w:val="0"/>
        <w:spacing w:line="240" w:lineRule="auto"/>
        <w:ind w:left="640" w:hanging="640"/>
        <w:rPr>
          <w:rFonts w:ascii="Times New Roman" w:hAnsi="Times New Roman" w:cs="Times New Roman"/>
          <w:noProof/>
          <w:sz w:val="24"/>
        </w:rPr>
      </w:pPr>
      <w:r w:rsidRPr="00943844">
        <w:rPr>
          <w:rFonts w:ascii="Times New Roman" w:hAnsi="Times New Roman" w:cs="Times New Roman"/>
          <w:noProof/>
          <w:sz w:val="24"/>
          <w:szCs w:val="24"/>
        </w:rPr>
        <w:t xml:space="preserve">22. </w:t>
      </w:r>
      <w:r w:rsidRPr="00943844">
        <w:rPr>
          <w:rFonts w:ascii="Times New Roman" w:hAnsi="Times New Roman" w:cs="Times New Roman"/>
          <w:noProof/>
          <w:sz w:val="24"/>
          <w:szCs w:val="24"/>
        </w:rPr>
        <w:tab/>
        <w:t>Zhang H, Jiaqing W, Zhou B, Zhou Y, Dai Z, Zhou Q. AC SC. Environ Pollut [Internet]. 2018; Available from: https://doi.org/10.1016/j.envpol.2018.09.122</w:t>
      </w:r>
    </w:p>
    <w:p w:rsidR="00943844" w:rsidRPr="00943844" w:rsidRDefault="00943844" w:rsidP="007A59A7">
      <w:pPr>
        <w:rPr>
          <w:rFonts w:ascii="Times New Roman" w:hAnsi="Times New Roman" w:cs="Times New Roman"/>
          <w:sz w:val="24"/>
          <w:szCs w:val="24"/>
        </w:rPr>
      </w:pPr>
      <w:r>
        <w:rPr>
          <w:rFonts w:ascii="Times New Roman" w:hAnsi="Times New Roman" w:cs="Times New Roman"/>
          <w:sz w:val="24"/>
          <w:szCs w:val="24"/>
        </w:rPr>
        <w:fldChar w:fldCharType="end"/>
      </w:r>
      <w:bookmarkEnd w:id="0"/>
    </w:p>
    <w:sectPr w:rsidR="00943844" w:rsidRPr="00943844" w:rsidSect="005126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541" w:rsidRDefault="00745541" w:rsidP="009B133A">
      <w:pPr>
        <w:spacing w:after="0" w:line="240" w:lineRule="auto"/>
      </w:pPr>
      <w:r>
        <w:separator/>
      </w:r>
    </w:p>
  </w:endnote>
  <w:endnote w:type="continuationSeparator" w:id="0">
    <w:p w:rsidR="00745541" w:rsidRDefault="00745541" w:rsidP="009B1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ar(--ds-font-family-code)">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541" w:rsidRDefault="00745541" w:rsidP="009B133A">
      <w:pPr>
        <w:spacing w:after="0" w:line="240" w:lineRule="auto"/>
      </w:pPr>
      <w:r>
        <w:separator/>
      </w:r>
    </w:p>
  </w:footnote>
  <w:footnote w:type="continuationSeparator" w:id="0">
    <w:p w:rsidR="00745541" w:rsidRDefault="00745541" w:rsidP="009B13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DF0"/>
    <w:rsid w:val="00031098"/>
    <w:rsid w:val="00035A6F"/>
    <w:rsid w:val="00062E7B"/>
    <w:rsid w:val="000762BF"/>
    <w:rsid w:val="000B1494"/>
    <w:rsid w:val="000E0A09"/>
    <w:rsid w:val="001115BE"/>
    <w:rsid w:val="001621BC"/>
    <w:rsid w:val="001655F2"/>
    <w:rsid w:val="0019114D"/>
    <w:rsid w:val="002226F1"/>
    <w:rsid w:val="00247242"/>
    <w:rsid w:val="00283A2C"/>
    <w:rsid w:val="002B3004"/>
    <w:rsid w:val="002E749D"/>
    <w:rsid w:val="0042111E"/>
    <w:rsid w:val="004817DA"/>
    <w:rsid w:val="004B20BC"/>
    <w:rsid w:val="004D2F73"/>
    <w:rsid w:val="004D7496"/>
    <w:rsid w:val="005126B3"/>
    <w:rsid w:val="00526280"/>
    <w:rsid w:val="005634D8"/>
    <w:rsid w:val="006747CB"/>
    <w:rsid w:val="00683915"/>
    <w:rsid w:val="00745541"/>
    <w:rsid w:val="007A59A7"/>
    <w:rsid w:val="00802D4E"/>
    <w:rsid w:val="00821A92"/>
    <w:rsid w:val="00894E51"/>
    <w:rsid w:val="008C6BF9"/>
    <w:rsid w:val="008F4331"/>
    <w:rsid w:val="008F491C"/>
    <w:rsid w:val="0090648D"/>
    <w:rsid w:val="00934F9F"/>
    <w:rsid w:val="00943844"/>
    <w:rsid w:val="0094667E"/>
    <w:rsid w:val="0095463C"/>
    <w:rsid w:val="009954B9"/>
    <w:rsid w:val="009B133A"/>
    <w:rsid w:val="00A42678"/>
    <w:rsid w:val="00A72319"/>
    <w:rsid w:val="00A845F0"/>
    <w:rsid w:val="00B21A2E"/>
    <w:rsid w:val="00C81F04"/>
    <w:rsid w:val="00CA6567"/>
    <w:rsid w:val="00CB0DF0"/>
    <w:rsid w:val="00D310EA"/>
    <w:rsid w:val="00D33820"/>
    <w:rsid w:val="00D83410"/>
    <w:rsid w:val="00E86425"/>
    <w:rsid w:val="00E956C1"/>
    <w:rsid w:val="00EC69B6"/>
    <w:rsid w:val="00F17463"/>
    <w:rsid w:val="00F569A1"/>
    <w:rsid w:val="00F63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D936151-EB62-471F-9E8A-B73A8A44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0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F569A1"/>
    <w:pPr>
      <w:spacing w:after="0" w:line="240" w:lineRule="auto"/>
    </w:pPr>
    <w:rPr>
      <w:rFonts w:eastAsia="Calibri"/>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F569A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F569A1"/>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B21A2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B300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13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33A"/>
  </w:style>
  <w:style w:type="paragraph" w:styleId="Footer">
    <w:name w:val="footer"/>
    <w:basedOn w:val="Normal"/>
    <w:link w:val="FooterChar"/>
    <w:uiPriority w:val="99"/>
    <w:unhideWhenUsed/>
    <w:rsid w:val="009B13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33A"/>
  </w:style>
  <w:style w:type="character" w:styleId="Hyperlink">
    <w:name w:val="Hyperlink"/>
    <w:basedOn w:val="DefaultParagraphFont"/>
    <w:uiPriority w:val="99"/>
    <w:unhideWhenUsed/>
    <w:rsid w:val="00D338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36033">
      <w:bodyDiv w:val="1"/>
      <w:marLeft w:val="0"/>
      <w:marRight w:val="0"/>
      <w:marTop w:val="0"/>
      <w:marBottom w:val="0"/>
      <w:divBdr>
        <w:top w:val="none" w:sz="0" w:space="0" w:color="auto"/>
        <w:left w:val="none" w:sz="0" w:space="0" w:color="auto"/>
        <w:bottom w:val="none" w:sz="0" w:space="0" w:color="auto"/>
        <w:right w:val="none" w:sz="0" w:space="0" w:color="auto"/>
      </w:divBdr>
    </w:div>
    <w:div w:id="138602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kpalimor@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CD139-905A-4853-B344-63E661522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1462</Words>
  <Characters>81526</Characters>
  <Application>Microsoft Office Word</Application>
  <DocSecurity>0</DocSecurity>
  <Lines>679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Sharmila Thangavel</cp:lastModifiedBy>
  <cp:revision>3</cp:revision>
  <dcterms:created xsi:type="dcterms:W3CDTF">2025-08-24T01:03:00Z</dcterms:created>
  <dcterms:modified xsi:type="dcterms:W3CDTF">2025-10-31T05:41:00Z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79241c6a-3823-4ca7-ac83-23976a71a649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422d7dfc-ffee-3351-a940-69be2b63d831</vt:lpwstr>
  </property>
  <property fmtid="{D5CDD505-2E9C-101B-9397-08002B2CF9AE}" pid="25" name="Mendeley Citation Style_1">
    <vt:lpwstr>http://www.zotero.org/styles/vancouver</vt:lpwstr>
  </property>
</Properties>
</file>