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7A8DA" w14:textId="7B9718B7" w:rsidR="00E016A4" w:rsidRDefault="00E4179D" w:rsidP="00E4179D">
      <w:pPr>
        <w:jc w:val="center"/>
        <w:rPr>
          <w:rFonts w:ascii="Times New Roman" w:hAnsi="Times New Roman" w:cs="Times New Roman"/>
          <w:b/>
          <w:bCs/>
          <w:sz w:val="20"/>
          <w:szCs w:val="20"/>
        </w:rPr>
      </w:pPr>
      <w:bookmarkStart w:id="0" w:name="_Toc195013114"/>
      <w:r>
        <w:rPr>
          <w:rFonts w:ascii="Times New Roman" w:hAnsi="Times New Roman" w:cs="Times New Roman"/>
          <w:b/>
          <w:bCs/>
          <w:sz w:val="20"/>
          <w:szCs w:val="20"/>
        </w:rPr>
        <w:t xml:space="preserve">A </w:t>
      </w:r>
      <w:r w:rsidRPr="00001CDF">
        <w:rPr>
          <w:rFonts w:ascii="Times New Roman" w:hAnsi="Times New Roman" w:cs="Times New Roman"/>
          <w:b/>
          <w:bCs/>
          <w:sz w:val="20"/>
          <w:szCs w:val="20"/>
        </w:rPr>
        <w:t xml:space="preserve">Supranational Machine Learning </w:t>
      </w:r>
      <w:r>
        <w:rPr>
          <w:rFonts w:ascii="Times New Roman" w:hAnsi="Times New Roman" w:cs="Times New Roman"/>
          <w:b/>
          <w:bCs/>
          <w:sz w:val="20"/>
          <w:szCs w:val="20"/>
        </w:rPr>
        <w:t xml:space="preserve">Approach to </w:t>
      </w:r>
      <w:r w:rsidRPr="00001CDF">
        <w:rPr>
          <w:rFonts w:ascii="Times New Roman" w:hAnsi="Times New Roman" w:cs="Times New Roman"/>
          <w:b/>
          <w:bCs/>
          <w:sz w:val="20"/>
          <w:szCs w:val="20"/>
        </w:rPr>
        <w:t xml:space="preserve">Assess Wildfire Losses under Climate </w:t>
      </w:r>
      <w:bookmarkEnd w:id="0"/>
      <w:r w:rsidRPr="00001CDF">
        <w:rPr>
          <w:rFonts w:ascii="Times New Roman" w:hAnsi="Times New Roman" w:cs="Times New Roman"/>
          <w:b/>
          <w:bCs/>
          <w:sz w:val="20"/>
          <w:szCs w:val="20"/>
        </w:rPr>
        <w:t>Change in Southeastern Europe</w:t>
      </w:r>
    </w:p>
    <w:p w14:paraId="78D60CB2" w14:textId="77777777" w:rsidR="00E4179D" w:rsidRPr="00E4179D" w:rsidRDefault="00E4179D" w:rsidP="00E4179D">
      <w:pPr>
        <w:jc w:val="center"/>
        <w:rPr>
          <w:rFonts w:ascii="Times New Roman" w:hAnsi="Times New Roman" w:cs="Times New Roman"/>
          <w:b/>
          <w:bCs/>
          <w:sz w:val="20"/>
          <w:szCs w:val="20"/>
        </w:rPr>
      </w:pPr>
    </w:p>
    <w:p w14:paraId="1C2DE573" w14:textId="0EFA6052" w:rsidR="00F37B25" w:rsidRPr="00F37B25" w:rsidRDefault="00F37B25" w:rsidP="00F37B25">
      <w:pPr>
        <w:tabs>
          <w:tab w:val="left" w:pos="288"/>
        </w:tabs>
        <w:spacing w:after="120" w:line="228" w:lineRule="auto"/>
        <w:jc w:val="center"/>
        <w:rPr>
          <w:rFonts w:ascii="Times New Roman" w:eastAsia="SimSun" w:hAnsi="Times New Roman" w:cs="Times New Roman"/>
          <w:b/>
          <w:bCs/>
          <w:spacing w:val="-1"/>
          <w:kern w:val="0"/>
          <w:sz w:val="20"/>
          <w:szCs w:val="20"/>
          <w:lang w:val="x-none" w:eastAsia="x-none"/>
          <w14:ligatures w14:val="none"/>
        </w:rPr>
      </w:pPr>
      <w:r w:rsidRPr="00F37B25">
        <w:rPr>
          <w:rFonts w:ascii="Times New Roman" w:eastAsia="SimSun" w:hAnsi="Times New Roman" w:cs="Times New Roman"/>
          <w:b/>
          <w:bCs/>
          <w:spacing w:val="-1"/>
          <w:kern w:val="0"/>
          <w:sz w:val="20"/>
          <w:szCs w:val="20"/>
          <w:lang w:val="x-none" w:eastAsia="x-none"/>
          <w14:ligatures w14:val="none"/>
        </w:rPr>
        <w:t>Supplementary material</w:t>
      </w:r>
    </w:p>
    <w:p w14:paraId="43CC4C50" w14:textId="77777777" w:rsidR="00F37B25"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val="x-none" w:eastAsia="x-none"/>
          <w14:ligatures w14:val="none"/>
        </w:rPr>
      </w:pPr>
    </w:p>
    <w:p w14:paraId="6A9EFCAC" w14:textId="02EEEB73" w:rsidR="00CF4942" w:rsidRDefault="00CF4942" w:rsidP="00CF4942">
      <w:pPr>
        <w:pStyle w:val="ListParagraph"/>
        <w:numPr>
          <w:ilvl w:val="0"/>
          <w:numId w:val="1"/>
        </w:numPr>
        <w:tabs>
          <w:tab w:val="left" w:pos="288"/>
        </w:tabs>
        <w:spacing w:after="120" w:line="228" w:lineRule="auto"/>
        <w:jc w:val="both"/>
        <w:rPr>
          <w:rFonts w:ascii="Times New Roman" w:eastAsia="SimSun" w:hAnsi="Times New Roman" w:cs="Times New Roman"/>
          <w:b/>
          <w:bCs/>
          <w:spacing w:val="-1"/>
          <w:kern w:val="0"/>
          <w:sz w:val="20"/>
          <w:szCs w:val="20"/>
          <w:lang w:val="x-none" w:eastAsia="x-none"/>
          <w14:ligatures w14:val="none"/>
        </w:rPr>
      </w:pPr>
      <w:r>
        <w:rPr>
          <w:rFonts w:ascii="Times New Roman" w:eastAsia="SimSun" w:hAnsi="Times New Roman" w:cs="Times New Roman"/>
          <w:b/>
          <w:bCs/>
          <w:spacing w:val="-1"/>
          <w:kern w:val="0"/>
          <w:sz w:val="20"/>
          <w:szCs w:val="20"/>
          <w:lang w:val="x-none" w:eastAsia="x-none"/>
          <w14:ligatures w14:val="none"/>
        </w:rPr>
        <w:t>Framework for wildfire susceptibility used in the study</w:t>
      </w:r>
    </w:p>
    <w:p w14:paraId="050086F6" w14:textId="77777777" w:rsidR="00CF4942" w:rsidRDefault="00CF4942" w:rsidP="00CF4942">
      <w:pPr>
        <w:tabs>
          <w:tab w:val="left" w:pos="288"/>
        </w:tabs>
        <w:spacing w:after="120" w:line="228" w:lineRule="auto"/>
        <w:ind w:left="360"/>
        <w:jc w:val="both"/>
        <w:rPr>
          <w:rFonts w:ascii="Times New Roman" w:eastAsia="SimSun" w:hAnsi="Times New Roman" w:cs="Times New Roman"/>
          <w:b/>
          <w:bCs/>
          <w:spacing w:val="-1"/>
          <w:kern w:val="0"/>
          <w:sz w:val="20"/>
          <w:szCs w:val="20"/>
          <w:lang w:val="x-none" w:eastAsia="x-none"/>
          <w14:ligatures w14:val="none"/>
        </w:rPr>
      </w:pPr>
    </w:p>
    <w:p w14:paraId="31652285" w14:textId="77777777" w:rsidR="00CF4942" w:rsidRDefault="00CF4942" w:rsidP="00CF4942">
      <w:pPr>
        <w:tabs>
          <w:tab w:val="left" w:pos="288"/>
        </w:tabs>
        <w:spacing w:after="120" w:line="228" w:lineRule="auto"/>
        <w:ind w:left="360"/>
        <w:jc w:val="both"/>
        <w:rPr>
          <w:rFonts w:ascii="Times New Roman" w:eastAsia="SimSun" w:hAnsi="Times New Roman" w:cs="Times New Roman"/>
          <w:b/>
          <w:bCs/>
          <w:spacing w:val="-1"/>
          <w:kern w:val="0"/>
          <w:sz w:val="20"/>
          <w:szCs w:val="20"/>
          <w:lang w:val="x-none" w:eastAsia="x-none"/>
          <w14:ligatures w14:val="none"/>
        </w:rPr>
      </w:pPr>
    </w:p>
    <w:p w14:paraId="2435C9D1" w14:textId="4FC5C91B" w:rsidR="00CF4942" w:rsidRDefault="00CF4942" w:rsidP="00CF4942">
      <w:pPr>
        <w:tabs>
          <w:tab w:val="left" w:pos="288"/>
        </w:tabs>
        <w:spacing w:after="120" w:line="228" w:lineRule="auto"/>
        <w:jc w:val="both"/>
        <w:rPr>
          <w:rFonts w:ascii="Times New Roman" w:eastAsia="SimSun" w:hAnsi="Times New Roman" w:cs="Times New Roman"/>
          <w:b/>
          <w:bCs/>
          <w:spacing w:val="-1"/>
          <w:kern w:val="0"/>
          <w:sz w:val="20"/>
          <w:szCs w:val="20"/>
          <w:lang w:val="x-none" w:eastAsia="x-none"/>
          <w14:ligatures w14:val="none"/>
        </w:rPr>
      </w:pPr>
      <w:r w:rsidRPr="002C17D9">
        <w:rPr>
          <w:noProof/>
        </w:rPr>
        <w:drawing>
          <wp:inline distT="0" distB="0" distL="0" distR="0" wp14:anchorId="71C0E660" wp14:editId="54B6C655">
            <wp:extent cx="6298116" cy="3705308"/>
            <wp:effectExtent l="0" t="0" r="7620" b="0"/>
            <wp:docPr id="883510060" name="Picture 883510060"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10060" name="Picture 883510060" descr="A diagram of a diagram&#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324094" cy="3720591"/>
                    </a:xfrm>
                    <a:prstGeom prst="rect">
                      <a:avLst/>
                    </a:prstGeom>
                  </pic:spPr>
                </pic:pic>
              </a:graphicData>
            </a:graphic>
          </wp:inline>
        </w:drawing>
      </w:r>
    </w:p>
    <w:p w14:paraId="70303871" w14:textId="7B59DE47" w:rsidR="00CF4942" w:rsidRPr="00CF4942" w:rsidRDefault="00CF4942" w:rsidP="00CF4942">
      <w:pPr>
        <w:pStyle w:val="Caption"/>
      </w:pPr>
      <w:bookmarkStart w:id="1" w:name="_Toc165841284"/>
      <w:r w:rsidRPr="00724805">
        <w:rPr>
          <w:b/>
          <w:bCs/>
        </w:rPr>
        <w:t>Fig</w:t>
      </w:r>
      <w:r w:rsidR="00E016A4" w:rsidRPr="00724805">
        <w:rPr>
          <w:b/>
          <w:bCs/>
        </w:rPr>
        <w:t xml:space="preserve">. </w:t>
      </w:r>
      <w:r w:rsidRPr="00724805">
        <w:rPr>
          <w:b/>
          <w:bCs/>
        </w:rPr>
        <w:fldChar w:fldCharType="begin"/>
      </w:r>
      <w:r w:rsidRPr="00724805">
        <w:rPr>
          <w:b/>
          <w:bCs/>
        </w:rPr>
        <w:instrText xml:space="preserve"> SEQ Figure \* ARABIC </w:instrText>
      </w:r>
      <w:r w:rsidRPr="00724805">
        <w:rPr>
          <w:b/>
          <w:bCs/>
        </w:rPr>
        <w:fldChar w:fldCharType="separate"/>
      </w:r>
      <w:r w:rsidRPr="00724805">
        <w:rPr>
          <w:b/>
          <w:bCs/>
          <w:noProof/>
        </w:rPr>
        <w:t>1</w:t>
      </w:r>
      <w:r w:rsidRPr="00724805">
        <w:rPr>
          <w:b/>
          <w:bCs/>
          <w:noProof/>
        </w:rPr>
        <w:fldChar w:fldCharType="end"/>
      </w:r>
      <w:r>
        <w:t xml:space="preserve"> </w:t>
      </w:r>
      <w:r w:rsidRPr="002C17D9">
        <w:t>schematic representation of the methodology for assessing wildfire susceptibility at national/</w:t>
      </w:r>
      <w:r>
        <w:t>regional</w:t>
      </w:r>
      <w:r w:rsidRPr="002C17D9">
        <w:t xml:space="preserve"> scale. </w:t>
      </w:r>
      <w:r>
        <w:t>Topographic and annual climate variables are coupled with wildfire occurrences to train a regional machine</w:t>
      </w:r>
      <w:r w:rsidR="00B62453">
        <w:t>-</w:t>
      </w:r>
      <w:r>
        <w:t xml:space="preserve">learning model. The model </w:t>
      </w:r>
      <w:proofErr w:type="gramStart"/>
      <w:r>
        <w:t>is able to</w:t>
      </w:r>
      <w:proofErr w:type="gramEnd"/>
      <w:r>
        <w:t xml:space="preserve"> reproduce</w:t>
      </w:r>
      <w:r w:rsidDel="0022032C">
        <w:t xml:space="preserve"> </w:t>
      </w:r>
      <w:r>
        <w:t xml:space="preserve">annual wildfire susceptibility for both past and future climate conditions, considering different climate change scenarios and </w:t>
      </w:r>
      <w:r w:rsidR="00B62453">
        <w:t>five</w:t>
      </w:r>
      <w:r>
        <w:t xml:space="preserve"> climate model configurations</w:t>
      </w:r>
      <w:bookmarkEnd w:id="1"/>
    </w:p>
    <w:p w14:paraId="6E06C094" w14:textId="77777777" w:rsidR="00CF4942" w:rsidRDefault="00CF4942" w:rsidP="00CF4942">
      <w:pPr>
        <w:tabs>
          <w:tab w:val="left" w:pos="288"/>
        </w:tabs>
        <w:spacing w:after="120" w:line="228" w:lineRule="auto"/>
        <w:jc w:val="both"/>
        <w:rPr>
          <w:rFonts w:ascii="Times New Roman" w:eastAsia="SimSun" w:hAnsi="Times New Roman" w:cs="Times New Roman"/>
          <w:b/>
          <w:bCs/>
          <w:spacing w:val="-1"/>
          <w:kern w:val="0"/>
          <w:sz w:val="20"/>
          <w:szCs w:val="20"/>
          <w:lang w:val="x-none" w:eastAsia="x-none"/>
          <w14:ligatures w14:val="none"/>
        </w:rPr>
      </w:pPr>
    </w:p>
    <w:p w14:paraId="214C16FE" w14:textId="77777777" w:rsidR="00CF4942" w:rsidRPr="00CF4942" w:rsidRDefault="00CF4942" w:rsidP="00CF4942">
      <w:pPr>
        <w:tabs>
          <w:tab w:val="left" w:pos="288"/>
        </w:tabs>
        <w:spacing w:after="120" w:line="228" w:lineRule="auto"/>
        <w:ind w:left="360"/>
        <w:jc w:val="both"/>
        <w:rPr>
          <w:rFonts w:ascii="Times New Roman" w:eastAsia="SimSun" w:hAnsi="Times New Roman" w:cs="Times New Roman"/>
          <w:b/>
          <w:bCs/>
          <w:spacing w:val="-1"/>
          <w:kern w:val="0"/>
          <w:sz w:val="20"/>
          <w:szCs w:val="20"/>
          <w:lang w:val="x-none" w:eastAsia="x-none"/>
          <w14:ligatures w14:val="none"/>
        </w:rPr>
      </w:pPr>
    </w:p>
    <w:p w14:paraId="6F643AF5" w14:textId="458D8F5B" w:rsidR="00F37B25" w:rsidRPr="00F37B25" w:rsidRDefault="00F37B25" w:rsidP="00F37B25">
      <w:pPr>
        <w:pStyle w:val="ListParagraph"/>
        <w:numPr>
          <w:ilvl w:val="0"/>
          <w:numId w:val="1"/>
        </w:numPr>
        <w:tabs>
          <w:tab w:val="left" w:pos="288"/>
        </w:tabs>
        <w:spacing w:after="120" w:line="228" w:lineRule="auto"/>
        <w:jc w:val="both"/>
        <w:rPr>
          <w:rFonts w:ascii="Times New Roman" w:eastAsia="SimSun" w:hAnsi="Times New Roman" w:cs="Times New Roman"/>
          <w:b/>
          <w:bCs/>
          <w:spacing w:val="-1"/>
          <w:kern w:val="0"/>
          <w:sz w:val="20"/>
          <w:szCs w:val="20"/>
          <w:lang w:val="x-none" w:eastAsia="x-none"/>
          <w14:ligatures w14:val="none"/>
        </w:rPr>
      </w:pPr>
      <w:r w:rsidRPr="00F37B25">
        <w:rPr>
          <w:rFonts w:ascii="Times New Roman" w:eastAsia="SimSun" w:hAnsi="Times New Roman" w:cs="Times New Roman"/>
          <w:b/>
          <w:bCs/>
          <w:spacing w:val="-1"/>
          <w:kern w:val="0"/>
          <w:sz w:val="20"/>
          <w:szCs w:val="20"/>
          <w:lang w:val="x-none" w:eastAsia="x-none"/>
          <w14:ligatures w14:val="none"/>
        </w:rPr>
        <w:t>Detailed tables for exposed assets included in the study and their economic value and vulnerabilities</w:t>
      </w:r>
    </w:p>
    <w:p w14:paraId="68EC7A82" w14:textId="50B5F426" w:rsidR="00F37B25" w:rsidRPr="00F37B25"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val="x-none" w:eastAsia="x-none"/>
          <w14:ligatures w14:val="none"/>
        </w:rPr>
      </w:pPr>
      <w:r w:rsidRPr="00F37B25">
        <w:rPr>
          <w:rFonts w:ascii="Times New Roman" w:eastAsia="SimSun" w:hAnsi="Times New Roman" w:cs="Times New Roman"/>
          <w:spacing w:val="-1"/>
          <w:kern w:val="0"/>
          <w:sz w:val="20"/>
          <w:szCs w:val="20"/>
          <w:lang w:val="x-none" w:eastAsia="x-none"/>
          <w14:ligatures w14:val="none"/>
        </w:rPr>
        <w:t>The calculation of AAL follows the fundamental risk assessment formulation:</w:t>
      </w:r>
    </w:p>
    <w:p w14:paraId="5324AAD0" w14:textId="77777777" w:rsidR="00F37B25" w:rsidRPr="00EB57FF" w:rsidRDefault="00F37B25" w:rsidP="00F37B25">
      <w:pPr>
        <w:tabs>
          <w:tab w:val="left" w:pos="288"/>
        </w:tabs>
        <w:spacing w:after="120" w:line="228" w:lineRule="auto"/>
        <w:ind w:firstLine="288"/>
        <w:jc w:val="both"/>
        <w:rPr>
          <w:rFonts w:ascii="Times New Roman" w:eastAsia="SimSun" w:hAnsi="Times New Roman" w:cs="Times New Roman"/>
          <w:kern w:val="0"/>
          <w:sz w:val="20"/>
          <w:szCs w:val="20"/>
          <w14:ligatures w14:val="none"/>
        </w:rPr>
      </w:pP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kern w:val="0"/>
          <w:sz w:val="20"/>
          <w:szCs w:val="20"/>
          <w14:ligatures w14:val="none"/>
        </w:rPr>
        <w:tab/>
      </w:r>
    </w:p>
    <w:p w14:paraId="40B9C262" w14:textId="77777777" w:rsidR="00F37B25" w:rsidRPr="00EB57FF" w:rsidRDefault="00F37B25" w:rsidP="00F37B25">
      <w:pPr>
        <w:tabs>
          <w:tab w:val="left" w:pos="288"/>
        </w:tabs>
        <w:spacing w:after="120" w:line="228" w:lineRule="auto"/>
        <w:ind w:firstLine="288"/>
        <w:jc w:val="both"/>
        <w:rPr>
          <w:rFonts w:ascii="Times New Roman" w:eastAsia="SimSun" w:hAnsi="Times New Roman" w:cs="Times New Roman"/>
          <w:i/>
          <w:iCs/>
          <w:spacing w:val="-1"/>
          <w:kern w:val="0"/>
          <w:sz w:val="20"/>
          <w:szCs w:val="20"/>
          <w:lang w:val="x-none" w:eastAsia="x-none"/>
          <w14:ligatures w14:val="none"/>
        </w:rPr>
      </w:pP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kern w:val="0"/>
          <w:sz w:val="20"/>
          <w:szCs w:val="20"/>
          <w14:ligatures w14:val="none"/>
        </w:rPr>
        <w:tab/>
      </w:r>
      <w:r w:rsidRPr="00EB57FF">
        <w:rPr>
          <w:rFonts w:ascii="Times New Roman" w:eastAsia="SimSun" w:hAnsi="Times New Roman" w:cs="Times New Roman"/>
          <w:i/>
          <w:iCs/>
          <w:spacing w:val="-1"/>
          <w:kern w:val="0"/>
          <w:sz w:val="20"/>
          <w:szCs w:val="20"/>
          <w:lang w:val="x-none" w:eastAsia="x-none"/>
          <w14:ligatures w14:val="none"/>
        </w:rPr>
        <w:t>R = f (H, V, E) </w:t>
      </w:r>
    </w:p>
    <w:p w14:paraId="3162F4C1" w14:textId="18E00746" w:rsidR="00F37B25" w:rsidRPr="00EB57FF" w:rsidRDefault="00F37B25" w:rsidP="00F37B25">
      <w:pPr>
        <w:tabs>
          <w:tab w:val="left" w:pos="288"/>
        </w:tabs>
        <w:spacing w:after="120" w:line="228" w:lineRule="auto"/>
        <w:ind w:firstLine="288"/>
        <w:jc w:val="both"/>
        <w:rPr>
          <w:rFonts w:ascii="Times New Roman" w:eastAsia="SimSun" w:hAnsi="Times New Roman" w:cs="Times New Roman"/>
          <w:spacing w:val="-1"/>
          <w:kern w:val="0"/>
          <w:sz w:val="20"/>
          <w:szCs w:val="20"/>
          <w:lang w:val="x-none" w:eastAsia="x-none"/>
          <w14:ligatures w14:val="none"/>
        </w:rPr>
      </w:pPr>
      <w:r w:rsidRPr="00EB57FF">
        <w:rPr>
          <w:rFonts w:ascii="Times New Roman" w:eastAsia="SimSun" w:hAnsi="Times New Roman" w:cs="Times New Roman"/>
          <w:spacing w:val="-1"/>
          <w:kern w:val="0"/>
          <w:sz w:val="20"/>
          <w:szCs w:val="20"/>
          <w:lang w:val="x-none" w:eastAsia="x-none"/>
          <w14:ligatures w14:val="none"/>
        </w:rPr>
        <w:t xml:space="preserve">Where risk is a function of </w:t>
      </w:r>
      <w:r w:rsidRPr="00EB57FF">
        <w:rPr>
          <w:rFonts w:ascii="Times New Roman" w:eastAsia="SimSun" w:hAnsi="Times New Roman" w:cs="Times New Roman"/>
          <w:bCs/>
          <w:spacing w:val="-1"/>
          <w:kern w:val="0"/>
          <w:sz w:val="20"/>
          <w:szCs w:val="20"/>
          <w:lang w:val="x-none" w:eastAsia="x-none"/>
          <w14:ligatures w14:val="none"/>
        </w:rPr>
        <w:t>hazard (H), vulnerability (V), and exposure (E)</w:t>
      </w:r>
      <w:r w:rsidRPr="00EB57FF">
        <w:rPr>
          <w:rFonts w:ascii="Times New Roman" w:eastAsia="SimSun" w:hAnsi="Times New Roman" w:cs="Times New Roman"/>
          <w:spacing w:val="-1"/>
          <w:kern w:val="0"/>
          <w:sz w:val="20"/>
          <w:szCs w:val="20"/>
          <w:lang w:val="x-none" w:eastAsia="x-none"/>
          <w14:ligatures w14:val="none"/>
        </w:rPr>
        <w:t xml:space="preserve">, wildfire hazard, while defined as the likelihood and severity of fire occurrence, does not inherently carry a probabilistic component. </w:t>
      </w:r>
      <w:r w:rsidR="00B62453">
        <w:rPr>
          <w:rFonts w:ascii="Times New Roman" w:eastAsia="SimSun" w:hAnsi="Times New Roman" w:cs="Times New Roman"/>
          <w:spacing w:val="-1"/>
          <w:kern w:val="0"/>
          <w:sz w:val="20"/>
          <w:szCs w:val="20"/>
          <w:lang w:eastAsia="x-none"/>
          <w14:ligatures w14:val="none"/>
        </w:rPr>
        <w:t>A wildfire occurrence probability function is introduced to integrate a probabilistic component</w:t>
      </w:r>
      <w:r w:rsidRPr="00EB57FF">
        <w:rPr>
          <w:rFonts w:ascii="Times New Roman" w:eastAsia="SimSun" w:hAnsi="Times New Roman" w:cs="Times New Roman"/>
          <w:spacing w:val="-1"/>
          <w:kern w:val="0"/>
          <w:sz w:val="20"/>
          <w:szCs w:val="20"/>
          <w:lang w:eastAsia="x-none"/>
          <w14:ligatures w14:val="none"/>
        </w:rPr>
        <w:t>, approximating the annual likelihood of burning per hazard based on historical burned area records.</w:t>
      </w:r>
      <w:r w:rsidRPr="00EB57FF">
        <w:rPr>
          <w:rFonts w:ascii="Times New Roman" w:eastAsia="SimSun" w:hAnsi="Times New Roman" w:cs="Times New Roman"/>
          <w:spacing w:val="-1"/>
          <w:kern w:val="0"/>
          <w:sz w:val="20"/>
          <w:szCs w:val="20"/>
          <w:lang w:val="x-none" w:eastAsia="x-none"/>
          <w14:ligatures w14:val="none"/>
        </w:rPr>
        <w:t xml:space="preserve"> This probability component enables the assessment of expected damages on exposed assets, considering both present conditions and future climate projections.</w:t>
      </w:r>
    </w:p>
    <w:p w14:paraId="3C547112" w14:textId="77777777" w:rsidR="00F37B25" w:rsidRPr="00EB57FF" w:rsidRDefault="00F37B25" w:rsidP="00F37B25">
      <w:pPr>
        <w:tabs>
          <w:tab w:val="left" w:pos="288"/>
        </w:tabs>
        <w:spacing w:after="120" w:line="228" w:lineRule="auto"/>
        <w:ind w:firstLine="288"/>
        <w:jc w:val="both"/>
        <w:rPr>
          <w:rFonts w:ascii="Times New Roman" w:eastAsia="SimSun" w:hAnsi="Times New Roman" w:cs="Times New Roman"/>
          <w:spacing w:val="-1"/>
          <w:kern w:val="0"/>
          <w:sz w:val="20"/>
          <w:szCs w:val="20"/>
          <w:lang w:val="x-none" w:eastAsia="x-none"/>
          <w14:ligatures w14:val="none"/>
        </w:rPr>
      </w:pPr>
    </w:p>
    <w:p w14:paraId="0E829B08" w14:textId="77777777" w:rsidR="00F37B25" w:rsidRPr="00EB57FF"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eastAsia="x-none"/>
          <w14:ligatures w14:val="none"/>
        </w:rPr>
      </w:pPr>
    </w:p>
    <w:p w14:paraId="43822D11" w14:textId="77777777" w:rsidR="00F37B25" w:rsidRPr="00EB57FF"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eastAsia="x-none"/>
          <w14:ligatures w14:val="none"/>
        </w:rPr>
      </w:pPr>
      <w:r w:rsidRPr="00EB57FF">
        <w:rPr>
          <w:rFonts w:ascii="Times New Roman" w:eastAsia="SimSun" w:hAnsi="Times New Roman" w:cs="Times New Roman"/>
          <w:spacing w:val="-1"/>
          <w:kern w:val="0"/>
          <w:sz w:val="20"/>
          <w:szCs w:val="20"/>
          <w:lang w:eastAsia="x-none"/>
          <w14:ligatures w14:val="none"/>
        </w:rPr>
        <w:t xml:space="preserve">The exposure assessment identifies key </w:t>
      </w:r>
      <w:r w:rsidRPr="00EB57FF">
        <w:rPr>
          <w:rFonts w:ascii="Times New Roman" w:eastAsia="SimSun" w:hAnsi="Times New Roman" w:cs="Times New Roman"/>
          <w:bCs/>
          <w:spacing w:val="-1"/>
          <w:kern w:val="0"/>
          <w:sz w:val="20"/>
          <w:szCs w:val="20"/>
          <w:lang w:eastAsia="x-none"/>
          <w14:ligatures w14:val="none"/>
        </w:rPr>
        <w:t>infrastructure and natural assets</w:t>
      </w:r>
      <w:r w:rsidRPr="00EB57FF">
        <w:rPr>
          <w:rFonts w:ascii="Times New Roman" w:eastAsia="SimSun" w:hAnsi="Times New Roman" w:cs="Times New Roman"/>
          <w:spacing w:val="-1"/>
          <w:kern w:val="0"/>
          <w:sz w:val="20"/>
          <w:szCs w:val="20"/>
          <w:lang w:eastAsia="x-none"/>
          <w14:ligatures w14:val="none"/>
        </w:rPr>
        <w:t xml:space="preserve"> at risk, categorized into eight primary classes:</w:t>
      </w:r>
    </w:p>
    <w:p w14:paraId="7407B0A0" w14:textId="15F13F32" w:rsidR="00F37B25" w:rsidRPr="00EB57FF" w:rsidRDefault="00F37B25" w:rsidP="00F37B25">
      <w:pPr>
        <w:pStyle w:val="Caption"/>
        <w:keepNext/>
        <w:rPr>
          <w:rFonts w:ascii="Times New Roman" w:hAnsi="Times New Roman" w:cs="Times New Roman"/>
          <w:sz w:val="20"/>
          <w:szCs w:val="20"/>
        </w:rPr>
      </w:pPr>
      <w:bookmarkStart w:id="2" w:name="_Toc195032829"/>
      <w:r w:rsidRPr="00EB57FF">
        <w:rPr>
          <w:rFonts w:ascii="Times New Roman" w:hAnsi="Times New Roman" w:cs="Times New Roman"/>
          <w:sz w:val="20"/>
          <w:szCs w:val="20"/>
        </w:rPr>
        <w:t xml:space="preserve">Table </w:t>
      </w:r>
      <w:r w:rsidR="00447CE6">
        <w:rPr>
          <w:rFonts w:ascii="Times New Roman" w:hAnsi="Times New Roman" w:cs="Times New Roman"/>
          <w:sz w:val="20"/>
          <w:szCs w:val="20"/>
        </w:rPr>
        <w:t>1</w:t>
      </w:r>
      <w:r w:rsidR="00560157">
        <w:rPr>
          <w:rFonts w:ascii="Times New Roman" w:hAnsi="Times New Roman" w:cs="Times New Roman"/>
          <w:sz w:val="20"/>
          <w:szCs w:val="20"/>
        </w:rPr>
        <w:t>.</w:t>
      </w:r>
      <w:r w:rsidRPr="00EB57FF">
        <w:rPr>
          <w:rFonts w:ascii="Times New Roman" w:hAnsi="Times New Roman" w:cs="Times New Roman"/>
          <w:sz w:val="20"/>
          <w:szCs w:val="20"/>
        </w:rPr>
        <w:t xml:space="preserve"> Main assets considered in the study and the indicators for which the risk/losses are assessed</w:t>
      </w:r>
      <w:bookmarkEnd w:id="2"/>
    </w:p>
    <w:tbl>
      <w:tblPr>
        <w:tblStyle w:val="TableGrid1"/>
        <w:tblW w:w="10046" w:type="dxa"/>
        <w:tblLayout w:type="fixed"/>
        <w:tblLook w:val="04A0" w:firstRow="1" w:lastRow="0" w:firstColumn="1" w:lastColumn="0" w:noHBand="0" w:noVBand="1"/>
      </w:tblPr>
      <w:tblGrid>
        <w:gridCol w:w="2337"/>
        <w:gridCol w:w="2682"/>
        <w:gridCol w:w="5027"/>
      </w:tblGrid>
      <w:tr w:rsidR="00F37B25" w:rsidRPr="00EB57FF" w14:paraId="1EED29E6" w14:textId="77777777" w:rsidTr="00024E9F">
        <w:trPr>
          <w:cantSplit/>
          <w:trHeight w:val="449"/>
          <w:tblHeader/>
        </w:trPr>
        <w:tc>
          <w:tcPr>
            <w:tcW w:w="2337" w:type="dxa"/>
            <w:vAlign w:val="center"/>
          </w:tcPr>
          <w:p w14:paraId="660FE6F4" w14:textId="77777777" w:rsidR="00F37B25" w:rsidRPr="00EB57FF" w:rsidRDefault="00F37B25" w:rsidP="00024E9F">
            <w:pPr>
              <w:tabs>
                <w:tab w:val="left" w:pos="288"/>
              </w:tabs>
              <w:spacing w:after="120" w:line="228" w:lineRule="auto"/>
              <w:jc w:val="both"/>
              <w:rPr>
                <w:b/>
                <w:spacing w:val="-1"/>
                <w:lang w:val="x-none" w:eastAsia="x-none"/>
              </w:rPr>
            </w:pPr>
            <w:r w:rsidRPr="00EB57FF">
              <w:rPr>
                <w:b/>
                <w:spacing w:val="-1"/>
                <w:lang w:val="x-none" w:eastAsia="x-none"/>
              </w:rPr>
              <w:t>Category</w:t>
            </w:r>
          </w:p>
        </w:tc>
        <w:tc>
          <w:tcPr>
            <w:tcW w:w="2682" w:type="dxa"/>
            <w:vAlign w:val="center"/>
          </w:tcPr>
          <w:p w14:paraId="0B1C1029" w14:textId="77777777" w:rsidR="00F37B25" w:rsidRPr="00EB57FF" w:rsidRDefault="00F37B25" w:rsidP="00024E9F">
            <w:pPr>
              <w:tabs>
                <w:tab w:val="left" w:pos="288"/>
              </w:tabs>
              <w:spacing w:after="120" w:line="228" w:lineRule="auto"/>
              <w:jc w:val="both"/>
              <w:rPr>
                <w:b/>
                <w:spacing w:val="-1"/>
                <w:lang w:val="x-none" w:eastAsia="x-none"/>
              </w:rPr>
            </w:pPr>
            <w:r w:rsidRPr="00EB57FF">
              <w:rPr>
                <w:b/>
                <w:spacing w:val="-1"/>
                <w:lang w:val="x-none" w:eastAsia="x-none"/>
              </w:rPr>
              <w:t>Source</w:t>
            </w:r>
          </w:p>
        </w:tc>
        <w:tc>
          <w:tcPr>
            <w:tcW w:w="5027" w:type="dxa"/>
            <w:vAlign w:val="center"/>
          </w:tcPr>
          <w:p w14:paraId="4EA4AF7D" w14:textId="77777777" w:rsidR="00F37B25" w:rsidRPr="00EB57FF" w:rsidRDefault="00F37B25" w:rsidP="00024E9F">
            <w:pPr>
              <w:tabs>
                <w:tab w:val="left" w:pos="288"/>
              </w:tabs>
              <w:spacing w:after="120" w:line="228" w:lineRule="auto"/>
              <w:jc w:val="both"/>
              <w:rPr>
                <w:b/>
                <w:spacing w:val="-1"/>
                <w:lang w:val="x-none" w:eastAsia="x-none"/>
              </w:rPr>
            </w:pPr>
            <w:r w:rsidRPr="00EB57FF">
              <w:rPr>
                <w:b/>
                <w:spacing w:val="-1"/>
                <w:lang w:val="x-none" w:eastAsia="x-none"/>
              </w:rPr>
              <w:t>Indicators</w:t>
            </w:r>
          </w:p>
        </w:tc>
      </w:tr>
      <w:tr w:rsidR="00F37B25" w:rsidRPr="00EB57FF" w14:paraId="7CC8B7EF" w14:textId="77777777" w:rsidTr="00024E9F">
        <w:trPr>
          <w:cantSplit/>
          <w:trHeight w:val="566"/>
        </w:trPr>
        <w:tc>
          <w:tcPr>
            <w:tcW w:w="2337" w:type="dxa"/>
            <w:vAlign w:val="center"/>
          </w:tcPr>
          <w:p w14:paraId="0B6D2E15"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Healthcare facilities</w:t>
            </w:r>
          </w:p>
        </w:tc>
        <w:tc>
          <w:tcPr>
            <w:tcW w:w="2682" w:type="dxa"/>
            <w:vAlign w:val="center"/>
          </w:tcPr>
          <w:p w14:paraId="768D80B7"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GEM</w:t>
            </w:r>
          </w:p>
        </w:tc>
        <w:tc>
          <w:tcPr>
            <w:tcW w:w="5027" w:type="dxa"/>
            <w:vAlign w:val="center"/>
          </w:tcPr>
          <w:p w14:paraId="2D8FE950"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04F66D38"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Number of beds</w:t>
            </w:r>
          </w:p>
        </w:tc>
      </w:tr>
      <w:tr w:rsidR="00F37B25" w:rsidRPr="00EB57FF" w14:paraId="26FD03BC" w14:textId="77777777" w:rsidTr="00024E9F">
        <w:trPr>
          <w:cantSplit/>
          <w:trHeight w:val="566"/>
        </w:trPr>
        <w:tc>
          <w:tcPr>
            <w:tcW w:w="2337" w:type="dxa"/>
            <w:vAlign w:val="center"/>
          </w:tcPr>
          <w:p w14:paraId="3B454DAD"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Educational buildings</w:t>
            </w:r>
          </w:p>
        </w:tc>
        <w:tc>
          <w:tcPr>
            <w:tcW w:w="2682" w:type="dxa"/>
            <w:vAlign w:val="center"/>
          </w:tcPr>
          <w:p w14:paraId="6CC1B771"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GEM</w:t>
            </w:r>
          </w:p>
        </w:tc>
        <w:tc>
          <w:tcPr>
            <w:tcW w:w="5027" w:type="dxa"/>
            <w:vAlign w:val="center"/>
          </w:tcPr>
          <w:p w14:paraId="5EA762D5"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56877E16"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Number of units/occupants</w:t>
            </w:r>
          </w:p>
        </w:tc>
      </w:tr>
      <w:tr w:rsidR="00F37B25" w:rsidRPr="00EB57FF" w14:paraId="1AA79152" w14:textId="77777777" w:rsidTr="00024E9F">
        <w:trPr>
          <w:cantSplit/>
          <w:trHeight w:val="849"/>
        </w:trPr>
        <w:tc>
          <w:tcPr>
            <w:tcW w:w="2337" w:type="dxa"/>
            <w:vAlign w:val="center"/>
          </w:tcPr>
          <w:p w14:paraId="538512CC"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Residential buildings</w:t>
            </w:r>
          </w:p>
        </w:tc>
        <w:tc>
          <w:tcPr>
            <w:tcW w:w="2682" w:type="dxa"/>
            <w:vAlign w:val="center"/>
          </w:tcPr>
          <w:p w14:paraId="332EEB3C"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GEM</w:t>
            </w:r>
          </w:p>
        </w:tc>
        <w:tc>
          <w:tcPr>
            <w:tcW w:w="5027" w:type="dxa"/>
            <w:vAlign w:val="center"/>
          </w:tcPr>
          <w:p w14:paraId="2A032F72"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573FE94D"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Number of structures</w:t>
            </w:r>
          </w:p>
          <w:p w14:paraId="49E6145A"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Number of residents</w:t>
            </w:r>
          </w:p>
        </w:tc>
      </w:tr>
      <w:tr w:rsidR="00F37B25" w:rsidRPr="00EB57FF" w14:paraId="29015C38" w14:textId="77777777" w:rsidTr="00024E9F">
        <w:trPr>
          <w:cantSplit/>
          <w:trHeight w:val="566"/>
        </w:trPr>
        <w:tc>
          <w:tcPr>
            <w:tcW w:w="2337" w:type="dxa"/>
            <w:vAlign w:val="center"/>
          </w:tcPr>
          <w:p w14:paraId="297EBB5A"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Industrial facilities</w:t>
            </w:r>
          </w:p>
        </w:tc>
        <w:tc>
          <w:tcPr>
            <w:tcW w:w="2682" w:type="dxa"/>
            <w:vAlign w:val="center"/>
          </w:tcPr>
          <w:p w14:paraId="7DE626E3"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GEM</w:t>
            </w:r>
          </w:p>
        </w:tc>
        <w:tc>
          <w:tcPr>
            <w:tcW w:w="5027" w:type="dxa"/>
            <w:vAlign w:val="center"/>
          </w:tcPr>
          <w:p w14:paraId="016EBF57"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10AF1D3D"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Number of structures</w:t>
            </w:r>
          </w:p>
        </w:tc>
      </w:tr>
      <w:tr w:rsidR="00F37B25" w:rsidRPr="00EB57FF" w14:paraId="32482760" w14:textId="77777777" w:rsidTr="00024E9F">
        <w:trPr>
          <w:cantSplit/>
          <w:trHeight w:val="566"/>
        </w:trPr>
        <w:tc>
          <w:tcPr>
            <w:tcW w:w="2337" w:type="dxa"/>
            <w:vAlign w:val="center"/>
          </w:tcPr>
          <w:p w14:paraId="343B9205"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Commercial infrastructure</w:t>
            </w:r>
          </w:p>
        </w:tc>
        <w:tc>
          <w:tcPr>
            <w:tcW w:w="2682" w:type="dxa"/>
            <w:vAlign w:val="center"/>
          </w:tcPr>
          <w:p w14:paraId="6C5D9874"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GEM</w:t>
            </w:r>
          </w:p>
        </w:tc>
        <w:tc>
          <w:tcPr>
            <w:tcW w:w="5027" w:type="dxa"/>
            <w:vAlign w:val="center"/>
          </w:tcPr>
          <w:p w14:paraId="5DAE7909"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09663D3E"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Number of structures</w:t>
            </w:r>
          </w:p>
        </w:tc>
      </w:tr>
      <w:tr w:rsidR="00F37B25" w:rsidRPr="00EB57FF" w14:paraId="52CB5E89" w14:textId="77777777" w:rsidTr="00024E9F">
        <w:trPr>
          <w:cantSplit/>
          <w:trHeight w:val="566"/>
        </w:trPr>
        <w:tc>
          <w:tcPr>
            <w:tcW w:w="2337" w:type="dxa"/>
            <w:vAlign w:val="center"/>
          </w:tcPr>
          <w:p w14:paraId="151B5C07"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Broadleaves forests</w:t>
            </w:r>
          </w:p>
        </w:tc>
        <w:tc>
          <w:tcPr>
            <w:tcW w:w="2682" w:type="dxa"/>
            <w:vAlign w:val="center"/>
          </w:tcPr>
          <w:p w14:paraId="55A63D53"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CORINE</w:t>
            </w:r>
          </w:p>
        </w:tc>
        <w:tc>
          <w:tcPr>
            <w:tcW w:w="5027" w:type="dxa"/>
            <w:vAlign w:val="center"/>
          </w:tcPr>
          <w:p w14:paraId="658B8F9D"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36115A8B"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Hectares of forest exposed</w:t>
            </w:r>
          </w:p>
        </w:tc>
      </w:tr>
      <w:tr w:rsidR="00F37B25" w:rsidRPr="00EB57FF" w14:paraId="654106F1" w14:textId="77777777" w:rsidTr="00024E9F">
        <w:trPr>
          <w:cantSplit/>
          <w:trHeight w:val="566"/>
        </w:trPr>
        <w:tc>
          <w:tcPr>
            <w:tcW w:w="2337" w:type="dxa"/>
            <w:vAlign w:val="center"/>
          </w:tcPr>
          <w:p w14:paraId="5EF69804"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 xml:space="preserve">Coniferous forests </w:t>
            </w:r>
          </w:p>
        </w:tc>
        <w:tc>
          <w:tcPr>
            <w:tcW w:w="2682" w:type="dxa"/>
            <w:vAlign w:val="center"/>
          </w:tcPr>
          <w:p w14:paraId="3532C106"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CORINE</w:t>
            </w:r>
          </w:p>
        </w:tc>
        <w:tc>
          <w:tcPr>
            <w:tcW w:w="5027" w:type="dxa"/>
            <w:vAlign w:val="center"/>
          </w:tcPr>
          <w:p w14:paraId="7723C869"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Economic value</w:t>
            </w:r>
          </w:p>
          <w:p w14:paraId="32CC5E0E"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Hectares of forest exposed</w:t>
            </w:r>
          </w:p>
        </w:tc>
      </w:tr>
      <w:tr w:rsidR="00F37B25" w:rsidRPr="00EB57FF" w14:paraId="10D71AA1" w14:textId="77777777" w:rsidTr="00024E9F">
        <w:trPr>
          <w:cantSplit/>
          <w:trHeight w:val="449"/>
        </w:trPr>
        <w:tc>
          <w:tcPr>
            <w:tcW w:w="2337" w:type="dxa"/>
            <w:vAlign w:val="center"/>
          </w:tcPr>
          <w:p w14:paraId="0AB42CD0" w14:textId="0D58DC1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Road</w:t>
            </w:r>
            <w:r w:rsidR="00B62453">
              <w:rPr>
                <w:spacing w:val="-1"/>
                <w:lang w:val="x-none" w:eastAsia="x-none"/>
              </w:rPr>
              <w:t>'</w:t>
            </w:r>
            <w:r w:rsidRPr="00EB57FF">
              <w:rPr>
                <w:spacing w:val="-1"/>
                <w:lang w:val="x-none" w:eastAsia="x-none"/>
              </w:rPr>
              <w:t>s network</w:t>
            </w:r>
          </w:p>
        </w:tc>
        <w:tc>
          <w:tcPr>
            <w:tcW w:w="2682" w:type="dxa"/>
            <w:vAlign w:val="center"/>
          </w:tcPr>
          <w:p w14:paraId="3D27D232"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JRC</w:t>
            </w:r>
            <w:r w:rsidRPr="00EB57FF">
              <w:rPr>
                <w:spacing w:val="-1"/>
                <w:vertAlign w:val="superscript"/>
                <w:lang w:val="x-none" w:eastAsia="x-none"/>
              </w:rPr>
              <w:footnoteReference w:id="1"/>
            </w:r>
            <w:r w:rsidRPr="00EB57FF">
              <w:rPr>
                <w:spacing w:val="-1"/>
                <w:lang w:val="x-none" w:eastAsia="x-none"/>
              </w:rPr>
              <w:t xml:space="preserve"> / OSM</w:t>
            </w:r>
            <w:r w:rsidRPr="00EB57FF">
              <w:rPr>
                <w:spacing w:val="-1"/>
                <w:vertAlign w:val="superscript"/>
                <w:lang w:val="x-none" w:eastAsia="x-none"/>
              </w:rPr>
              <w:footnoteReference w:id="2"/>
            </w:r>
          </w:p>
        </w:tc>
        <w:tc>
          <w:tcPr>
            <w:tcW w:w="5027" w:type="dxa"/>
            <w:vAlign w:val="center"/>
          </w:tcPr>
          <w:p w14:paraId="3BB7AF91" w14:textId="77777777" w:rsidR="00F37B25" w:rsidRPr="00EB57FF" w:rsidRDefault="00F37B25" w:rsidP="00024E9F">
            <w:pPr>
              <w:tabs>
                <w:tab w:val="left" w:pos="288"/>
              </w:tabs>
              <w:spacing w:after="120" w:line="228" w:lineRule="auto"/>
              <w:jc w:val="both"/>
              <w:rPr>
                <w:spacing w:val="-1"/>
                <w:lang w:val="x-none" w:eastAsia="x-none"/>
              </w:rPr>
            </w:pPr>
            <w:r w:rsidRPr="00EB57FF">
              <w:rPr>
                <w:spacing w:val="-1"/>
                <w:lang w:val="x-none" w:eastAsia="x-none"/>
              </w:rPr>
              <w:t>Kilometers of primary and secondary roads</w:t>
            </w:r>
          </w:p>
        </w:tc>
      </w:tr>
    </w:tbl>
    <w:p w14:paraId="27255ADF" w14:textId="77777777" w:rsidR="00F37B25" w:rsidRPr="00EB57FF"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eastAsia="x-none"/>
          <w14:ligatures w14:val="none"/>
        </w:rPr>
      </w:pPr>
    </w:p>
    <w:p w14:paraId="5F1BE252" w14:textId="77777777" w:rsidR="00F37B25" w:rsidRPr="00EB57FF"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eastAsia="x-none"/>
          <w14:ligatures w14:val="none"/>
        </w:rPr>
      </w:pPr>
      <w:r w:rsidRPr="00EB57FF">
        <w:rPr>
          <w:rFonts w:ascii="Times New Roman" w:eastAsia="SimSun" w:hAnsi="Times New Roman" w:cs="Times New Roman"/>
          <w:spacing w:val="-1"/>
          <w:kern w:val="0"/>
          <w:sz w:val="20"/>
          <w:szCs w:val="20"/>
          <w:lang w:eastAsia="x-none"/>
          <w14:ligatures w14:val="none"/>
        </w:rPr>
        <w:t xml:space="preserve">The </w:t>
      </w:r>
      <w:r w:rsidRPr="00EB57FF">
        <w:rPr>
          <w:rFonts w:ascii="Times New Roman" w:eastAsia="SimSun" w:hAnsi="Times New Roman" w:cs="Times New Roman"/>
          <w:bCs/>
          <w:spacing w:val="-1"/>
          <w:kern w:val="0"/>
          <w:sz w:val="20"/>
          <w:szCs w:val="20"/>
          <w:lang w:eastAsia="x-none"/>
          <w14:ligatures w14:val="none"/>
        </w:rPr>
        <w:t>Global Earthquake Model (GEM) database</w:t>
      </w:r>
      <w:r w:rsidRPr="00EB57FF">
        <w:rPr>
          <w:rFonts w:ascii="Times New Roman" w:eastAsia="SimSun" w:hAnsi="Times New Roman" w:cs="Times New Roman"/>
          <w:spacing w:val="-1"/>
          <w:kern w:val="0"/>
          <w:sz w:val="20"/>
          <w:szCs w:val="20"/>
          <w:lang w:eastAsia="x-none"/>
          <w14:ligatures w14:val="none"/>
        </w:rPr>
        <w:t xml:space="preserve"> provides economic valuations for infrastructure categories, updated at five-year intervals from </w:t>
      </w:r>
      <w:r w:rsidRPr="00EB57FF">
        <w:rPr>
          <w:rFonts w:ascii="Times New Roman" w:eastAsia="SimSun" w:hAnsi="Times New Roman" w:cs="Times New Roman"/>
          <w:bCs/>
          <w:spacing w:val="-1"/>
          <w:kern w:val="0"/>
          <w:sz w:val="20"/>
          <w:szCs w:val="20"/>
          <w:lang w:eastAsia="x-none"/>
          <w14:ligatures w14:val="none"/>
        </w:rPr>
        <w:t>2025 to 2050</w:t>
      </w:r>
      <w:r w:rsidRPr="00EB57FF">
        <w:rPr>
          <w:rFonts w:ascii="Times New Roman" w:eastAsia="SimSun" w:hAnsi="Times New Roman" w:cs="Times New Roman"/>
          <w:spacing w:val="-1"/>
          <w:kern w:val="0"/>
          <w:sz w:val="20"/>
          <w:szCs w:val="20"/>
          <w:lang w:eastAsia="x-none"/>
          <w14:ligatures w14:val="none"/>
        </w:rPr>
        <w:t xml:space="preserve">, reflecting socio-economic changes. Forest economic values are estimated using </w:t>
      </w:r>
      <w:r w:rsidRPr="00EB57FF">
        <w:rPr>
          <w:rFonts w:ascii="Times New Roman" w:eastAsia="SimSun" w:hAnsi="Times New Roman" w:cs="Times New Roman"/>
          <w:bCs/>
          <w:spacing w:val="-1"/>
          <w:kern w:val="0"/>
          <w:sz w:val="20"/>
          <w:szCs w:val="20"/>
          <w:lang w:eastAsia="x-none"/>
          <w14:ligatures w14:val="none"/>
        </w:rPr>
        <w:t>tree species market prices</w:t>
      </w:r>
      <w:r w:rsidRPr="00EB57FF">
        <w:rPr>
          <w:rFonts w:ascii="Times New Roman" w:eastAsia="SimSun" w:hAnsi="Times New Roman" w:cs="Times New Roman"/>
          <w:spacing w:val="-1"/>
          <w:kern w:val="0"/>
          <w:sz w:val="20"/>
          <w:szCs w:val="20"/>
          <w:lang w:eastAsia="x-none"/>
          <w14:ligatures w14:val="none"/>
        </w:rPr>
        <w:t xml:space="preserve"> and </w:t>
      </w:r>
      <w:r w:rsidRPr="00EB57FF">
        <w:rPr>
          <w:rFonts w:ascii="Times New Roman" w:eastAsia="SimSun" w:hAnsi="Times New Roman" w:cs="Times New Roman"/>
          <w:bCs/>
          <w:spacing w:val="-1"/>
          <w:kern w:val="0"/>
          <w:sz w:val="20"/>
          <w:szCs w:val="20"/>
          <w:lang w:eastAsia="x-none"/>
          <w14:ligatures w14:val="none"/>
        </w:rPr>
        <w:t>stand densities</w:t>
      </w:r>
      <w:r w:rsidRPr="00EB57FF">
        <w:rPr>
          <w:rFonts w:ascii="Times New Roman" w:eastAsia="SimSun" w:hAnsi="Times New Roman" w:cs="Times New Roman"/>
          <w:spacing w:val="-1"/>
          <w:kern w:val="0"/>
          <w:sz w:val="20"/>
          <w:szCs w:val="20"/>
          <w:lang w:eastAsia="x-none"/>
          <w14:ligatures w14:val="none"/>
        </w:rPr>
        <w:t>, as detailed in the following table.</w:t>
      </w:r>
    </w:p>
    <w:p w14:paraId="4BC63E4D" w14:textId="2D244F7B" w:rsidR="00F37B25" w:rsidRPr="00EB57FF" w:rsidRDefault="00F37B25" w:rsidP="00F37B25">
      <w:pPr>
        <w:pStyle w:val="Caption"/>
        <w:keepNext/>
        <w:rPr>
          <w:rFonts w:ascii="Times New Roman" w:hAnsi="Times New Roman" w:cs="Times New Roman"/>
          <w:sz w:val="20"/>
          <w:szCs w:val="20"/>
        </w:rPr>
      </w:pPr>
      <w:bookmarkStart w:id="3" w:name="_Toc195032830"/>
      <w:r w:rsidRPr="00EB57FF">
        <w:rPr>
          <w:rFonts w:ascii="Times New Roman" w:hAnsi="Times New Roman" w:cs="Times New Roman"/>
          <w:sz w:val="20"/>
          <w:szCs w:val="20"/>
        </w:rPr>
        <w:t xml:space="preserve">Table </w:t>
      </w:r>
      <w:r w:rsidR="00447CE6">
        <w:rPr>
          <w:rFonts w:ascii="Times New Roman" w:hAnsi="Times New Roman" w:cs="Times New Roman"/>
          <w:sz w:val="20"/>
          <w:szCs w:val="20"/>
        </w:rPr>
        <w:t>2</w:t>
      </w:r>
      <w:r w:rsidR="00560157">
        <w:rPr>
          <w:rFonts w:ascii="Times New Roman" w:hAnsi="Times New Roman" w:cs="Times New Roman"/>
          <w:sz w:val="20"/>
          <w:szCs w:val="20"/>
        </w:rPr>
        <w:t>.</w:t>
      </w:r>
      <w:r w:rsidRPr="00EB57FF">
        <w:rPr>
          <w:rFonts w:ascii="Times New Roman" w:hAnsi="Times New Roman" w:cs="Times New Roman"/>
          <w:sz w:val="20"/>
          <w:szCs w:val="20"/>
        </w:rPr>
        <w:t xml:space="preserve"> Economic Values for broadleaves and Coniferous forests (before harvesting)</w:t>
      </w:r>
      <w:bookmarkEnd w:id="3"/>
    </w:p>
    <w:tbl>
      <w:tblPr>
        <w:tblStyle w:val="TableGrid1"/>
        <w:tblW w:w="9918" w:type="dxa"/>
        <w:jc w:val="center"/>
        <w:tblLook w:val="04A0" w:firstRow="1" w:lastRow="0" w:firstColumn="1" w:lastColumn="0" w:noHBand="0" w:noVBand="1"/>
      </w:tblPr>
      <w:tblGrid>
        <w:gridCol w:w="4543"/>
        <w:gridCol w:w="2291"/>
        <w:gridCol w:w="3084"/>
      </w:tblGrid>
      <w:tr w:rsidR="00F37B25" w:rsidRPr="00EB57FF" w14:paraId="183FF877" w14:textId="77777777" w:rsidTr="00024E9F">
        <w:trPr>
          <w:cantSplit/>
          <w:trHeight w:val="495"/>
          <w:tblHeader/>
          <w:jc w:val="center"/>
        </w:trPr>
        <w:tc>
          <w:tcPr>
            <w:tcW w:w="4543" w:type="dxa"/>
          </w:tcPr>
          <w:p w14:paraId="0F50FA00" w14:textId="77777777" w:rsidR="00F37B25" w:rsidRPr="00EB57FF" w:rsidRDefault="00F37B25" w:rsidP="00024E9F">
            <w:pPr>
              <w:tabs>
                <w:tab w:val="left" w:pos="288"/>
              </w:tabs>
              <w:spacing w:after="120" w:line="228" w:lineRule="auto"/>
              <w:ind w:firstLine="288"/>
              <w:jc w:val="both"/>
              <w:rPr>
                <w:b/>
                <w:spacing w:val="-1"/>
                <w:lang w:eastAsia="x-none"/>
              </w:rPr>
            </w:pPr>
            <w:r w:rsidRPr="00EB57FF">
              <w:rPr>
                <w:b/>
                <w:spacing w:val="-1"/>
                <w:lang w:eastAsia="x-none"/>
              </w:rPr>
              <w:t>Tree</w:t>
            </w:r>
          </w:p>
        </w:tc>
        <w:tc>
          <w:tcPr>
            <w:tcW w:w="2291" w:type="dxa"/>
          </w:tcPr>
          <w:p w14:paraId="3093864D" w14:textId="77777777" w:rsidR="00F37B25" w:rsidRPr="00EB57FF" w:rsidRDefault="00F37B25" w:rsidP="00024E9F">
            <w:pPr>
              <w:tabs>
                <w:tab w:val="left" w:pos="288"/>
              </w:tabs>
              <w:spacing w:after="120" w:line="228" w:lineRule="auto"/>
              <w:jc w:val="both"/>
              <w:rPr>
                <w:b/>
                <w:spacing w:val="-1"/>
                <w:lang w:eastAsia="x-none"/>
              </w:rPr>
            </w:pPr>
            <w:r w:rsidRPr="00EB57FF">
              <w:rPr>
                <w:b/>
                <w:spacing w:val="-1"/>
                <w:lang w:eastAsia="x-none"/>
              </w:rPr>
              <w:t>Price per m</w:t>
            </w:r>
            <w:r w:rsidRPr="00EB57FF">
              <w:rPr>
                <w:b/>
                <w:spacing w:val="-1"/>
                <w:vertAlign w:val="superscript"/>
                <w:lang w:eastAsia="x-none"/>
              </w:rPr>
              <w:t>3</w:t>
            </w:r>
            <w:r w:rsidRPr="00EB57FF">
              <w:rPr>
                <w:b/>
                <w:spacing w:val="-1"/>
                <w:lang w:eastAsia="x-none"/>
              </w:rPr>
              <w:t xml:space="preserve"> (BGN)</w:t>
            </w:r>
          </w:p>
        </w:tc>
        <w:tc>
          <w:tcPr>
            <w:tcW w:w="3084" w:type="dxa"/>
          </w:tcPr>
          <w:p w14:paraId="26940992" w14:textId="77777777" w:rsidR="00F37B25" w:rsidRPr="00EB57FF" w:rsidRDefault="00F37B25" w:rsidP="00024E9F">
            <w:pPr>
              <w:tabs>
                <w:tab w:val="left" w:pos="288"/>
              </w:tabs>
              <w:spacing w:after="120" w:line="228" w:lineRule="auto"/>
              <w:jc w:val="both"/>
              <w:rPr>
                <w:b/>
                <w:spacing w:val="-1"/>
                <w:lang w:eastAsia="x-none"/>
              </w:rPr>
            </w:pPr>
            <w:r w:rsidRPr="00EB57FF">
              <w:rPr>
                <w:b/>
                <w:spacing w:val="-1"/>
                <w:lang w:eastAsia="x-none"/>
              </w:rPr>
              <w:t>Density (m</w:t>
            </w:r>
            <w:r w:rsidRPr="00EB57FF">
              <w:rPr>
                <w:b/>
                <w:spacing w:val="-1"/>
                <w:vertAlign w:val="superscript"/>
                <w:lang w:eastAsia="x-none"/>
              </w:rPr>
              <w:t>3</w:t>
            </w:r>
            <w:r w:rsidRPr="00EB57FF">
              <w:rPr>
                <w:b/>
                <w:spacing w:val="-1"/>
                <w:lang w:eastAsia="x-none"/>
              </w:rPr>
              <w:t>/ha)</w:t>
            </w:r>
          </w:p>
        </w:tc>
      </w:tr>
      <w:tr w:rsidR="00F37B25" w:rsidRPr="00EB57FF" w14:paraId="20F472DC" w14:textId="77777777" w:rsidTr="00024E9F">
        <w:trPr>
          <w:cantSplit/>
          <w:trHeight w:val="254"/>
          <w:jc w:val="center"/>
        </w:trPr>
        <w:tc>
          <w:tcPr>
            <w:tcW w:w="4543" w:type="dxa"/>
            <w:vAlign w:val="center"/>
          </w:tcPr>
          <w:p w14:paraId="692B9936" w14:textId="77777777" w:rsidR="00F37B25" w:rsidRPr="00EB57FF" w:rsidRDefault="00F37B25" w:rsidP="00024E9F">
            <w:pPr>
              <w:tabs>
                <w:tab w:val="left" w:pos="288"/>
              </w:tabs>
              <w:spacing w:after="120" w:line="228" w:lineRule="auto"/>
              <w:jc w:val="both"/>
              <w:rPr>
                <w:i/>
                <w:iCs/>
                <w:spacing w:val="-1"/>
                <w:lang w:eastAsia="x-none"/>
              </w:rPr>
            </w:pPr>
            <w:r w:rsidRPr="00EB57FF">
              <w:rPr>
                <w:spacing w:val="-1"/>
                <w:lang w:eastAsia="x-none"/>
              </w:rPr>
              <w:t>Coniferous large sized</w:t>
            </w:r>
          </w:p>
        </w:tc>
        <w:tc>
          <w:tcPr>
            <w:tcW w:w="2291" w:type="dxa"/>
            <w:vAlign w:val="center"/>
          </w:tcPr>
          <w:p w14:paraId="48A19E5C" w14:textId="77777777" w:rsidR="00F37B25" w:rsidRPr="00EB57FF" w:rsidRDefault="00F37B25" w:rsidP="00024E9F">
            <w:pPr>
              <w:tabs>
                <w:tab w:val="left" w:pos="288"/>
              </w:tabs>
              <w:spacing w:after="120" w:line="228" w:lineRule="auto"/>
              <w:ind w:firstLine="288"/>
              <w:jc w:val="both"/>
              <w:rPr>
                <w:i/>
                <w:iCs/>
                <w:spacing w:val="-1"/>
                <w:lang w:eastAsia="x-none"/>
              </w:rPr>
            </w:pPr>
            <w:r w:rsidRPr="00EB57FF">
              <w:rPr>
                <w:spacing w:val="-1"/>
                <w:lang w:eastAsia="x-none"/>
              </w:rPr>
              <w:t>127.5</w:t>
            </w:r>
          </w:p>
        </w:tc>
        <w:tc>
          <w:tcPr>
            <w:tcW w:w="3084" w:type="dxa"/>
            <w:vMerge w:val="restart"/>
            <w:vAlign w:val="center"/>
          </w:tcPr>
          <w:p w14:paraId="7B44FEEB" w14:textId="77777777" w:rsidR="00F37B25" w:rsidRPr="00EB57FF" w:rsidRDefault="00F37B25" w:rsidP="00024E9F">
            <w:pPr>
              <w:tabs>
                <w:tab w:val="left" w:pos="288"/>
              </w:tabs>
              <w:spacing w:after="120" w:line="228" w:lineRule="auto"/>
              <w:ind w:firstLine="288"/>
              <w:jc w:val="both"/>
              <w:rPr>
                <w:spacing w:val="-1"/>
                <w:lang w:eastAsia="x-none"/>
              </w:rPr>
            </w:pPr>
            <w:r w:rsidRPr="00EB57FF">
              <w:rPr>
                <w:spacing w:val="-1"/>
                <w:lang w:eastAsia="x-none"/>
              </w:rPr>
              <w:t>268</w:t>
            </w:r>
          </w:p>
        </w:tc>
      </w:tr>
      <w:tr w:rsidR="00F37B25" w:rsidRPr="00EB57FF" w14:paraId="767CAAF1" w14:textId="77777777" w:rsidTr="00024E9F">
        <w:trPr>
          <w:cantSplit/>
          <w:trHeight w:val="254"/>
          <w:jc w:val="center"/>
        </w:trPr>
        <w:tc>
          <w:tcPr>
            <w:tcW w:w="4543" w:type="dxa"/>
            <w:vAlign w:val="center"/>
          </w:tcPr>
          <w:p w14:paraId="5CE73491" w14:textId="77777777" w:rsidR="00F37B25" w:rsidRPr="00EB57FF" w:rsidRDefault="00F37B25" w:rsidP="00024E9F">
            <w:pPr>
              <w:tabs>
                <w:tab w:val="left" w:pos="288"/>
              </w:tabs>
              <w:spacing w:after="120" w:line="228" w:lineRule="auto"/>
              <w:jc w:val="both"/>
              <w:rPr>
                <w:i/>
                <w:iCs/>
                <w:spacing w:val="-1"/>
                <w:lang w:eastAsia="x-none"/>
              </w:rPr>
            </w:pPr>
            <w:r w:rsidRPr="00EB57FF">
              <w:rPr>
                <w:spacing w:val="-1"/>
                <w:lang w:eastAsia="x-none"/>
              </w:rPr>
              <w:t>Coniferous small sized</w:t>
            </w:r>
          </w:p>
        </w:tc>
        <w:tc>
          <w:tcPr>
            <w:tcW w:w="2291" w:type="dxa"/>
            <w:vAlign w:val="center"/>
          </w:tcPr>
          <w:p w14:paraId="2CD885EE" w14:textId="77777777" w:rsidR="00F37B25" w:rsidRPr="00EB57FF" w:rsidRDefault="00F37B25" w:rsidP="00024E9F">
            <w:pPr>
              <w:tabs>
                <w:tab w:val="left" w:pos="288"/>
              </w:tabs>
              <w:spacing w:after="120" w:line="228" w:lineRule="auto"/>
              <w:ind w:firstLine="288"/>
              <w:jc w:val="both"/>
              <w:rPr>
                <w:i/>
                <w:iCs/>
                <w:spacing w:val="-1"/>
                <w:lang w:eastAsia="x-none"/>
              </w:rPr>
            </w:pPr>
            <w:r w:rsidRPr="00EB57FF">
              <w:rPr>
                <w:spacing w:val="-1"/>
                <w:lang w:eastAsia="x-none"/>
              </w:rPr>
              <w:t>55.1</w:t>
            </w:r>
          </w:p>
        </w:tc>
        <w:tc>
          <w:tcPr>
            <w:tcW w:w="3084" w:type="dxa"/>
            <w:vMerge/>
            <w:vAlign w:val="center"/>
          </w:tcPr>
          <w:p w14:paraId="0996BA7B" w14:textId="77777777" w:rsidR="00F37B25" w:rsidRPr="00EB57FF" w:rsidRDefault="00F37B25" w:rsidP="00024E9F">
            <w:pPr>
              <w:tabs>
                <w:tab w:val="left" w:pos="288"/>
              </w:tabs>
              <w:spacing w:after="120" w:line="228" w:lineRule="auto"/>
              <w:ind w:firstLine="288"/>
              <w:jc w:val="both"/>
              <w:rPr>
                <w:spacing w:val="-1"/>
                <w:lang w:eastAsia="x-none"/>
              </w:rPr>
            </w:pPr>
          </w:p>
        </w:tc>
      </w:tr>
      <w:tr w:rsidR="00F37B25" w:rsidRPr="00EB57FF" w14:paraId="393ED2AD" w14:textId="77777777" w:rsidTr="00024E9F">
        <w:trPr>
          <w:cantSplit/>
          <w:trHeight w:val="254"/>
          <w:jc w:val="center"/>
        </w:trPr>
        <w:tc>
          <w:tcPr>
            <w:tcW w:w="4543" w:type="dxa"/>
            <w:vAlign w:val="center"/>
          </w:tcPr>
          <w:p w14:paraId="27B6CA7A" w14:textId="77777777" w:rsidR="00F37B25" w:rsidRPr="00EB57FF" w:rsidRDefault="00F37B25" w:rsidP="00024E9F">
            <w:pPr>
              <w:tabs>
                <w:tab w:val="left" w:pos="288"/>
              </w:tabs>
              <w:spacing w:after="120" w:line="228" w:lineRule="auto"/>
              <w:jc w:val="both"/>
              <w:rPr>
                <w:i/>
                <w:iCs/>
                <w:spacing w:val="-1"/>
                <w:lang w:eastAsia="x-none"/>
              </w:rPr>
            </w:pPr>
            <w:r w:rsidRPr="00EB57FF">
              <w:rPr>
                <w:spacing w:val="-1"/>
                <w:lang w:eastAsia="x-none"/>
              </w:rPr>
              <w:t>Deciduous large sized</w:t>
            </w:r>
          </w:p>
        </w:tc>
        <w:tc>
          <w:tcPr>
            <w:tcW w:w="2291" w:type="dxa"/>
            <w:vAlign w:val="center"/>
          </w:tcPr>
          <w:p w14:paraId="2A826597" w14:textId="77777777" w:rsidR="00F37B25" w:rsidRPr="00EB57FF" w:rsidRDefault="00F37B25" w:rsidP="00024E9F">
            <w:pPr>
              <w:tabs>
                <w:tab w:val="left" w:pos="288"/>
              </w:tabs>
              <w:spacing w:after="120" w:line="228" w:lineRule="auto"/>
              <w:ind w:firstLine="288"/>
              <w:jc w:val="both"/>
              <w:rPr>
                <w:i/>
                <w:iCs/>
                <w:spacing w:val="-1"/>
                <w:lang w:eastAsia="x-none"/>
              </w:rPr>
            </w:pPr>
            <w:r w:rsidRPr="00EB57FF">
              <w:rPr>
                <w:spacing w:val="-1"/>
                <w:lang w:eastAsia="x-none"/>
              </w:rPr>
              <w:t>121.1</w:t>
            </w:r>
          </w:p>
        </w:tc>
        <w:tc>
          <w:tcPr>
            <w:tcW w:w="3084" w:type="dxa"/>
            <w:vMerge w:val="restart"/>
            <w:vAlign w:val="center"/>
          </w:tcPr>
          <w:p w14:paraId="67801F54" w14:textId="77777777" w:rsidR="00F37B25" w:rsidRPr="00EB57FF" w:rsidRDefault="00F37B25" w:rsidP="00024E9F">
            <w:pPr>
              <w:tabs>
                <w:tab w:val="left" w:pos="288"/>
              </w:tabs>
              <w:spacing w:after="120" w:line="228" w:lineRule="auto"/>
              <w:ind w:firstLine="288"/>
              <w:jc w:val="both"/>
              <w:rPr>
                <w:spacing w:val="-1"/>
                <w:lang w:eastAsia="x-none"/>
              </w:rPr>
            </w:pPr>
            <w:r w:rsidRPr="00EB57FF">
              <w:rPr>
                <w:spacing w:val="-1"/>
                <w:lang w:eastAsia="x-none"/>
              </w:rPr>
              <w:t>150</w:t>
            </w:r>
          </w:p>
        </w:tc>
      </w:tr>
      <w:tr w:rsidR="00F37B25" w:rsidRPr="00EB57FF" w14:paraId="0A2E013C" w14:textId="77777777" w:rsidTr="00024E9F">
        <w:trPr>
          <w:cantSplit/>
          <w:trHeight w:val="254"/>
          <w:jc w:val="center"/>
        </w:trPr>
        <w:tc>
          <w:tcPr>
            <w:tcW w:w="4543" w:type="dxa"/>
            <w:vAlign w:val="center"/>
          </w:tcPr>
          <w:p w14:paraId="3A2505AC" w14:textId="77777777" w:rsidR="00F37B25" w:rsidRPr="00EB57FF" w:rsidRDefault="00F37B25" w:rsidP="00024E9F">
            <w:pPr>
              <w:tabs>
                <w:tab w:val="left" w:pos="288"/>
              </w:tabs>
              <w:spacing w:after="120" w:line="228" w:lineRule="auto"/>
              <w:jc w:val="both"/>
              <w:rPr>
                <w:i/>
                <w:iCs/>
                <w:spacing w:val="-1"/>
                <w:lang w:eastAsia="x-none"/>
              </w:rPr>
            </w:pPr>
            <w:r w:rsidRPr="00EB57FF">
              <w:rPr>
                <w:spacing w:val="-1"/>
                <w:lang w:eastAsia="x-none"/>
              </w:rPr>
              <w:t>Deciduous medium and small-sized</w:t>
            </w:r>
          </w:p>
        </w:tc>
        <w:tc>
          <w:tcPr>
            <w:tcW w:w="2291" w:type="dxa"/>
            <w:vAlign w:val="center"/>
          </w:tcPr>
          <w:p w14:paraId="3957749F" w14:textId="77777777" w:rsidR="00F37B25" w:rsidRPr="00EB57FF" w:rsidRDefault="00F37B25" w:rsidP="00024E9F">
            <w:pPr>
              <w:tabs>
                <w:tab w:val="left" w:pos="288"/>
              </w:tabs>
              <w:spacing w:after="120" w:line="228" w:lineRule="auto"/>
              <w:ind w:firstLine="288"/>
              <w:jc w:val="both"/>
              <w:rPr>
                <w:i/>
                <w:iCs/>
                <w:spacing w:val="-1"/>
                <w:lang w:eastAsia="x-none"/>
              </w:rPr>
            </w:pPr>
            <w:r w:rsidRPr="00EB57FF">
              <w:rPr>
                <w:spacing w:val="-1"/>
                <w:lang w:eastAsia="x-none"/>
              </w:rPr>
              <w:t>78.8</w:t>
            </w:r>
          </w:p>
        </w:tc>
        <w:tc>
          <w:tcPr>
            <w:tcW w:w="3084" w:type="dxa"/>
            <w:vMerge/>
          </w:tcPr>
          <w:p w14:paraId="6B21C922" w14:textId="77777777" w:rsidR="00F37B25" w:rsidRPr="00EB57FF" w:rsidRDefault="00F37B25" w:rsidP="00024E9F">
            <w:pPr>
              <w:tabs>
                <w:tab w:val="left" w:pos="288"/>
              </w:tabs>
              <w:spacing w:after="120" w:line="228" w:lineRule="auto"/>
              <w:ind w:firstLine="288"/>
              <w:jc w:val="both"/>
              <w:rPr>
                <w:spacing w:val="-1"/>
                <w:lang w:eastAsia="x-none"/>
              </w:rPr>
            </w:pPr>
          </w:p>
        </w:tc>
      </w:tr>
    </w:tbl>
    <w:p w14:paraId="21F21338" w14:textId="77777777" w:rsidR="00F37B25" w:rsidRPr="00EB57FF"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val="x-none" w:eastAsia="x-none"/>
          <w14:ligatures w14:val="none"/>
        </w:rPr>
      </w:pPr>
    </w:p>
    <w:p w14:paraId="5ED81C91" w14:textId="1AECF3D9" w:rsidR="00F37B25" w:rsidRPr="00EB57FF" w:rsidRDefault="005B36DC" w:rsidP="00F37B25">
      <w:pPr>
        <w:tabs>
          <w:tab w:val="left" w:pos="288"/>
        </w:tabs>
        <w:spacing w:after="120" w:line="228" w:lineRule="auto"/>
        <w:jc w:val="both"/>
        <w:rPr>
          <w:rFonts w:ascii="Times New Roman" w:eastAsia="SimSun" w:hAnsi="Times New Roman" w:cs="Times New Roman"/>
          <w:spacing w:val="-1"/>
          <w:kern w:val="0"/>
          <w:sz w:val="20"/>
          <w:szCs w:val="20"/>
          <w:lang w:eastAsia="x-none"/>
          <w14:ligatures w14:val="none"/>
        </w:rPr>
      </w:pPr>
      <w:r w:rsidRPr="005B36DC">
        <w:rPr>
          <w:rFonts w:ascii="Times New Roman" w:eastAsia="SimSun" w:hAnsi="Times New Roman" w:cs="Times New Roman"/>
          <w:spacing w:val="-1"/>
          <w:kern w:val="0"/>
          <w:sz w:val="20"/>
          <w:szCs w:val="20"/>
          <w:lang w:eastAsia="x-none"/>
          <w14:ligatures w14:val="none"/>
        </w:rPr>
        <w:lastRenderedPageBreak/>
        <w:t xml:space="preserve">In this section we provide the explicit vulnerability </w:t>
      </w:r>
      <w:r w:rsidR="00814560">
        <w:rPr>
          <w:rFonts w:ascii="Times New Roman" w:eastAsia="SimSun" w:hAnsi="Times New Roman" w:cs="Times New Roman"/>
          <w:spacing w:val="-1"/>
          <w:kern w:val="0"/>
          <w:sz w:val="20"/>
          <w:szCs w:val="20"/>
          <w:lang w:eastAsia="x-none"/>
          <w14:ligatures w14:val="none"/>
        </w:rPr>
        <w:t>tables</w:t>
      </w:r>
      <w:r w:rsidRPr="005B36DC">
        <w:rPr>
          <w:rFonts w:ascii="Times New Roman" w:eastAsia="SimSun" w:hAnsi="Times New Roman" w:cs="Times New Roman"/>
          <w:spacing w:val="-1"/>
          <w:kern w:val="0"/>
          <w:sz w:val="20"/>
          <w:szCs w:val="20"/>
          <w:lang w:eastAsia="x-none"/>
          <w14:ligatures w14:val="none"/>
        </w:rPr>
        <w:t xml:space="preserve"> used in the loss model. Tables 3–4 </w:t>
      </w:r>
      <w:r w:rsidR="00814560" w:rsidRPr="005B36DC">
        <w:rPr>
          <w:rFonts w:ascii="Times New Roman" w:eastAsia="SimSun" w:hAnsi="Times New Roman" w:cs="Times New Roman"/>
          <w:spacing w:val="-1"/>
          <w:kern w:val="0"/>
          <w:sz w:val="20"/>
          <w:szCs w:val="20"/>
          <w:lang w:eastAsia="x-none"/>
          <w14:ligatures w14:val="none"/>
        </w:rPr>
        <w:t>summarize</w:t>
      </w:r>
      <w:r w:rsidRPr="005B36DC">
        <w:rPr>
          <w:rFonts w:ascii="Times New Roman" w:eastAsia="SimSun" w:hAnsi="Times New Roman" w:cs="Times New Roman"/>
          <w:spacing w:val="-1"/>
          <w:kern w:val="0"/>
          <w:sz w:val="20"/>
          <w:szCs w:val="20"/>
          <w:lang w:eastAsia="x-none"/>
          <w14:ligatures w14:val="none"/>
        </w:rPr>
        <w:t xml:space="preserve">, for each wildfire hazard (intensity) class and asset type, the percentage damage applied to exposed economic values. </w:t>
      </w:r>
      <w:r w:rsidR="00F37B25" w:rsidRPr="00EB57FF">
        <w:rPr>
          <w:rFonts w:ascii="Times New Roman" w:eastAsia="SimSun" w:hAnsi="Times New Roman" w:cs="Times New Roman"/>
          <w:spacing w:val="-1"/>
          <w:kern w:val="0"/>
          <w:sz w:val="20"/>
          <w:szCs w:val="20"/>
          <w:lang w:eastAsia="x-none"/>
          <w14:ligatures w14:val="none"/>
        </w:rPr>
        <w:t xml:space="preserve">Vulnerability defines the </w:t>
      </w:r>
      <w:r w:rsidR="00F37B25" w:rsidRPr="00EB57FF">
        <w:rPr>
          <w:rFonts w:ascii="Times New Roman" w:eastAsia="SimSun" w:hAnsi="Times New Roman" w:cs="Times New Roman"/>
          <w:bCs/>
          <w:spacing w:val="-1"/>
          <w:kern w:val="0"/>
          <w:sz w:val="20"/>
          <w:szCs w:val="20"/>
          <w:lang w:eastAsia="x-none"/>
          <w14:ligatures w14:val="none"/>
        </w:rPr>
        <w:t>expected damage level per hazard class</w:t>
      </w:r>
      <w:r w:rsidR="00F37B25" w:rsidRPr="00EB57FF">
        <w:rPr>
          <w:rFonts w:ascii="Times New Roman" w:eastAsia="SimSun" w:hAnsi="Times New Roman" w:cs="Times New Roman"/>
          <w:spacing w:val="-1"/>
          <w:kern w:val="0"/>
          <w:sz w:val="20"/>
          <w:szCs w:val="20"/>
          <w:lang w:eastAsia="x-none"/>
          <w14:ligatures w14:val="none"/>
        </w:rPr>
        <w:t xml:space="preserve">, incorporating factors such as </w:t>
      </w:r>
      <w:r w:rsidR="00F37B25" w:rsidRPr="00EB57FF">
        <w:rPr>
          <w:rFonts w:ascii="Times New Roman" w:eastAsia="SimSun" w:hAnsi="Times New Roman" w:cs="Times New Roman"/>
          <w:bCs/>
          <w:spacing w:val="-1"/>
          <w:kern w:val="0"/>
          <w:sz w:val="20"/>
          <w:szCs w:val="20"/>
          <w:lang w:eastAsia="x-none"/>
          <w14:ligatures w14:val="none"/>
        </w:rPr>
        <w:t>fire intensity, asset resilience, and fire suppression efforts</w:t>
      </w:r>
      <w:r w:rsidR="00F37B25" w:rsidRPr="00EB57FF">
        <w:rPr>
          <w:rFonts w:ascii="Times New Roman" w:eastAsia="SimSun" w:hAnsi="Times New Roman" w:cs="Times New Roman"/>
          <w:spacing w:val="-1"/>
          <w:kern w:val="0"/>
          <w:sz w:val="20"/>
          <w:szCs w:val="20"/>
          <w:lang w:eastAsia="x-none"/>
          <w14:ligatures w14:val="none"/>
        </w:rPr>
        <w:t>. While exposure quantifies the assets at risk, vulnerability functions define the expected level of damage these assets would sustain under varying wildfire intensities. Vulnerability tables categorize damage levels based on historical wildfire impact assessments, particularly adapting classifications from Californian wildfire studies (CAL FIRE Study, 2023</w:t>
      </w:r>
      <w:r w:rsidR="00F37B25" w:rsidRPr="00EB57FF">
        <w:rPr>
          <w:rFonts w:ascii="Times New Roman" w:eastAsia="SimSun" w:hAnsi="Times New Roman" w:cs="Times New Roman"/>
          <w:bCs/>
          <w:spacing w:val="-1"/>
          <w:kern w:val="0"/>
          <w:sz w:val="20"/>
          <w:szCs w:val="20"/>
          <w:lang w:eastAsia="x-none"/>
          <w14:ligatures w14:val="none"/>
        </w:rPr>
        <w:t>)</w:t>
      </w:r>
      <w:r w:rsidR="00F37B25" w:rsidRPr="00EB57FF">
        <w:rPr>
          <w:rFonts w:ascii="Times New Roman" w:eastAsia="SimSun" w:hAnsi="Times New Roman" w:cs="Times New Roman"/>
          <w:spacing w:val="-1"/>
          <w:kern w:val="0"/>
          <w:sz w:val="20"/>
          <w:szCs w:val="20"/>
          <w:lang w:eastAsia="x-none"/>
          <w14:ligatures w14:val="none"/>
        </w:rPr>
        <w:t xml:space="preserve">. The vulnerability component of the methodology quantifies the degree of expected damage given the severity of a wildfire event. </w:t>
      </w:r>
      <w:r w:rsidR="00F37B25" w:rsidRPr="00EB57FF">
        <w:rPr>
          <w:rFonts w:ascii="Times New Roman" w:eastAsia="SimSun" w:hAnsi="Times New Roman" w:cs="Times New Roman"/>
          <w:bCs/>
          <w:spacing w:val="-1"/>
          <w:kern w:val="0"/>
          <w:sz w:val="20"/>
          <w:szCs w:val="20"/>
          <w:lang w:eastAsia="x-none"/>
          <w14:ligatures w14:val="none"/>
        </w:rPr>
        <w:t>Vulnerability functions</w:t>
      </w:r>
      <w:r w:rsidR="00F37B25" w:rsidRPr="00EB57FF">
        <w:rPr>
          <w:rFonts w:ascii="Times New Roman" w:eastAsia="SimSun" w:hAnsi="Times New Roman" w:cs="Times New Roman"/>
          <w:spacing w:val="-1"/>
          <w:kern w:val="0"/>
          <w:sz w:val="20"/>
          <w:szCs w:val="20"/>
          <w:lang w:eastAsia="x-none"/>
          <w14:ligatures w14:val="none"/>
        </w:rPr>
        <w:t xml:space="preserve"> are derived from </w:t>
      </w:r>
      <w:r w:rsidR="00F37B25" w:rsidRPr="00EB57FF">
        <w:rPr>
          <w:rFonts w:ascii="Times New Roman" w:eastAsia="SimSun" w:hAnsi="Times New Roman" w:cs="Times New Roman"/>
          <w:bCs/>
          <w:spacing w:val="-1"/>
          <w:kern w:val="0"/>
          <w:sz w:val="20"/>
          <w:szCs w:val="20"/>
          <w:lang w:eastAsia="x-none"/>
          <w14:ligatures w14:val="none"/>
        </w:rPr>
        <w:t>Californian wildfire damage classification systems</w:t>
      </w:r>
      <w:r w:rsidR="00F37B25" w:rsidRPr="00EB57FF">
        <w:rPr>
          <w:rFonts w:ascii="Times New Roman" w:eastAsia="SimSun" w:hAnsi="Times New Roman" w:cs="Times New Roman"/>
          <w:spacing w:val="-1"/>
          <w:kern w:val="0"/>
          <w:sz w:val="20"/>
          <w:szCs w:val="20"/>
          <w:lang w:eastAsia="x-none"/>
          <w14:ligatures w14:val="none"/>
        </w:rPr>
        <w:t xml:space="preserve"> and are adapted to match fuel type classifications. Infrastructure vulnerability functions are sourced from </w:t>
      </w:r>
      <w:r w:rsidR="00F37B25" w:rsidRPr="00EB57FF">
        <w:rPr>
          <w:rFonts w:ascii="Times New Roman" w:eastAsia="SimSun" w:hAnsi="Times New Roman" w:cs="Times New Roman"/>
          <w:bCs/>
          <w:spacing w:val="-1"/>
          <w:kern w:val="0"/>
          <w:sz w:val="20"/>
          <w:szCs w:val="20"/>
          <w:lang w:eastAsia="x-none"/>
          <w14:ligatures w14:val="none"/>
        </w:rPr>
        <w:t>GEM</w:t>
      </w:r>
      <w:r w:rsidR="00F37B25" w:rsidRPr="00EB57FF">
        <w:rPr>
          <w:rFonts w:ascii="Times New Roman" w:eastAsia="SimSun" w:hAnsi="Times New Roman" w:cs="Times New Roman"/>
          <w:spacing w:val="-1"/>
          <w:kern w:val="0"/>
          <w:sz w:val="20"/>
          <w:szCs w:val="20"/>
          <w:lang w:eastAsia="x-none"/>
          <w14:ligatures w14:val="none"/>
        </w:rPr>
        <w:t>, while forest vulnerability is estimated based on fire severity and species flammability. The following tables summarize vulnerability estimates for key asset categories.</w:t>
      </w:r>
    </w:p>
    <w:p w14:paraId="23CCBC9F" w14:textId="77777777" w:rsidR="00F37B25" w:rsidRPr="00EB57FF" w:rsidRDefault="00F37B25" w:rsidP="00F37B25">
      <w:pPr>
        <w:pStyle w:val="Caption"/>
        <w:keepNext/>
        <w:jc w:val="left"/>
        <w:rPr>
          <w:rFonts w:ascii="Times New Roman" w:hAnsi="Times New Roman" w:cs="Times New Roman"/>
          <w:sz w:val="20"/>
          <w:szCs w:val="20"/>
        </w:rPr>
      </w:pPr>
    </w:p>
    <w:p w14:paraId="006CE05B" w14:textId="5817702E" w:rsidR="00F37B25" w:rsidRPr="00EB57FF" w:rsidRDefault="005B36DC" w:rsidP="00F37B25">
      <w:pPr>
        <w:pStyle w:val="Caption"/>
        <w:keepNext/>
        <w:rPr>
          <w:rFonts w:ascii="Times New Roman" w:hAnsi="Times New Roman" w:cs="Times New Roman"/>
          <w:sz w:val="20"/>
          <w:szCs w:val="20"/>
        </w:rPr>
      </w:pPr>
      <w:bookmarkStart w:id="4" w:name="_Toc195032831"/>
      <w:r>
        <w:t xml:space="preserve">Table 3. Vulnerability </w:t>
      </w:r>
      <w:r w:rsidR="00814560">
        <w:t>Table</w:t>
      </w:r>
      <w:r>
        <w:t xml:space="preserve"> for GEM infrastructure categories (percentage damage by wildfire </w:t>
      </w:r>
      <w:r w:rsidR="00124332">
        <w:t xml:space="preserve">hazard </w:t>
      </w:r>
      <w:r>
        <w:t xml:space="preserve">class) </w:t>
      </w:r>
      <w:bookmarkEnd w:id="4"/>
    </w:p>
    <w:tbl>
      <w:tblPr>
        <w:tblStyle w:val="TableGrid1"/>
        <w:tblW w:w="9776" w:type="dxa"/>
        <w:jc w:val="center"/>
        <w:tblLook w:val="04A0" w:firstRow="1" w:lastRow="0" w:firstColumn="1" w:lastColumn="0" w:noHBand="0" w:noVBand="1"/>
      </w:tblPr>
      <w:tblGrid>
        <w:gridCol w:w="4531"/>
        <w:gridCol w:w="2268"/>
        <w:gridCol w:w="2977"/>
      </w:tblGrid>
      <w:tr w:rsidR="00F37B25" w:rsidRPr="00EB57FF" w14:paraId="09F83429" w14:textId="77777777" w:rsidTr="00024E9F">
        <w:trPr>
          <w:cantSplit/>
          <w:trHeight w:val="683"/>
          <w:tblHeader/>
          <w:jc w:val="center"/>
        </w:trPr>
        <w:tc>
          <w:tcPr>
            <w:tcW w:w="4531" w:type="dxa"/>
          </w:tcPr>
          <w:p w14:paraId="6BE7A633" w14:textId="77777777" w:rsidR="00F37B25" w:rsidRPr="00EB57FF" w:rsidRDefault="00F37B25" w:rsidP="00024E9F">
            <w:pPr>
              <w:spacing w:before="100" w:beforeAutospacing="1" w:after="100" w:afterAutospacing="1"/>
              <w:jc w:val="both"/>
              <w:textAlignment w:val="baseline"/>
              <w:rPr>
                <w:rFonts w:eastAsia="Times New Roman"/>
                <w:b/>
              </w:rPr>
            </w:pPr>
            <w:r w:rsidRPr="00EB57FF">
              <w:rPr>
                <w:rFonts w:eastAsia="Times New Roman"/>
                <w:b/>
              </w:rPr>
              <w:t>Intensity (Fuel Type)</w:t>
            </w:r>
          </w:p>
        </w:tc>
        <w:tc>
          <w:tcPr>
            <w:tcW w:w="2268" w:type="dxa"/>
          </w:tcPr>
          <w:p w14:paraId="30DFD3A3" w14:textId="77777777" w:rsidR="00F37B25" w:rsidRPr="00EB57FF" w:rsidRDefault="00F37B25" w:rsidP="00024E9F">
            <w:pPr>
              <w:spacing w:before="100" w:beforeAutospacing="1" w:after="100" w:afterAutospacing="1"/>
              <w:jc w:val="both"/>
              <w:textAlignment w:val="baseline"/>
              <w:rPr>
                <w:rFonts w:eastAsia="Times New Roman"/>
                <w:b/>
              </w:rPr>
            </w:pPr>
            <w:r w:rsidRPr="00EB57FF">
              <w:rPr>
                <w:rFonts w:eastAsia="Times New Roman"/>
                <w:b/>
              </w:rPr>
              <w:t>Potential damage [%]</w:t>
            </w:r>
          </w:p>
        </w:tc>
        <w:tc>
          <w:tcPr>
            <w:tcW w:w="2977" w:type="dxa"/>
          </w:tcPr>
          <w:p w14:paraId="15C6E2D1" w14:textId="77777777" w:rsidR="00F37B25" w:rsidRPr="00EB57FF" w:rsidRDefault="00F37B25" w:rsidP="00024E9F">
            <w:pPr>
              <w:spacing w:before="100" w:beforeAutospacing="1" w:after="100" w:afterAutospacing="1"/>
              <w:jc w:val="both"/>
              <w:textAlignment w:val="baseline"/>
              <w:rPr>
                <w:rFonts w:eastAsia="Times New Roman"/>
                <w:b/>
              </w:rPr>
            </w:pPr>
            <w:r w:rsidRPr="00EB57FF">
              <w:rPr>
                <w:rFonts w:eastAsia="Times New Roman"/>
                <w:b/>
              </w:rPr>
              <w:t>Damage description</w:t>
            </w:r>
          </w:p>
        </w:tc>
      </w:tr>
      <w:tr w:rsidR="00F37B25" w:rsidRPr="00EB57FF" w14:paraId="0CF16C01" w14:textId="77777777" w:rsidTr="00024E9F">
        <w:trPr>
          <w:cantSplit/>
          <w:trHeight w:val="222"/>
          <w:jc w:val="center"/>
        </w:trPr>
        <w:tc>
          <w:tcPr>
            <w:tcW w:w="4531" w:type="dxa"/>
            <w:vAlign w:val="center"/>
          </w:tcPr>
          <w:p w14:paraId="11F5C045"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Low (Grassland &amp; cropland)</w:t>
            </w:r>
          </w:p>
        </w:tc>
        <w:tc>
          <w:tcPr>
            <w:tcW w:w="2268" w:type="dxa"/>
            <w:vAlign w:val="center"/>
          </w:tcPr>
          <w:p w14:paraId="1BDDD376"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0</w:t>
            </w:r>
          </w:p>
        </w:tc>
        <w:tc>
          <w:tcPr>
            <w:tcW w:w="2977" w:type="dxa"/>
          </w:tcPr>
          <w:p w14:paraId="280618C8"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Not affected</w:t>
            </w:r>
          </w:p>
        </w:tc>
      </w:tr>
      <w:tr w:rsidR="00F37B25" w:rsidRPr="00EB57FF" w14:paraId="4DE91233" w14:textId="77777777" w:rsidTr="00024E9F">
        <w:trPr>
          <w:cantSplit/>
          <w:trHeight w:val="222"/>
          <w:jc w:val="center"/>
        </w:trPr>
        <w:tc>
          <w:tcPr>
            <w:tcW w:w="4531" w:type="dxa"/>
            <w:vAlign w:val="center"/>
          </w:tcPr>
          <w:p w14:paraId="24C91072"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Medium (Low Flammable forests)</w:t>
            </w:r>
          </w:p>
        </w:tc>
        <w:tc>
          <w:tcPr>
            <w:tcW w:w="2268" w:type="dxa"/>
            <w:vAlign w:val="center"/>
          </w:tcPr>
          <w:p w14:paraId="5088B417"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1 - 9</w:t>
            </w:r>
          </w:p>
        </w:tc>
        <w:tc>
          <w:tcPr>
            <w:tcW w:w="2977" w:type="dxa"/>
          </w:tcPr>
          <w:p w14:paraId="2771A58E"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Affected</w:t>
            </w:r>
          </w:p>
        </w:tc>
      </w:tr>
      <w:tr w:rsidR="00F37B25" w:rsidRPr="00EB57FF" w14:paraId="2A43BA15" w14:textId="77777777" w:rsidTr="00024E9F">
        <w:trPr>
          <w:cantSplit/>
          <w:trHeight w:val="222"/>
          <w:jc w:val="center"/>
        </w:trPr>
        <w:tc>
          <w:tcPr>
            <w:tcW w:w="4531" w:type="dxa"/>
            <w:vAlign w:val="center"/>
          </w:tcPr>
          <w:p w14:paraId="016C11A9"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High (Bushes/shrubs)</w:t>
            </w:r>
          </w:p>
        </w:tc>
        <w:tc>
          <w:tcPr>
            <w:tcW w:w="2268" w:type="dxa"/>
            <w:vAlign w:val="center"/>
          </w:tcPr>
          <w:p w14:paraId="29EE3FC9"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10 - 25</w:t>
            </w:r>
          </w:p>
        </w:tc>
        <w:tc>
          <w:tcPr>
            <w:tcW w:w="2977" w:type="dxa"/>
          </w:tcPr>
          <w:p w14:paraId="3411CF1F"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Minor</w:t>
            </w:r>
          </w:p>
        </w:tc>
      </w:tr>
      <w:tr w:rsidR="00F37B25" w:rsidRPr="00EB57FF" w14:paraId="606ADBB0" w14:textId="77777777" w:rsidTr="00024E9F">
        <w:trPr>
          <w:cantSplit/>
          <w:trHeight w:val="222"/>
          <w:jc w:val="center"/>
        </w:trPr>
        <w:tc>
          <w:tcPr>
            <w:tcW w:w="4531" w:type="dxa"/>
            <w:vAlign w:val="center"/>
          </w:tcPr>
          <w:p w14:paraId="03468359"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Very High (</w:t>
            </w:r>
            <w:proofErr w:type="gramStart"/>
            <w:r w:rsidRPr="00EB57FF">
              <w:rPr>
                <w:rFonts w:eastAsia="Times New Roman"/>
              </w:rPr>
              <w:t>High</w:t>
            </w:r>
            <w:proofErr w:type="gramEnd"/>
            <w:r w:rsidRPr="00EB57FF">
              <w:rPr>
                <w:rFonts w:eastAsia="Times New Roman"/>
              </w:rPr>
              <w:t xml:space="preserve"> flammable forests)</w:t>
            </w:r>
          </w:p>
        </w:tc>
        <w:tc>
          <w:tcPr>
            <w:tcW w:w="2268" w:type="dxa"/>
            <w:vAlign w:val="center"/>
          </w:tcPr>
          <w:p w14:paraId="4329A2A5"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26 - 50</w:t>
            </w:r>
          </w:p>
        </w:tc>
        <w:tc>
          <w:tcPr>
            <w:tcW w:w="2977" w:type="dxa"/>
          </w:tcPr>
          <w:p w14:paraId="2F5163B5" w14:textId="77777777" w:rsidR="00F37B25" w:rsidRPr="00EB57FF" w:rsidRDefault="00F37B25" w:rsidP="00024E9F">
            <w:pPr>
              <w:spacing w:before="100" w:beforeAutospacing="1" w:after="100" w:afterAutospacing="1"/>
              <w:jc w:val="both"/>
              <w:textAlignment w:val="baseline"/>
              <w:rPr>
                <w:rFonts w:eastAsia="Times New Roman"/>
              </w:rPr>
            </w:pPr>
            <w:r w:rsidRPr="00EB57FF">
              <w:rPr>
                <w:rFonts w:eastAsia="Times New Roman"/>
              </w:rPr>
              <w:t>Major</w:t>
            </w:r>
          </w:p>
        </w:tc>
      </w:tr>
    </w:tbl>
    <w:p w14:paraId="7E7ACCF8" w14:textId="77777777" w:rsidR="00F37B25" w:rsidRPr="00EB57FF" w:rsidRDefault="00F37B25" w:rsidP="00F37B25">
      <w:pPr>
        <w:spacing w:after="0" w:line="240" w:lineRule="auto"/>
        <w:jc w:val="both"/>
        <w:textAlignment w:val="baseline"/>
        <w:rPr>
          <w:rFonts w:ascii="Times New Roman" w:eastAsia="Times New Roman" w:hAnsi="Times New Roman" w:cs="Times New Roman"/>
          <w:i/>
          <w:iCs/>
          <w:color w:val="0E2841"/>
          <w:kern w:val="0"/>
          <w:sz w:val="20"/>
          <w:szCs w:val="20"/>
          <w14:ligatures w14:val="none"/>
        </w:rPr>
      </w:pPr>
    </w:p>
    <w:p w14:paraId="481644B9" w14:textId="77777777" w:rsidR="00F37B25" w:rsidRPr="00EB57FF" w:rsidRDefault="00F37B25" w:rsidP="00F37B25">
      <w:pPr>
        <w:spacing w:after="0" w:line="240" w:lineRule="auto"/>
        <w:jc w:val="both"/>
        <w:textAlignment w:val="baseline"/>
        <w:rPr>
          <w:rFonts w:ascii="Times New Roman" w:eastAsia="SimSun" w:hAnsi="Times New Roman" w:cs="Times New Roman"/>
          <w:spacing w:val="-1"/>
          <w:kern w:val="0"/>
          <w:sz w:val="20"/>
          <w:szCs w:val="20"/>
          <w:lang w:eastAsia="x-none"/>
          <w14:ligatures w14:val="none"/>
        </w:rPr>
      </w:pPr>
      <w:r w:rsidRPr="00EB57FF">
        <w:rPr>
          <w:rFonts w:ascii="Times New Roman" w:eastAsia="SimSun" w:hAnsi="Times New Roman" w:cs="Times New Roman"/>
          <w:spacing w:val="-1"/>
          <w:kern w:val="0"/>
          <w:sz w:val="20"/>
          <w:szCs w:val="20"/>
          <w:lang w:eastAsia="x-none"/>
          <w14:ligatures w14:val="none"/>
        </w:rPr>
        <w:t>For forested areas, wildfire impact varies significantly depending on fire behavior and species composition. High-flammability forests, such as Mediterranean pine, sustain higher damage percentages than low-flammability deciduous forests.</w:t>
      </w:r>
    </w:p>
    <w:p w14:paraId="19574626" w14:textId="77777777" w:rsidR="00F37B25" w:rsidRPr="00EB57FF" w:rsidRDefault="00F37B25" w:rsidP="00F37B25">
      <w:pPr>
        <w:spacing w:after="0" w:line="240" w:lineRule="auto"/>
        <w:jc w:val="both"/>
        <w:textAlignment w:val="baseline"/>
        <w:rPr>
          <w:rFonts w:ascii="Times New Roman" w:eastAsia="Times New Roman" w:hAnsi="Times New Roman" w:cs="Times New Roman"/>
          <w:i/>
          <w:iCs/>
          <w:color w:val="0E2841"/>
          <w:kern w:val="0"/>
          <w:sz w:val="20"/>
          <w:szCs w:val="20"/>
          <w14:ligatures w14:val="none"/>
        </w:rPr>
      </w:pPr>
    </w:p>
    <w:p w14:paraId="442AEA95" w14:textId="77777777" w:rsidR="00F37B25" w:rsidRPr="00EB57FF" w:rsidRDefault="00F37B25" w:rsidP="00F37B25">
      <w:pPr>
        <w:pStyle w:val="Caption"/>
        <w:keepNext/>
        <w:jc w:val="left"/>
        <w:rPr>
          <w:rFonts w:ascii="Times New Roman" w:hAnsi="Times New Roman" w:cs="Times New Roman"/>
          <w:sz w:val="20"/>
          <w:szCs w:val="20"/>
        </w:rPr>
      </w:pPr>
    </w:p>
    <w:p w14:paraId="3D763A9C" w14:textId="3B616E2B" w:rsidR="00F37B25" w:rsidRPr="00EB57FF" w:rsidRDefault="005B36DC" w:rsidP="00F37B25">
      <w:pPr>
        <w:pStyle w:val="Caption"/>
        <w:keepNext/>
        <w:rPr>
          <w:rFonts w:ascii="Times New Roman" w:hAnsi="Times New Roman" w:cs="Times New Roman"/>
          <w:sz w:val="20"/>
          <w:szCs w:val="20"/>
        </w:rPr>
      </w:pPr>
      <w:bookmarkStart w:id="5" w:name="_Toc195032832"/>
      <w:r>
        <w:t xml:space="preserve">Table 4. Vulnerability </w:t>
      </w:r>
      <w:r w:rsidR="00814560">
        <w:t>Table</w:t>
      </w:r>
      <w:r>
        <w:t xml:space="preserve"> for forests (percentage damage by wildfire </w:t>
      </w:r>
      <w:r w:rsidR="00124332">
        <w:t xml:space="preserve">hazard </w:t>
      </w:r>
      <w:r>
        <w:t>class)</w:t>
      </w:r>
      <w:bookmarkEnd w:id="5"/>
    </w:p>
    <w:tbl>
      <w:tblPr>
        <w:tblStyle w:val="TableGrid1"/>
        <w:tblW w:w="4901" w:type="pct"/>
        <w:jc w:val="center"/>
        <w:tblLook w:val="04A0" w:firstRow="1" w:lastRow="0" w:firstColumn="1" w:lastColumn="0" w:noHBand="0" w:noVBand="1"/>
      </w:tblPr>
      <w:tblGrid>
        <w:gridCol w:w="4531"/>
        <w:gridCol w:w="2267"/>
        <w:gridCol w:w="2967"/>
      </w:tblGrid>
      <w:tr w:rsidR="00F37B25" w:rsidRPr="00EB57FF" w14:paraId="4358966F" w14:textId="77777777" w:rsidTr="00024E9F">
        <w:trPr>
          <w:cantSplit/>
          <w:trHeight w:val="665"/>
          <w:tblHeader/>
          <w:jc w:val="center"/>
        </w:trPr>
        <w:tc>
          <w:tcPr>
            <w:tcW w:w="2320" w:type="pct"/>
          </w:tcPr>
          <w:p w14:paraId="7BB33C66" w14:textId="77777777" w:rsidR="00F37B25" w:rsidRPr="00EB57FF" w:rsidRDefault="00F37B25" w:rsidP="00024E9F">
            <w:pPr>
              <w:jc w:val="both"/>
              <w:rPr>
                <w:b/>
              </w:rPr>
            </w:pPr>
            <w:r w:rsidRPr="00EB57FF">
              <w:rPr>
                <w:b/>
              </w:rPr>
              <w:t>Intensity (Fuel Type)</w:t>
            </w:r>
          </w:p>
        </w:tc>
        <w:tc>
          <w:tcPr>
            <w:tcW w:w="1161" w:type="pct"/>
          </w:tcPr>
          <w:p w14:paraId="26210B12" w14:textId="77777777" w:rsidR="00F37B25" w:rsidRPr="00EB57FF" w:rsidRDefault="00F37B25" w:rsidP="00024E9F">
            <w:pPr>
              <w:jc w:val="both"/>
              <w:rPr>
                <w:b/>
              </w:rPr>
            </w:pPr>
            <w:r w:rsidRPr="00EB57FF">
              <w:rPr>
                <w:b/>
              </w:rPr>
              <w:t>Potential damage [%]</w:t>
            </w:r>
          </w:p>
        </w:tc>
        <w:tc>
          <w:tcPr>
            <w:tcW w:w="1519" w:type="pct"/>
          </w:tcPr>
          <w:p w14:paraId="5CB2684F" w14:textId="77777777" w:rsidR="00F37B25" w:rsidRPr="00EB57FF" w:rsidRDefault="00F37B25" w:rsidP="00024E9F">
            <w:pPr>
              <w:jc w:val="both"/>
              <w:rPr>
                <w:b/>
              </w:rPr>
            </w:pPr>
            <w:r w:rsidRPr="00EB57FF">
              <w:rPr>
                <w:b/>
              </w:rPr>
              <w:t>Damage description</w:t>
            </w:r>
          </w:p>
        </w:tc>
      </w:tr>
      <w:tr w:rsidR="00F37B25" w:rsidRPr="00EB57FF" w14:paraId="7DF72C6E" w14:textId="77777777" w:rsidTr="00024E9F">
        <w:trPr>
          <w:cantSplit/>
          <w:trHeight w:val="282"/>
          <w:jc w:val="center"/>
        </w:trPr>
        <w:tc>
          <w:tcPr>
            <w:tcW w:w="2320" w:type="pct"/>
            <w:vAlign w:val="center"/>
          </w:tcPr>
          <w:p w14:paraId="38900434" w14:textId="77777777" w:rsidR="00F37B25" w:rsidRPr="00EB57FF" w:rsidRDefault="00F37B25" w:rsidP="00024E9F">
            <w:pPr>
              <w:jc w:val="both"/>
            </w:pPr>
            <w:r w:rsidRPr="00EB57FF">
              <w:t xml:space="preserve">Medium </w:t>
            </w:r>
          </w:p>
          <w:p w14:paraId="07FE1D9B" w14:textId="77777777" w:rsidR="00F37B25" w:rsidRPr="00EB57FF" w:rsidRDefault="00F37B25" w:rsidP="00024E9F">
            <w:pPr>
              <w:jc w:val="both"/>
              <w:rPr>
                <w:i/>
                <w:iCs/>
              </w:rPr>
            </w:pPr>
            <w:r w:rsidRPr="00EB57FF">
              <w:t>(Low Flammable forests)</w:t>
            </w:r>
          </w:p>
        </w:tc>
        <w:tc>
          <w:tcPr>
            <w:tcW w:w="1161" w:type="pct"/>
            <w:vAlign w:val="center"/>
          </w:tcPr>
          <w:p w14:paraId="3AC26733" w14:textId="77777777" w:rsidR="00F37B25" w:rsidRPr="00EB57FF" w:rsidRDefault="00F37B25" w:rsidP="00024E9F">
            <w:pPr>
              <w:jc w:val="both"/>
              <w:rPr>
                <w:i/>
                <w:iCs/>
              </w:rPr>
            </w:pPr>
            <w:r w:rsidRPr="00EB57FF">
              <w:t>10</w:t>
            </w:r>
          </w:p>
        </w:tc>
        <w:tc>
          <w:tcPr>
            <w:tcW w:w="1519" w:type="pct"/>
            <w:vAlign w:val="center"/>
          </w:tcPr>
          <w:p w14:paraId="4EFDE997" w14:textId="77777777" w:rsidR="00F37B25" w:rsidRPr="00EB57FF" w:rsidRDefault="00F37B25" w:rsidP="00024E9F">
            <w:pPr>
              <w:jc w:val="both"/>
            </w:pPr>
            <w:r w:rsidRPr="00EB57FF">
              <w:t>Affected</w:t>
            </w:r>
          </w:p>
        </w:tc>
      </w:tr>
      <w:tr w:rsidR="00F37B25" w:rsidRPr="00EB57FF" w14:paraId="474F72E3" w14:textId="77777777" w:rsidTr="00024E9F">
        <w:trPr>
          <w:cantSplit/>
          <w:trHeight w:val="282"/>
          <w:jc w:val="center"/>
        </w:trPr>
        <w:tc>
          <w:tcPr>
            <w:tcW w:w="2320" w:type="pct"/>
            <w:vAlign w:val="center"/>
          </w:tcPr>
          <w:p w14:paraId="0E706B5B" w14:textId="77777777" w:rsidR="00F37B25" w:rsidRPr="00EB57FF" w:rsidRDefault="00F37B25" w:rsidP="00024E9F">
            <w:pPr>
              <w:jc w:val="both"/>
            </w:pPr>
            <w:r w:rsidRPr="00EB57FF">
              <w:t xml:space="preserve">Very High </w:t>
            </w:r>
          </w:p>
          <w:p w14:paraId="09D32B0C" w14:textId="77777777" w:rsidR="00F37B25" w:rsidRPr="00EB57FF" w:rsidRDefault="00F37B25" w:rsidP="00024E9F">
            <w:pPr>
              <w:jc w:val="both"/>
              <w:rPr>
                <w:i/>
                <w:iCs/>
              </w:rPr>
            </w:pPr>
            <w:r w:rsidRPr="00EB57FF">
              <w:t>(</w:t>
            </w:r>
            <w:proofErr w:type="gramStart"/>
            <w:r w:rsidRPr="00EB57FF">
              <w:t>High</w:t>
            </w:r>
            <w:proofErr w:type="gramEnd"/>
            <w:r w:rsidRPr="00EB57FF">
              <w:t xml:space="preserve"> flammable forests)</w:t>
            </w:r>
          </w:p>
        </w:tc>
        <w:tc>
          <w:tcPr>
            <w:tcW w:w="1161" w:type="pct"/>
            <w:vAlign w:val="center"/>
          </w:tcPr>
          <w:p w14:paraId="05272C8D" w14:textId="77777777" w:rsidR="00F37B25" w:rsidRPr="00EB57FF" w:rsidRDefault="00F37B25" w:rsidP="00024E9F">
            <w:pPr>
              <w:jc w:val="both"/>
              <w:rPr>
                <w:i/>
                <w:iCs/>
              </w:rPr>
            </w:pPr>
            <w:r w:rsidRPr="00EB57FF">
              <w:t>80</w:t>
            </w:r>
          </w:p>
        </w:tc>
        <w:tc>
          <w:tcPr>
            <w:tcW w:w="1519" w:type="pct"/>
            <w:vAlign w:val="center"/>
          </w:tcPr>
          <w:p w14:paraId="4AE4D1BF" w14:textId="77777777" w:rsidR="00F37B25" w:rsidRPr="00EB57FF" w:rsidRDefault="00F37B25" w:rsidP="00024E9F">
            <w:pPr>
              <w:jc w:val="both"/>
            </w:pPr>
            <w:r w:rsidRPr="00EB57FF">
              <w:t>Major</w:t>
            </w:r>
          </w:p>
        </w:tc>
      </w:tr>
    </w:tbl>
    <w:p w14:paraId="4DF75AE3" w14:textId="77777777" w:rsidR="00F37B25" w:rsidRPr="00EB57FF" w:rsidRDefault="00F37B25" w:rsidP="00F37B25">
      <w:pPr>
        <w:spacing w:after="0" w:line="240" w:lineRule="auto"/>
        <w:jc w:val="both"/>
        <w:rPr>
          <w:rFonts w:ascii="Times New Roman" w:eastAsia="SimSun" w:hAnsi="Times New Roman" w:cs="Times New Roman"/>
          <w:kern w:val="0"/>
          <w:sz w:val="20"/>
          <w:szCs w:val="20"/>
          <w14:ligatures w14:val="none"/>
        </w:rPr>
      </w:pPr>
    </w:p>
    <w:p w14:paraId="618C943B" w14:textId="77777777" w:rsidR="00F37B25" w:rsidRDefault="00F37B25" w:rsidP="00F37B25">
      <w:pPr>
        <w:spacing w:after="0" w:line="240" w:lineRule="auto"/>
        <w:jc w:val="both"/>
        <w:rPr>
          <w:rFonts w:ascii="Times New Roman" w:eastAsia="SimSun" w:hAnsi="Times New Roman" w:cs="Times New Roman"/>
          <w:kern w:val="0"/>
          <w:sz w:val="20"/>
          <w:szCs w:val="20"/>
          <w14:ligatures w14:val="none"/>
        </w:rPr>
      </w:pPr>
    </w:p>
    <w:p w14:paraId="04998EDB" w14:textId="3A749196" w:rsidR="00F37B25" w:rsidRDefault="00F37B25">
      <w:pPr>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br w:type="page"/>
      </w:r>
    </w:p>
    <w:p w14:paraId="5E815833" w14:textId="7C4DB0CE" w:rsidR="00F37B25" w:rsidRPr="00F37B25" w:rsidRDefault="00F37B25" w:rsidP="00F37B25">
      <w:pPr>
        <w:pStyle w:val="ListParagraph"/>
        <w:numPr>
          <w:ilvl w:val="0"/>
          <w:numId w:val="1"/>
        </w:numPr>
        <w:rPr>
          <w:rFonts w:ascii="Times New Roman" w:hAnsi="Times New Roman" w:cs="Times New Roman"/>
          <w:b/>
          <w:bCs/>
          <w:sz w:val="20"/>
          <w:szCs w:val="20"/>
        </w:rPr>
      </w:pPr>
      <w:bookmarkStart w:id="6" w:name="_Toc195013126"/>
      <w:r w:rsidRPr="00F37B25">
        <w:rPr>
          <w:rFonts w:ascii="Times New Roman" w:hAnsi="Times New Roman" w:cs="Times New Roman"/>
          <w:b/>
          <w:bCs/>
          <w:sz w:val="20"/>
          <w:szCs w:val="20"/>
        </w:rPr>
        <w:lastRenderedPageBreak/>
        <w:t>Validation of Wildfire Losses</w:t>
      </w:r>
      <w:bookmarkEnd w:id="6"/>
      <w:r w:rsidRPr="00F37B25">
        <w:rPr>
          <w:rFonts w:ascii="Times New Roman" w:hAnsi="Times New Roman" w:cs="Times New Roman"/>
          <w:b/>
          <w:bCs/>
          <w:sz w:val="20"/>
          <w:szCs w:val="20"/>
        </w:rPr>
        <w:t xml:space="preserve"> </w:t>
      </w:r>
    </w:p>
    <w:p w14:paraId="232178EA" w14:textId="2DD87379" w:rsidR="00F37B25" w:rsidRPr="00D27E66" w:rsidRDefault="00F37B25" w:rsidP="00F37B25">
      <w:p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D27E66">
        <w:rPr>
          <w:rFonts w:ascii="Times New Roman" w:eastAsia="Times New Roman" w:hAnsi="Times New Roman" w:cs="Times New Roman"/>
          <w:kern w:val="0"/>
          <w:sz w:val="20"/>
          <w:szCs w:val="20"/>
          <w14:ligatures w14:val="none"/>
        </w:rPr>
        <w:t xml:space="preserve">Finally, it is important to consider the variability and uncertainty in these loss estimates. Wildfire impacts can be highly </w:t>
      </w:r>
      <w:r w:rsidRPr="00BA35A8">
        <w:rPr>
          <w:rFonts w:ascii="Times New Roman" w:eastAsia="Times New Roman" w:hAnsi="Times New Roman" w:cs="Times New Roman"/>
          <w:kern w:val="0"/>
          <w:sz w:val="20"/>
          <w:szCs w:val="20"/>
          <w14:ligatures w14:val="none"/>
        </w:rPr>
        <w:t>variable from year to year, and an average annual loss does not capture the possibility of exceptionally bad fire seasons. To evaluate this, we compared the model</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 xml:space="preserve">s country-level loss projections against historical loss patterns </w:t>
      </w:r>
      <w:proofErr w:type="gramStart"/>
      <w:r w:rsidRPr="00BA35A8">
        <w:rPr>
          <w:rFonts w:ascii="Times New Roman" w:eastAsia="Times New Roman" w:hAnsi="Times New Roman" w:cs="Times New Roman"/>
          <w:kern w:val="0"/>
          <w:sz w:val="20"/>
          <w:szCs w:val="20"/>
          <w14:ligatures w14:val="none"/>
        </w:rPr>
        <w:t>and also</w:t>
      </w:r>
      <w:proofErr w:type="gramEnd"/>
      <w:r w:rsidRPr="00BA35A8">
        <w:rPr>
          <w:rFonts w:ascii="Times New Roman" w:eastAsia="Times New Roman" w:hAnsi="Times New Roman" w:cs="Times New Roman"/>
          <w:kern w:val="0"/>
          <w:sz w:val="20"/>
          <w:szCs w:val="20"/>
          <w14:ligatures w14:val="none"/>
        </w:rPr>
        <w:t xml:space="preserve"> calculated the losses associated with extreme percentile events. Figure </w:t>
      </w:r>
      <w:r w:rsidR="00397B78">
        <w:rPr>
          <w:rFonts w:ascii="Times New Roman" w:eastAsia="Times New Roman" w:hAnsi="Times New Roman" w:cs="Times New Roman"/>
          <w:kern w:val="0"/>
          <w:sz w:val="20"/>
          <w:szCs w:val="20"/>
          <w14:ligatures w14:val="none"/>
        </w:rPr>
        <w:t>2</w:t>
      </w:r>
      <w:r w:rsidRPr="00BA35A8">
        <w:rPr>
          <w:rFonts w:ascii="Times New Roman" w:eastAsia="Times New Roman" w:hAnsi="Times New Roman" w:cs="Times New Roman"/>
          <w:kern w:val="0"/>
          <w:sz w:val="20"/>
          <w:szCs w:val="20"/>
          <w14:ligatures w14:val="none"/>
        </w:rPr>
        <w:t xml:space="preserve"> illustrates the historical burn probability distribution across the hazard classes (used in our model), which underpins the AAL calculations. Even for the highest hazard class, the average fraction of area burned per year was only a few percent, meaning that in most years</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 xml:space="preserve"> </w:t>
      </w:r>
      <w:proofErr w:type="gramStart"/>
      <w:r w:rsidRPr="00BA35A8">
        <w:rPr>
          <w:rFonts w:ascii="Times New Roman" w:eastAsia="Times New Roman" w:hAnsi="Times New Roman" w:cs="Times New Roman"/>
          <w:kern w:val="0"/>
          <w:sz w:val="20"/>
          <w:szCs w:val="20"/>
          <w14:ligatures w14:val="none"/>
        </w:rPr>
        <w:t>the majority of</w:t>
      </w:r>
      <w:proofErr w:type="gramEnd"/>
      <w:r w:rsidRPr="00BA35A8">
        <w:rPr>
          <w:rFonts w:ascii="Times New Roman" w:eastAsia="Times New Roman" w:hAnsi="Times New Roman" w:cs="Times New Roman"/>
          <w:kern w:val="0"/>
          <w:sz w:val="20"/>
          <w:szCs w:val="20"/>
          <w14:ligatures w14:val="none"/>
        </w:rPr>
        <w:t xml:space="preserve"> each high-hazard zone did not burn. However, during extreme years, much larger areas burned (as indicated by the spread of the distribution). Translating this to losses, we find that the interannual variability of actual losses is high – for example, in Croatia, the year 2017 saw wildfire damages several times greater than the long-term average due to a convergence of extreme weather and ignition events. Our validation analysis indicates that the model</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s mean predictions (AAL) align well with the observed average losses over the past decade, especially for the less fire-prone countries, but it underestimates the sporadic extreme losses in countries like Greece and Croatia. To capture those extremes, we computed a 100-year return period loss (essentially</w:t>
      </w:r>
      <w:r w:rsidRPr="00D27E66">
        <w:rPr>
          <w:rFonts w:ascii="Times New Roman" w:eastAsia="Times New Roman" w:hAnsi="Times New Roman" w:cs="Times New Roman"/>
          <w:kern w:val="0"/>
          <w:sz w:val="20"/>
          <w:szCs w:val="20"/>
          <w14:ligatures w14:val="none"/>
        </w:rPr>
        <w:t>, the level of loss one might expect in a very severe fire year that has a 1% chance of occurrence). We found that for Greece and Croatia, the 100-year event loss is substantially higher than the mean—exceeding it by a factor of 2 or more—whereas</w:t>
      </w:r>
      <w:r w:rsidR="00B62453">
        <w:rPr>
          <w:rFonts w:ascii="Times New Roman" w:eastAsia="Times New Roman" w:hAnsi="Times New Roman" w:cs="Times New Roman"/>
          <w:kern w:val="0"/>
          <w:sz w:val="20"/>
          <w:szCs w:val="20"/>
          <w14:ligatures w14:val="none"/>
        </w:rPr>
        <w:t>,</w:t>
      </w:r>
      <w:r w:rsidRPr="00D27E66">
        <w:rPr>
          <w:rFonts w:ascii="Times New Roman" w:eastAsia="Times New Roman" w:hAnsi="Times New Roman" w:cs="Times New Roman"/>
          <w:kern w:val="0"/>
          <w:sz w:val="20"/>
          <w:szCs w:val="20"/>
          <w14:ligatures w14:val="none"/>
        </w:rPr>
        <w:t xml:space="preserve"> for Bulgaria and Romania, the 100-year loss is not dramatically above the mean (since even a </w:t>
      </w:r>
      <w:r w:rsidR="00B62453">
        <w:rPr>
          <w:rFonts w:ascii="Times New Roman" w:eastAsia="Times New Roman" w:hAnsi="Times New Roman" w:cs="Times New Roman"/>
          <w:kern w:val="0"/>
          <w:sz w:val="20"/>
          <w:szCs w:val="20"/>
          <w14:ligatures w14:val="none"/>
        </w:rPr>
        <w:t>"</w:t>
      </w:r>
      <w:r w:rsidRPr="00D27E66">
        <w:rPr>
          <w:rFonts w:ascii="Times New Roman" w:eastAsia="Times New Roman" w:hAnsi="Times New Roman" w:cs="Times New Roman"/>
          <w:kern w:val="0"/>
          <w:sz w:val="20"/>
          <w:szCs w:val="20"/>
          <w14:ligatures w14:val="none"/>
        </w:rPr>
        <w:t>worst-case</w:t>
      </w:r>
      <w:r w:rsidR="00B62453">
        <w:rPr>
          <w:rFonts w:ascii="Times New Roman" w:eastAsia="Times New Roman" w:hAnsi="Times New Roman" w:cs="Times New Roman"/>
          <w:kern w:val="0"/>
          <w:sz w:val="20"/>
          <w:szCs w:val="20"/>
          <w14:ligatures w14:val="none"/>
        </w:rPr>
        <w:t>"</w:t>
      </w:r>
      <w:r w:rsidRPr="00D27E66">
        <w:rPr>
          <w:rFonts w:ascii="Times New Roman" w:eastAsia="Times New Roman" w:hAnsi="Times New Roman" w:cs="Times New Roman"/>
          <w:kern w:val="0"/>
          <w:sz w:val="20"/>
          <w:szCs w:val="20"/>
          <w14:ligatures w14:val="none"/>
        </w:rPr>
        <w:t xml:space="preserve"> fire year in those countries is constrained by fuel and climate).</w:t>
      </w:r>
    </w:p>
    <w:p w14:paraId="5628816C" w14:textId="77777777" w:rsidR="00F37B25" w:rsidRPr="00EB57FF" w:rsidRDefault="00F37B25" w:rsidP="00F37B25">
      <w:pPr>
        <w:keepNext/>
        <w:tabs>
          <w:tab w:val="left" w:pos="288"/>
        </w:tabs>
        <w:spacing w:after="120" w:line="228" w:lineRule="auto"/>
        <w:jc w:val="both"/>
        <w:rPr>
          <w:rFonts w:ascii="Times New Roman" w:hAnsi="Times New Roman" w:cs="Times New Roman"/>
          <w:sz w:val="20"/>
          <w:szCs w:val="20"/>
        </w:rPr>
      </w:pPr>
      <w:r w:rsidRPr="00EB57FF">
        <w:rPr>
          <w:rFonts w:ascii="Times New Roman" w:eastAsia="Times New Roman" w:hAnsi="Times New Roman" w:cs="Times New Roman"/>
          <w:noProof/>
          <w:spacing w:val="-1"/>
          <w:kern w:val="0"/>
          <w:sz w:val="20"/>
          <w:szCs w:val="20"/>
          <w:lang w:val="en-AU" w:eastAsia="en-AU"/>
          <w14:ligatures w14:val="none"/>
        </w:rPr>
        <w:drawing>
          <wp:inline distT="0" distB="0" distL="0" distR="0" wp14:anchorId="35693562" wp14:editId="2031CA98">
            <wp:extent cx="6156251" cy="4084148"/>
            <wp:effectExtent l="0" t="0" r="0" b="0"/>
            <wp:docPr id="655872425" name="Picture 6"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72425" name="Picture 6" descr="A group of graphs showing different types of data&#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203" cy="4111316"/>
                    </a:xfrm>
                    <a:prstGeom prst="rect">
                      <a:avLst/>
                    </a:prstGeom>
                    <a:noFill/>
                    <a:ln>
                      <a:noFill/>
                    </a:ln>
                  </pic:spPr>
                </pic:pic>
              </a:graphicData>
            </a:graphic>
          </wp:inline>
        </w:drawing>
      </w:r>
    </w:p>
    <w:p w14:paraId="6AF9F2F5" w14:textId="7F1A43D4" w:rsidR="00F37B25" w:rsidRPr="00EB57FF" w:rsidRDefault="00F37B25" w:rsidP="00F37B25">
      <w:pPr>
        <w:pStyle w:val="Caption"/>
        <w:jc w:val="both"/>
        <w:rPr>
          <w:rFonts w:ascii="Times New Roman" w:hAnsi="Times New Roman" w:cs="Times New Roman"/>
          <w:sz w:val="20"/>
          <w:szCs w:val="20"/>
        </w:rPr>
      </w:pPr>
      <w:bookmarkStart w:id="7" w:name="_Toc195030861"/>
      <w:r w:rsidRPr="00724805">
        <w:rPr>
          <w:rFonts w:ascii="Times New Roman" w:hAnsi="Times New Roman" w:cs="Times New Roman"/>
          <w:b/>
          <w:bCs/>
          <w:sz w:val="20"/>
          <w:szCs w:val="20"/>
        </w:rPr>
        <w:t>Fig</w:t>
      </w:r>
      <w:r w:rsidR="006E5585" w:rsidRPr="00724805">
        <w:rPr>
          <w:rFonts w:ascii="Times New Roman" w:hAnsi="Times New Roman" w:cs="Times New Roman"/>
          <w:b/>
          <w:bCs/>
          <w:sz w:val="20"/>
          <w:szCs w:val="20"/>
        </w:rPr>
        <w:t>. 2</w:t>
      </w:r>
      <w:r w:rsidR="006E5585">
        <w:rPr>
          <w:rFonts w:ascii="Times New Roman" w:hAnsi="Times New Roman" w:cs="Times New Roman"/>
          <w:sz w:val="20"/>
          <w:szCs w:val="20"/>
        </w:rPr>
        <w:t xml:space="preserve"> </w:t>
      </w:r>
      <w:r w:rsidRPr="00EB57FF">
        <w:rPr>
          <w:rFonts w:ascii="Times New Roman" w:hAnsi="Times New Roman" w:cs="Times New Roman"/>
          <w:sz w:val="20"/>
          <w:szCs w:val="20"/>
        </w:rPr>
        <w:t xml:space="preserve">Probability distribution per hazard class. Each data point represents the percentage of burned </w:t>
      </w:r>
      <w:proofErr w:type="gramStart"/>
      <w:r w:rsidRPr="00EB57FF">
        <w:rPr>
          <w:rFonts w:ascii="Times New Roman" w:hAnsi="Times New Roman" w:cs="Times New Roman"/>
          <w:sz w:val="20"/>
          <w:szCs w:val="20"/>
        </w:rPr>
        <w:t>area</w:t>
      </w:r>
      <w:proofErr w:type="gramEnd"/>
      <w:r w:rsidRPr="00EB57FF">
        <w:rPr>
          <w:rFonts w:ascii="Times New Roman" w:hAnsi="Times New Roman" w:cs="Times New Roman"/>
          <w:sz w:val="20"/>
          <w:szCs w:val="20"/>
        </w:rPr>
        <w:t xml:space="preserve"> inside each class</w:t>
      </w:r>
      <w:bookmarkEnd w:id="7"/>
    </w:p>
    <w:p w14:paraId="11EAA255" w14:textId="77777777" w:rsidR="00F37B25" w:rsidRPr="00EB57FF" w:rsidRDefault="00F37B25" w:rsidP="00F37B25">
      <w:pPr>
        <w:tabs>
          <w:tab w:val="left" w:pos="288"/>
        </w:tabs>
        <w:spacing w:after="120" w:line="228" w:lineRule="auto"/>
        <w:ind w:firstLine="288"/>
        <w:jc w:val="both"/>
        <w:rPr>
          <w:rFonts w:ascii="Times New Roman" w:eastAsia="SimSun" w:hAnsi="Times New Roman" w:cs="Times New Roman"/>
          <w:i/>
          <w:iCs/>
          <w:spacing w:val="-1"/>
          <w:kern w:val="0"/>
          <w:sz w:val="20"/>
          <w:szCs w:val="20"/>
          <w:lang w:eastAsia="x-none"/>
          <w14:ligatures w14:val="none"/>
        </w:rPr>
      </w:pPr>
    </w:p>
    <w:p w14:paraId="71625E22" w14:textId="255FF69D" w:rsidR="00F37B25" w:rsidRPr="00BA35A8" w:rsidRDefault="00F37B25" w:rsidP="00F37B25">
      <w:p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D27E66">
        <w:rPr>
          <w:rFonts w:ascii="Times New Roman" w:eastAsia="Times New Roman" w:hAnsi="Times New Roman" w:cs="Times New Roman"/>
          <w:kern w:val="0"/>
          <w:sz w:val="20"/>
          <w:szCs w:val="20"/>
          <w14:ligatures w14:val="none"/>
        </w:rPr>
        <w:t xml:space="preserve">We present a comparison of modeled and observed losses in </w:t>
      </w:r>
      <w:r w:rsidRPr="00BA35A8">
        <w:rPr>
          <w:rFonts w:ascii="Times New Roman" w:eastAsia="Times New Roman" w:hAnsi="Times New Roman" w:cs="Times New Roman"/>
          <w:kern w:val="0"/>
          <w:sz w:val="20"/>
          <w:szCs w:val="20"/>
          <w14:ligatures w14:val="none"/>
        </w:rPr>
        <w:t xml:space="preserve">Figure </w:t>
      </w:r>
      <w:r w:rsidR="00397B78">
        <w:rPr>
          <w:rFonts w:ascii="Times New Roman" w:eastAsia="Times New Roman" w:hAnsi="Times New Roman" w:cs="Times New Roman"/>
          <w:kern w:val="0"/>
          <w:sz w:val="20"/>
          <w:szCs w:val="20"/>
          <w14:ligatures w14:val="none"/>
        </w:rPr>
        <w:t>3</w:t>
      </w:r>
      <w:r w:rsidRPr="00BA35A8">
        <w:rPr>
          <w:rFonts w:ascii="Times New Roman" w:eastAsia="Times New Roman" w:hAnsi="Times New Roman" w:cs="Times New Roman"/>
          <w:kern w:val="0"/>
          <w:sz w:val="20"/>
          <w:szCs w:val="20"/>
          <w14:ligatures w14:val="none"/>
        </w:rPr>
        <w:t>. In each country</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s panel, the yellow curve represents the actual annual wildfire losses (estimated from observed burned areas and exposed values) in the historical period, which shows considerable year-to-year fluctuation. The horizontal black line indicates the modeled AAL (baseline) for that country, and the red line denotes the model</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s 1-in-100</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year loss estimate. In Bulgaria and Romania, the yellow curve (observations) stays relatively low</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 xml:space="preserve"> and the peaks are well captured by the average (black line), indicating that an average year is a reasonable </w:t>
      </w:r>
      <w:r w:rsidRPr="00BA35A8">
        <w:rPr>
          <w:rFonts w:ascii="Times New Roman" w:eastAsia="Times New Roman" w:hAnsi="Times New Roman" w:cs="Times New Roman"/>
          <w:kern w:val="0"/>
          <w:sz w:val="20"/>
          <w:szCs w:val="20"/>
          <w14:ligatures w14:val="none"/>
        </w:rPr>
        <w:lastRenderedPageBreak/>
        <w:t>representation of their experience. In Greece and Croatia, however, the yellow curve has pronounced spikes (e.g.</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 xml:space="preserve"> Greece 2007 or 2021, Croatia 2017) that lie well above the black line. The model</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 xml:space="preserve">s red line (extreme percentile) in those cases aligns more closely with these spikes, suggesting that using an </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average ± range</w:t>
      </w:r>
      <w:r w:rsidR="00B62453">
        <w:rPr>
          <w:rFonts w:ascii="Times New Roman" w:eastAsia="Times New Roman" w:hAnsi="Times New Roman" w:cs="Times New Roman"/>
          <w:kern w:val="0"/>
          <w:sz w:val="20"/>
          <w:szCs w:val="20"/>
          <w14:ligatures w14:val="none"/>
        </w:rPr>
        <w:t>"</w:t>
      </w:r>
      <w:r w:rsidRPr="00BA35A8">
        <w:rPr>
          <w:rFonts w:ascii="Times New Roman" w:eastAsia="Times New Roman" w:hAnsi="Times New Roman" w:cs="Times New Roman"/>
          <w:kern w:val="0"/>
          <w:sz w:val="20"/>
          <w:szCs w:val="20"/>
          <w14:ligatures w14:val="none"/>
        </w:rPr>
        <w:t xml:space="preserve"> (with the range defined by something like the 100-year event) provides a more comprehensive picture of wildfire risk. In practice, this means that risk management strategies should not only plan for the expected average </w:t>
      </w:r>
      <w:proofErr w:type="gramStart"/>
      <w:r w:rsidRPr="00BA35A8">
        <w:rPr>
          <w:rFonts w:ascii="Times New Roman" w:eastAsia="Times New Roman" w:hAnsi="Times New Roman" w:cs="Times New Roman"/>
          <w:kern w:val="0"/>
          <w:sz w:val="20"/>
          <w:szCs w:val="20"/>
          <w14:ligatures w14:val="none"/>
        </w:rPr>
        <w:t>damages</w:t>
      </w:r>
      <w:proofErr w:type="gramEnd"/>
      <w:r w:rsidRPr="00BA35A8">
        <w:rPr>
          <w:rFonts w:ascii="Times New Roman" w:eastAsia="Times New Roman" w:hAnsi="Times New Roman" w:cs="Times New Roman"/>
          <w:kern w:val="0"/>
          <w:sz w:val="20"/>
          <w:szCs w:val="20"/>
          <w14:ligatures w14:val="none"/>
        </w:rPr>
        <w:t xml:space="preserve"> but also prepare for the possibility of catastrophic wildfire seasons that, while rare, can cause loss amounts far above the norm.</w:t>
      </w:r>
    </w:p>
    <w:p w14:paraId="65C23496" w14:textId="77777777" w:rsidR="00F37B25" w:rsidRPr="00582FDC" w:rsidRDefault="00F37B25" w:rsidP="00F37B25">
      <w:pPr>
        <w:tabs>
          <w:tab w:val="left" w:pos="288"/>
        </w:tabs>
        <w:spacing w:after="120" w:line="228" w:lineRule="auto"/>
        <w:jc w:val="both"/>
        <w:rPr>
          <w:rFonts w:ascii="Times New Roman" w:eastAsia="SimSun" w:hAnsi="Times New Roman" w:cs="Times New Roman"/>
          <w:spacing w:val="-1"/>
          <w:kern w:val="0"/>
          <w:sz w:val="20"/>
          <w:szCs w:val="20"/>
          <w:lang w:eastAsia="x-none"/>
          <w14:ligatures w14:val="none"/>
        </w:rPr>
      </w:pPr>
    </w:p>
    <w:p w14:paraId="6668509B" w14:textId="77777777" w:rsidR="00F37B25" w:rsidRPr="00EB57FF" w:rsidRDefault="00F37B25" w:rsidP="00F37B25">
      <w:pPr>
        <w:tabs>
          <w:tab w:val="left" w:pos="288"/>
        </w:tabs>
        <w:spacing w:after="120" w:line="228" w:lineRule="auto"/>
        <w:jc w:val="both"/>
        <w:rPr>
          <w:rFonts w:ascii="Times New Roman" w:eastAsia="SimSun" w:hAnsi="Times New Roman" w:cs="Times New Roman"/>
          <w:i/>
          <w:iCs/>
          <w:spacing w:val="-1"/>
          <w:kern w:val="0"/>
          <w:sz w:val="20"/>
          <w:szCs w:val="20"/>
          <w:lang w:val="x-none" w:eastAsia="x-none"/>
          <w14:ligatures w14:val="none"/>
        </w:rPr>
      </w:pPr>
    </w:p>
    <w:p w14:paraId="4AE93CA6" w14:textId="77777777" w:rsidR="00F37B25" w:rsidRPr="00EB57FF" w:rsidRDefault="00F37B25" w:rsidP="00F37B25">
      <w:pPr>
        <w:spacing w:before="100" w:beforeAutospacing="1" w:after="100" w:afterAutospacing="1" w:line="240" w:lineRule="auto"/>
        <w:rPr>
          <w:rFonts w:ascii="Times New Roman" w:eastAsia="Times New Roman" w:hAnsi="Times New Roman" w:cs="Times New Roman"/>
          <w:kern w:val="0"/>
          <w:sz w:val="20"/>
          <w:szCs w:val="20"/>
          <w14:ligatures w14:val="none"/>
        </w:rPr>
      </w:pPr>
      <w:r w:rsidRPr="00EB57FF">
        <w:rPr>
          <w:rFonts w:ascii="Times New Roman" w:hAnsi="Times New Roman" w:cs="Times New Roman"/>
          <w:noProof/>
          <w:sz w:val="20"/>
          <w:szCs w:val="20"/>
        </w:rPr>
        <w:drawing>
          <wp:inline distT="0" distB="0" distL="0" distR="0" wp14:anchorId="3135E277" wp14:editId="7B3DC060">
            <wp:extent cx="3063585" cy="1744266"/>
            <wp:effectExtent l="19050" t="19050" r="22860" b="27940"/>
            <wp:docPr id="927084451" name="Picture 4" descr="A graph of a graph showing the amount of loss of a l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84451" name="Picture 4" descr="A graph of a graph showing the amount of loss of a los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063585" cy="1744266"/>
                    </a:xfrm>
                    <a:prstGeom prst="rect">
                      <a:avLst/>
                    </a:prstGeom>
                    <a:noFill/>
                    <a:ln>
                      <a:solidFill>
                        <a:schemeClr val="bg1"/>
                      </a:solidFill>
                    </a:ln>
                  </pic:spPr>
                </pic:pic>
              </a:graphicData>
            </a:graphic>
          </wp:inline>
        </w:drawing>
      </w:r>
      <w:r w:rsidRPr="00EB57FF">
        <w:rPr>
          <w:rFonts w:ascii="Times New Roman" w:eastAsia="Times New Roman" w:hAnsi="Times New Roman" w:cs="Times New Roman"/>
          <w:kern w:val="0"/>
          <w:sz w:val="20"/>
          <w:szCs w:val="20"/>
          <w14:ligatures w14:val="none"/>
        </w:rPr>
        <w:t xml:space="preserve">     </w:t>
      </w:r>
      <w:r w:rsidRPr="00EB57FF">
        <w:rPr>
          <w:rFonts w:ascii="Times New Roman" w:hAnsi="Times New Roman" w:cs="Times New Roman"/>
          <w:noProof/>
          <w:sz w:val="20"/>
          <w:szCs w:val="20"/>
        </w:rPr>
        <w:drawing>
          <wp:inline distT="0" distB="0" distL="0" distR="0" wp14:anchorId="0B0A1837" wp14:editId="1D4FBAD8">
            <wp:extent cx="3024716" cy="1722136"/>
            <wp:effectExtent l="0" t="0" r="4445" b="0"/>
            <wp:docPr id="1510140551"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40551" name="Picture 1" descr="A graph of different colored lin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4716" cy="1722136"/>
                    </a:xfrm>
                    <a:prstGeom prst="rect">
                      <a:avLst/>
                    </a:prstGeom>
                  </pic:spPr>
                </pic:pic>
              </a:graphicData>
            </a:graphic>
          </wp:inline>
        </w:drawing>
      </w:r>
      <w:r w:rsidRPr="00EB57FF">
        <w:rPr>
          <w:rFonts w:ascii="Times New Roman" w:eastAsia="Times New Roman" w:hAnsi="Times New Roman" w:cs="Times New Roman"/>
          <w:kern w:val="0"/>
          <w:sz w:val="20"/>
          <w:szCs w:val="20"/>
          <w14:ligatures w14:val="none"/>
        </w:rPr>
        <w:t> </w:t>
      </w:r>
    </w:p>
    <w:p w14:paraId="70C88D2F" w14:textId="77777777" w:rsidR="00F37B25" w:rsidRPr="00EB57FF" w:rsidRDefault="00F37B25" w:rsidP="00F37B25">
      <w:pPr>
        <w:spacing w:before="100" w:beforeAutospacing="1" w:after="100" w:afterAutospacing="1" w:line="240" w:lineRule="auto"/>
        <w:rPr>
          <w:rFonts w:ascii="Times New Roman" w:eastAsia="Times New Roman" w:hAnsi="Times New Roman" w:cs="Times New Roman"/>
          <w:kern w:val="0"/>
          <w:sz w:val="20"/>
          <w:szCs w:val="20"/>
          <w14:ligatures w14:val="none"/>
        </w:rPr>
      </w:pPr>
    </w:p>
    <w:p w14:paraId="58DD3EF5" w14:textId="77777777" w:rsidR="00F37B25" w:rsidRPr="00582FDC" w:rsidRDefault="00F37B25" w:rsidP="00F37B25">
      <w:pPr>
        <w:keepNext/>
        <w:tabs>
          <w:tab w:val="left" w:pos="288"/>
        </w:tabs>
        <w:spacing w:after="120" w:line="228" w:lineRule="auto"/>
        <w:jc w:val="both"/>
        <w:rPr>
          <w:rFonts w:ascii="Times New Roman" w:hAnsi="Times New Roman" w:cs="Times New Roman"/>
          <w:sz w:val="20"/>
          <w:szCs w:val="20"/>
        </w:rPr>
      </w:pPr>
      <w:r w:rsidRPr="00EB57FF">
        <w:rPr>
          <w:rFonts w:ascii="Times New Roman" w:hAnsi="Times New Roman" w:cs="Times New Roman"/>
          <w:noProof/>
          <w:sz w:val="20"/>
          <w:szCs w:val="20"/>
        </w:rPr>
        <w:drawing>
          <wp:inline distT="0" distB="0" distL="0" distR="0" wp14:anchorId="16BFA12D" wp14:editId="5096F15F">
            <wp:extent cx="3159139" cy="1798671"/>
            <wp:effectExtent l="0" t="0" r="3175" b="0"/>
            <wp:docPr id="914370928"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70928" name="Picture 1" descr="A graph of different colore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9139" cy="1798671"/>
                    </a:xfrm>
                    <a:prstGeom prst="rect">
                      <a:avLst/>
                    </a:prstGeom>
                  </pic:spPr>
                </pic:pic>
              </a:graphicData>
            </a:graphic>
          </wp:inline>
        </w:drawing>
      </w:r>
      <w:r w:rsidRPr="00EB57FF">
        <w:rPr>
          <w:rFonts w:ascii="Times New Roman" w:eastAsia="Times New Roman" w:hAnsi="Times New Roman" w:cs="Times New Roman"/>
          <w:spacing w:val="-1"/>
          <w:kern w:val="0"/>
          <w:sz w:val="20"/>
          <w:szCs w:val="20"/>
          <w:lang w:val="x-none" w:eastAsia="x-none"/>
          <w14:ligatures w14:val="none"/>
        </w:rPr>
        <w:t xml:space="preserve"> </w:t>
      </w:r>
      <w:r w:rsidRPr="00EB57FF">
        <w:rPr>
          <w:rFonts w:ascii="Times New Roman" w:hAnsi="Times New Roman" w:cs="Times New Roman"/>
          <w:noProof/>
          <w:sz w:val="20"/>
          <w:szCs w:val="20"/>
        </w:rPr>
        <w:drawing>
          <wp:inline distT="0" distB="0" distL="0" distR="0" wp14:anchorId="49B6A1ED" wp14:editId="7E6EE7D2">
            <wp:extent cx="3101477" cy="1746823"/>
            <wp:effectExtent l="0" t="0" r="3810" b="6350"/>
            <wp:docPr id="1432025016" name="Picture 1" descr="A graph of a graph showing a number of l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25016" name="Picture 1" descr="A graph of a graph showing a number of loss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1477" cy="1746823"/>
                    </a:xfrm>
                    <a:prstGeom prst="rect">
                      <a:avLst/>
                    </a:prstGeom>
                  </pic:spPr>
                </pic:pic>
              </a:graphicData>
            </a:graphic>
          </wp:inline>
        </w:drawing>
      </w:r>
      <w:r w:rsidRPr="00EB57FF">
        <w:rPr>
          <w:rFonts w:ascii="Times New Roman" w:eastAsia="Times New Roman" w:hAnsi="Times New Roman" w:cs="Times New Roman"/>
          <w:spacing w:val="-1"/>
          <w:kern w:val="0"/>
          <w:sz w:val="20"/>
          <w:szCs w:val="20"/>
          <w:lang w:val="x-none" w:eastAsia="x-none"/>
          <w14:ligatures w14:val="none"/>
        </w:rPr>
        <w:t> </w:t>
      </w:r>
    </w:p>
    <w:p w14:paraId="2A03FEFF" w14:textId="0018A0AD" w:rsidR="00C9597B" w:rsidRPr="007841FC" w:rsidRDefault="00F37B25" w:rsidP="007841FC">
      <w:pPr>
        <w:pStyle w:val="Caption"/>
        <w:jc w:val="left"/>
        <w:rPr>
          <w:rFonts w:ascii="Times New Roman" w:hAnsi="Times New Roman" w:cs="Times New Roman"/>
          <w:sz w:val="20"/>
          <w:szCs w:val="20"/>
        </w:rPr>
      </w:pPr>
      <w:r w:rsidRPr="00724805">
        <w:rPr>
          <w:rFonts w:ascii="Times New Roman" w:hAnsi="Times New Roman" w:cs="Times New Roman"/>
          <w:b/>
          <w:bCs/>
          <w:sz w:val="20"/>
          <w:szCs w:val="20"/>
        </w:rPr>
        <w:t>Fig</w:t>
      </w:r>
      <w:r w:rsidR="00C2500F" w:rsidRPr="00724805">
        <w:rPr>
          <w:rFonts w:ascii="Times New Roman" w:hAnsi="Times New Roman" w:cs="Times New Roman"/>
          <w:b/>
          <w:bCs/>
          <w:sz w:val="20"/>
          <w:szCs w:val="20"/>
        </w:rPr>
        <w:t>. 3</w:t>
      </w:r>
      <w:r w:rsidR="00724805">
        <w:rPr>
          <w:rFonts w:ascii="Times New Roman" w:hAnsi="Times New Roman" w:cs="Times New Roman"/>
          <w:sz w:val="20"/>
          <w:szCs w:val="20"/>
        </w:rPr>
        <w:t xml:space="preserve"> </w:t>
      </w:r>
      <w:r w:rsidRPr="00582FDC">
        <w:rPr>
          <w:rFonts w:ascii="Times New Roman" w:hAnsi="Times New Roman" w:cs="Times New Roman"/>
          <w:sz w:val="20"/>
          <w:szCs w:val="20"/>
        </w:rPr>
        <w:t>Modeled vs. observed wildfire loss comparison and variability. This figure should contain, for each country, a visualization of observed annual losses (perhaps as a line plot of year-to-year losses or a bar chart), along with the model</w:t>
      </w:r>
      <w:r w:rsidR="00B62453">
        <w:rPr>
          <w:rFonts w:ascii="Times New Roman" w:hAnsi="Times New Roman" w:cs="Times New Roman"/>
          <w:sz w:val="20"/>
          <w:szCs w:val="20"/>
        </w:rPr>
        <w:t>'</w:t>
      </w:r>
      <w:r w:rsidRPr="00582FDC">
        <w:rPr>
          <w:rFonts w:ascii="Times New Roman" w:hAnsi="Times New Roman" w:cs="Times New Roman"/>
          <w:sz w:val="20"/>
          <w:szCs w:val="20"/>
        </w:rPr>
        <w:t>s average annual loss (horizontal line) and an indication of the 100-year return period loss (upper bound). It highlights how closely the model reproduces mean losses and how it relates to extreme-year losses</w:t>
      </w:r>
    </w:p>
    <w:p w14:paraId="1F4FEEA5" w14:textId="77777777" w:rsidR="00F37B25" w:rsidRDefault="00F37B25"/>
    <w:sectPr w:rsidR="00F37B25">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ACEBC" w14:textId="77777777" w:rsidR="00246E25" w:rsidRDefault="00246E25" w:rsidP="00F37B25">
      <w:pPr>
        <w:spacing w:after="0" w:line="240" w:lineRule="auto"/>
      </w:pPr>
      <w:r>
        <w:separator/>
      </w:r>
    </w:p>
  </w:endnote>
  <w:endnote w:type="continuationSeparator" w:id="0">
    <w:p w14:paraId="3317810B" w14:textId="77777777" w:rsidR="00246E25" w:rsidRDefault="00246E25" w:rsidP="00F3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7D1D9" w14:textId="77777777" w:rsidR="00246E25" w:rsidRDefault="00246E25" w:rsidP="00F37B25">
      <w:pPr>
        <w:spacing w:after="0" w:line="240" w:lineRule="auto"/>
      </w:pPr>
      <w:r>
        <w:separator/>
      </w:r>
    </w:p>
  </w:footnote>
  <w:footnote w:type="continuationSeparator" w:id="0">
    <w:p w14:paraId="550AB2F2" w14:textId="77777777" w:rsidR="00246E25" w:rsidRDefault="00246E25" w:rsidP="00F37B25">
      <w:pPr>
        <w:spacing w:after="0" w:line="240" w:lineRule="auto"/>
      </w:pPr>
      <w:r>
        <w:continuationSeparator/>
      </w:r>
    </w:p>
  </w:footnote>
  <w:footnote w:id="1">
    <w:p w14:paraId="7AB90594" w14:textId="77777777" w:rsidR="00F37B25" w:rsidRDefault="00F37B25" w:rsidP="00F37B25"/>
    <w:p w14:paraId="2717FC46" w14:textId="77777777" w:rsidR="00F37B25" w:rsidRPr="00995478" w:rsidRDefault="00F37B25" w:rsidP="00F37B25">
      <w:pPr>
        <w:pStyle w:val="FootnoteText"/>
        <w:jc w:val="both"/>
      </w:pPr>
    </w:p>
  </w:footnote>
  <w:footnote w:id="2">
    <w:p w14:paraId="5E35C67F" w14:textId="77777777" w:rsidR="00F37B25" w:rsidRDefault="00F37B25" w:rsidP="00F37B25"/>
    <w:p w14:paraId="500CD166" w14:textId="77777777" w:rsidR="00F37B25" w:rsidRPr="00430E41" w:rsidRDefault="00F37B25" w:rsidP="00F37B25">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692"/>
    <w:multiLevelType w:val="hybridMultilevel"/>
    <w:tmpl w:val="3CA02F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FD3857"/>
    <w:multiLevelType w:val="multilevel"/>
    <w:tmpl w:val="58924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3404594">
    <w:abstractNumId w:val="0"/>
  </w:num>
  <w:num w:numId="2" w16cid:durableId="1991253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2MzU2MzI1tTQ2NTFT0lEKTi0uzszPAykwrQUAN4wjlSwAAAA="/>
  </w:docVars>
  <w:rsids>
    <w:rsidRoot w:val="00F37B25"/>
    <w:rsid w:val="00054FE7"/>
    <w:rsid w:val="00065F1E"/>
    <w:rsid w:val="000721E6"/>
    <w:rsid w:val="000E6BBA"/>
    <w:rsid w:val="00124332"/>
    <w:rsid w:val="00136402"/>
    <w:rsid w:val="001F78FD"/>
    <w:rsid w:val="00226039"/>
    <w:rsid w:val="00236F03"/>
    <w:rsid w:val="00246E25"/>
    <w:rsid w:val="00250D19"/>
    <w:rsid w:val="0028036D"/>
    <w:rsid w:val="002C523C"/>
    <w:rsid w:val="002F6664"/>
    <w:rsid w:val="002F7C2B"/>
    <w:rsid w:val="00341C8F"/>
    <w:rsid w:val="00390C62"/>
    <w:rsid w:val="00397B78"/>
    <w:rsid w:val="003D078C"/>
    <w:rsid w:val="0041537B"/>
    <w:rsid w:val="004317C4"/>
    <w:rsid w:val="00447CE6"/>
    <w:rsid w:val="004C0A9B"/>
    <w:rsid w:val="00555B43"/>
    <w:rsid w:val="00560157"/>
    <w:rsid w:val="005B36DC"/>
    <w:rsid w:val="006240AD"/>
    <w:rsid w:val="0066624E"/>
    <w:rsid w:val="006B34A2"/>
    <w:rsid w:val="006E5585"/>
    <w:rsid w:val="00724805"/>
    <w:rsid w:val="00754F0F"/>
    <w:rsid w:val="0076675B"/>
    <w:rsid w:val="007841FC"/>
    <w:rsid w:val="00790AF3"/>
    <w:rsid w:val="007C110E"/>
    <w:rsid w:val="00814560"/>
    <w:rsid w:val="008338CD"/>
    <w:rsid w:val="00852CBD"/>
    <w:rsid w:val="008C26D1"/>
    <w:rsid w:val="00933B35"/>
    <w:rsid w:val="00944E32"/>
    <w:rsid w:val="00947E77"/>
    <w:rsid w:val="0095129B"/>
    <w:rsid w:val="00960D29"/>
    <w:rsid w:val="009B6711"/>
    <w:rsid w:val="00A27600"/>
    <w:rsid w:val="00A31742"/>
    <w:rsid w:val="00AE0B98"/>
    <w:rsid w:val="00B62453"/>
    <w:rsid w:val="00B86606"/>
    <w:rsid w:val="00BE6C0C"/>
    <w:rsid w:val="00C14F38"/>
    <w:rsid w:val="00C2500F"/>
    <w:rsid w:val="00C80CB0"/>
    <w:rsid w:val="00C9597B"/>
    <w:rsid w:val="00CE5B5D"/>
    <w:rsid w:val="00CF4942"/>
    <w:rsid w:val="00D63A7B"/>
    <w:rsid w:val="00E016A4"/>
    <w:rsid w:val="00E4179D"/>
    <w:rsid w:val="00EB0AEA"/>
    <w:rsid w:val="00F07B0A"/>
    <w:rsid w:val="00F37B25"/>
    <w:rsid w:val="00F912A5"/>
    <w:rsid w:val="00FD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B8F50"/>
  <w15:chartTrackingRefBased/>
  <w15:docId w15:val="{308BFD43-D575-4F0A-A1BD-19DD570B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B25"/>
  </w:style>
  <w:style w:type="paragraph" w:styleId="Heading1">
    <w:name w:val="heading 1"/>
    <w:basedOn w:val="Normal"/>
    <w:next w:val="Normal"/>
    <w:link w:val="Heading1Char"/>
    <w:uiPriority w:val="9"/>
    <w:qFormat/>
    <w:rsid w:val="00F37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B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B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B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B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B25"/>
    <w:rPr>
      <w:rFonts w:eastAsiaTheme="majorEastAsia" w:cstheme="majorBidi"/>
      <w:color w:val="272727" w:themeColor="text1" w:themeTint="D8"/>
    </w:rPr>
  </w:style>
  <w:style w:type="paragraph" w:styleId="Title">
    <w:name w:val="Title"/>
    <w:basedOn w:val="Normal"/>
    <w:next w:val="Normal"/>
    <w:link w:val="TitleChar"/>
    <w:uiPriority w:val="10"/>
    <w:qFormat/>
    <w:rsid w:val="00F37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B25"/>
    <w:pPr>
      <w:spacing w:before="160"/>
      <w:jc w:val="center"/>
    </w:pPr>
    <w:rPr>
      <w:i/>
      <w:iCs/>
      <w:color w:val="404040" w:themeColor="text1" w:themeTint="BF"/>
    </w:rPr>
  </w:style>
  <w:style w:type="character" w:customStyle="1" w:styleId="QuoteChar">
    <w:name w:val="Quote Char"/>
    <w:basedOn w:val="DefaultParagraphFont"/>
    <w:link w:val="Quote"/>
    <w:uiPriority w:val="29"/>
    <w:rsid w:val="00F37B25"/>
    <w:rPr>
      <w:i/>
      <w:iCs/>
      <w:color w:val="404040" w:themeColor="text1" w:themeTint="BF"/>
    </w:rPr>
  </w:style>
  <w:style w:type="paragraph" w:styleId="ListParagraph">
    <w:name w:val="List Paragraph"/>
    <w:basedOn w:val="Normal"/>
    <w:uiPriority w:val="34"/>
    <w:qFormat/>
    <w:rsid w:val="00F37B25"/>
    <w:pPr>
      <w:ind w:left="720"/>
      <w:contextualSpacing/>
    </w:pPr>
  </w:style>
  <w:style w:type="character" w:styleId="IntenseEmphasis">
    <w:name w:val="Intense Emphasis"/>
    <w:basedOn w:val="DefaultParagraphFont"/>
    <w:uiPriority w:val="21"/>
    <w:qFormat/>
    <w:rsid w:val="00F37B25"/>
    <w:rPr>
      <w:i/>
      <w:iCs/>
      <w:color w:val="0F4761" w:themeColor="accent1" w:themeShade="BF"/>
    </w:rPr>
  </w:style>
  <w:style w:type="paragraph" w:styleId="IntenseQuote">
    <w:name w:val="Intense Quote"/>
    <w:basedOn w:val="Normal"/>
    <w:next w:val="Normal"/>
    <w:link w:val="IntenseQuoteChar"/>
    <w:uiPriority w:val="30"/>
    <w:qFormat/>
    <w:rsid w:val="00F37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B25"/>
    <w:rPr>
      <w:i/>
      <w:iCs/>
      <w:color w:val="0F4761" w:themeColor="accent1" w:themeShade="BF"/>
    </w:rPr>
  </w:style>
  <w:style w:type="character" w:styleId="IntenseReference">
    <w:name w:val="Intense Reference"/>
    <w:basedOn w:val="DefaultParagraphFont"/>
    <w:uiPriority w:val="32"/>
    <w:qFormat/>
    <w:rsid w:val="00F37B25"/>
    <w:rPr>
      <w:b/>
      <w:bCs/>
      <w:smallCaps/>
      <w:color w:val="0F4761" w:themeColor="accent1" w:themeShade="BF"/>
      <w:spacing w:val="5"/>
    </w:rPr>
  </w:style>
  <w:style w:type="paragraph" w:styleId="FootnoteText">
    <w:name w:val="footnote text"/>
    <w:basedOn w:val="Normal"/>
    <w:link w:val="FootnoteTextChar"/>
    <w:uiPriority w:val="99"/>
    <w:semiHidden/>
    <w:unhideWhenUsed/>
    <w:rsid w:val="00F37B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7B25"/>
    <w:rPr>
      <w:sz w:val="20"/>
      <w:szCs w:val="20"/>
    </w:rPr>
  </w:style>
  <w:style w:type="table" w:customStyle="1" w:styleId="TableGrid1">
    <w:name w:val="Table Grid1"/>
    <w:basedOn w:val="TableNormal"/>
    <w:next w:val="TableGrid"/>
    <w:rsid w:val="00F37B25"/>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35"/>
    <w:qFormat/>
    <w:rsid w:val="00F37B25"/>
    <w:pPr>
      <w:suppressLineNumbers/>
      <w:suppressAutoHyphens/>
      <w:spacing w:before="120" w:after="120" w:line="276" w:lineRule="auto"/>
      <w:jc w:val="center"/>
    </w:pPr>
    <w:rPr>
      <w:rFonts w:ascii="Verdana" w:eastAsia="Calibri" w:hAnsi="Verdana" w:cs="Arial"/>
      <w:i/>
      <w:iCs/>
      <w:color w:val="0E2841" w:themeColor="text2"/>
      <w:kern w:val="0"/>
      <w:sz w:val="18"/>
      <w:szCs w:val="18"/>
      <w14:ligatures w14:val="none"/>
    </w:rPr>
  </w:style>
  <w:style w:type="table" w:styleId="TableGrid">
    <w:name w:val="Table Grid"/>
    <w:basedOn w:val="TableNormal"/>
    <w:uiPriority w:val="39"/>
    <w:rsid w:val="00F3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3B35"/>
    <w:rPr>
      <w:color w:val="467886" w:themeColor="hyperlink"/>
      <w:u w:val="single"/>
    </w:rPr>
  </w:style>
  <w:style w:type="character" w:styleId="UnresolvedMention">
    <w:name w:val="Unresolved Mention"/>
    <w:basedOn w:val="DefaultParagraphFont"/>
    <w:uiPriority w:val="99"/>
    <w:semiHidden/>
    <w:unhideWhenUsed/>
    <w:rsid w:val="00933B35"/>
    <w:rPr>
      <w:color w:val="605E5C"/>
      <w:shd w:val="clear" w:color="auto" w:fill="E1DFDD"/>
    </w:rPr>
  </w:style>
  <w:style w:type="paragraph" w:styleId="Revision">
    <w:name w:val="Revision"/>
    <w:hidden/>
    <w:uiPriority w:val="99"/>
    <w:semiHidden/>
    <w:rsid w:val="00A276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Sanira Asif</dc:creator>
  <cp:keywords/>
  <dc:description/>
  <cp:lastModifiedBy>Sanira Asif</cp:lastModifiedBy>
  <cp:revision>3</cp:revision>
  <dcterms:created xsi:type="dcterms:W3CDTF">2026-02-04T10:55:00Z</dcterms:created>
  <dcterms:modified xsi:type="dcterms:W3CDTF">2026-02-05T09:14:00Z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4d744535-b976-4d2e-9028-24cc4b5e862f</vt:lpwstr>
  </property>
</Properties>
</file>