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online-resource-1"/>
    <w:p>
      <w:pPr>
        <w:pStyle w:val="Heading1"/>
        <w:spacing w:line="480" w:lineRule="auto" w:before="0" w:after="0"/>
        <w:jc w:val="center"/>
      </w:pPr>
      <w:r>
        <w:rPr>
          <w:rFonts w:ascii="Times New Roman" w:hAnsi="Times New Roman"/>
          <w:b/>
          <w:sz w:val="24"/>
        </w:rPr>
        <w:t xml:space="preserve">Online Resource 1</w:t>
      </w:r>
    </w:p>
    <w:bookmarkStart w:id="9" w:name="X9ddb1c7e3ce49298f45d52744df5449ad33654b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Supplementary methods and results for Membership-linked issue specialization within the G77 in UN climate negotiations</w:t>
      </w:r>
    </w:p>
    <w:bookmarkEnd w:id="9"/>
    <w:bookmarkStart w:id="12" w:name="table-s1-source-data-files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S1 Source data files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6336"/>
        <w:gridCol w:w="6624"/>
      </w:tblGrid>
      <w:tr>
        <w:trPr>
          <w:tblHeader w:val="on"/>
          <w:cantSplit/>
          <w:tblHeader w:val="true"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File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Analytical role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2719_UN_ClimateNegotiations_Data_Issues_v2.0.csv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Report and meeting metadata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2719_UN_ClimateNegotiations_Data_Interventions_wtopics_v2.0.csv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Intervention records and topic labels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2719_UN_ClimateNegotiations_Data_Parties_v2.0.txt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Party names, aliases, and memberships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2719_UN_ClimateNegotiations_Data_CountryGroupings_v2.0.txt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Negotiating-group names and aliases</w:t>
            </w:r>
          </w:p>
        </w:tc>
      </w:tr>
    </w:tbl>
    <w:p>
      <w:pPr>
        <w:pStyle w:val="BodyText"/>
        <w:spacing w:line="480" w:lineRule="auto" w:before="0" w:after="0"/>
        <w:ind w:firstLine="720"/>
        <w:jc w:val="left"/>
      </w:pPr>
      <w:r>
        <w:rPr>
          <w:rFonts w:ascii="Times New Roman" w:hAnsi="Times New Roman"/>
          <w:sz w:val="24"/>
        </w:rPr>
        <w:t xml:space="preserve">All four files are from SWISSUbase dataset 2719, version 2.0. The version-specific dataset DOI is</w:t>
      </w:r>
      <w:r>
        <w:rPr>
          <w:rFonts w:ascii="Times New Roman" w:hAnsi="Times New Roman"/>
          <w:sz w:val="24"/>
        </w:rPr>
        <w:t xml:space="preserve"> </w:t>
      </w:r>
      <w:hyperlink r:id="rId10">
        <w:r>
          <w:rPr>
            <w:rStyle w:val="Hyperlink"/>
          </w:rPr>
          <w:t xml:space="preserve">https://doi.org/10.48573/hv8v-8921</w:t>
        </w:r>
      </w:hyperlink>
      <w:r>
        <w:rPr>
          <w:rFonts w:ascii="Times New Roman" w:hAnsi="Times New Roman"/>
          <w:sz w:val="24"/>
        </w:rPr>
        <w:t xml:space="preserve">; the version-independent canonical DOI is</w:t>
      </w:r>
      <w:r>
        <w:rPr>
          <w:rFonts w:ascii="Times New Roman" w:hAnsi="Times New Roman"/>
          <w:sz w:val="24"/>
        </w:rPr>
        <w:t xml:space="preserve"> </w:t>
      </w:r>
      <w:hyperlink r:id="rId11">
        <w:r>
          <w:rPr>
            <w:rStyle w:val="Hyperlink"/>
          </w:rPr>
          <w:t xml:space="preserve">https://doi.org/10.48573/ycjn-zs13</w:t>
        </w:r>
      </w:hyperlink>
      <w:r>
        <w:rPr>
          <w:rFonts w:ascii="Times New Roman" w:hAnsi="Times New Roman"/>
          <w:sz w:val="24"/>
        </w:rPr>
        <w:t xml:space="preserve">.</w:t>
      </w:r>
    </w:p>
    <w:bookmarkEnd w:id="12"/>
    <w:bookmarkStart w:id="13" w:name="table-s2-selected-subgroup-definitions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S2 Selected subgroup definitions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2160"/>
        <w:gridCol w:w="4320"/>
        <w:gridCol w:w="2160"/>
        <w:gridCol w:w="4320"/>
      </w:tblGrid>
      <w:tr>
        <w:trPr>
          <w:tblHeader w:val="on"/>
          <w:cantSplit/>
          <w:tblHeader w:val="true"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Label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Full name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Active from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Family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AOSIS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Alliance of Small Island States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1990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LDCs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Least Developed Countries Group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2001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CVF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Climate Vulnerable Forum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2009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African Group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African Group of Negotiators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1995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AILAC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Independent Association of Latin America and the Caribbean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2012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LMDCs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Like-Minded Developing Countries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2007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Brazil, South Africa, India, and China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2009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OPEC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Organization of the Petroleum Exporting Countries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1960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</w:tr>
    </w:tbl>
    <w:bookmarkEnd w:id="13"/>
    <w:bookmarkStart w:id="14" w:name="table-s3-policy-area-definitions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S3 Policy-area definitions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6336"/>
        <w:gridCol w:w="6624"/>
      </w:tblGrid>
      <w:tr>
        <w:trPr>
          <w:tblHeader w:val="on"/>
          <w:cantSplit/>
          <w:tblHeader w:val="true"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Policy area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Operational scope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Funding provision, governance, and access arrangements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Policies and support that reduce vulnerability to climate impacts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Harms not avoided through mitigation or adaptation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Emissions limitation and reduction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Social and economic consequences of climate policies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Cooperative and market-based mitigation mechanisms</w:t>
            </w:r>
          </w:p>
        </w:tc>
      </w:tr>
    </w:tbl>
    <w:p>
      <w:pPr>
        <w:pStyle w:val="BodyText"/>
        <w:spacing w:line="480" w:lineRule="auto" w:before="0" w:after="0"/>
        <w:ind w:firstLine="720"/>
        <w:jc w:val="both"/>
      </w:pPr>
      <w:r>
        <w:rPr>
          <w:rFonts w:ascii="Times New Roman" w:hAnsi="Times New Roman"/>
          <w:sz w:val="24"/>
        </w:rPr>
        <w:t xml:space="preserve">An intervention can carry more than one topic label. Its contribution is divided equally across its coded negotiation topics, so the weights for each intervention sum to one.</w:t>
      </w:r>
    </w:p>
    <w:bookmarkEnd w:id="14"/>
    <w:bookmarkStart w:id="17" w:name="table-s4-sample-flow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S4 Sample flow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6336"/>
        <w:gridCol w:w="6624"/>
      </w:tblGrid>
      <w:tr>
        <w:trPr>
          <w:tblHeader w:val="on"/>
          <w:cantSplit/>
          <w:tblHeader w:val="true"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Metric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Raw issue records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800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Curtain raisers removed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64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Duplicate meeting summaries removed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75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Retained reports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661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Raw intervention records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63,962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Intervention records after report and actor filters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40,425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Intervention records with at least one substantive topic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23,309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Retained intervention records without a substantive topic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17,116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Topic-expanded intervention records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27,364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Country intervention records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16,753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analysis topic rows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2,179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topic rows assigned to selected subgroups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2,120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analysis topic weight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1,824.000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Topic weight assigned to selected subgroups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1,778.167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Unassigned topic-weight share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2.51%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analysis reports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201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analysis meetings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46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analysis start year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633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Focal analysis end year</w:t>
            </w:r>
          </w:p>
        </w:tc>
        <w:tc>
          <w:tcPr>
            <w:tcW w:type="dxa" w:w="66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2025</w:t>
            </w:r>
          </w:p>
        </w:tc>
      </w:tr>
    </w:tbl>
    <w:bookmarkStart w:id="15" w:name="X7eed9046b92ab3dc7c84697e744f6a28f6189e3"/>
    <w:p>
      <w:pPr>
        <w:pStyle w:val="Heading3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S4A Issue-specific activity and subgroup coverage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1440"/>
        <w:gridCol w:w="3168"/>
        <w:gridCol w:w="1728"/>
        <w:gridCol w:w="1584"/>
        <w:gridCol w:w="1584"/>
        <w:gridCol w:w="3456"/>
      </w:tblGrid>
      <w:tr>
        <w:trPr>
          <w:tblHeader w:val="on"/>
          <w:cantSplit/>
          <w:tblHeader w:val="true"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Issue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Topic rows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Topic weight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Assigned rows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Assigned weight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Coverage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480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371.667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466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360.167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96.91%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279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217.500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269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209.500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96.32%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80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60.500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79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59.500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98.35%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1,027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922.417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1,001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902.083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97.80%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98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95.333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98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95.333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100.00%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215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156.583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207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151.583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96.81%</w:t>
            </w:r>
          </w:p>
        </w:tc>
      </w:tr>
    </w:tbl>
    <w:bookmarkEnd w:id="15"/>
    <w:bookmarkStart w:id="16" w:name="X830e226d19416b163a6ed9a7dbd72270b43e1b4"/>
    <w:p>
      <w:pPr>
        <w:pStyle w:val="Heading3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S4B Issue-specific report and meeting counts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4320"/>
        <w:gridCol w:w="4320"/>
        <w:gridCol w:w="4320"/>
      </w:tblGrid>
      <w:tr>
        <w:trPr>
          <w:tblHeader w:val="on"/>
          <w:cantSplit/>
          <w:tblHeader w:val="true"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Issue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Reports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Meetings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95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36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70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32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26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121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42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31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50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26</w:t>
            </w:r>
          </w:p>
        </w:tc>
      </w:tr>
    </w:tbl>
    <w:bookmarkEnd w:id="16"/>
    <w:bookmarkEnd w:id="17"/>
    <w:bookmarkStart w:id="18" w:name="table-s5-main-family-level-results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S5 Main family-level results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1584"/>
        <w:gridCol w:w="3168"/>
        <w:gridCol w:w="1512"/>
        <w:gridCol w:w="1512"/>
        <w:gridCol w:w="1440"/>
        <w:gridCol w:w="1080"/>
        <w:gridCol w:w="2664"/>
      </w:tblGrid>
      <w:tr>
        <w:trPr>
          <w:tblHeader w:val="on"/>
          <w:cantSplit/>
          <w:tblHeader w:val="true"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Issue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Family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Weighted activity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Within-issue share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Overall share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LQ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95% CI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97.083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0.270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0.284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0.948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[0.808, 1.119]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56.625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0.157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0.115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1.368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[1.124, 1.635]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206.458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0.573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0.601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0.954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[0.840, 1.047]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78.000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0.372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0.284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1.309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[1.097, 1.532]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30.833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0.147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0.115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1.281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[0.963, 1.687]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100.667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0.481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0.601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0.800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[0.665, 0.921]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29.417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0.494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0.284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1.739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[1.344, 2.367]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7.333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0.123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0.115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1.073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[0.667, 1.745]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22.750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0.382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0.601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0.636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[0.321, 0.855]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235.472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0.261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0.284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0.918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[0.802, 0.993]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89.236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0.099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0.115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0.861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[0.765, 0.966]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577.375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0.640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0.601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1.065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[1.023, 1.125]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22.000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0.231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0.284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0.812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[0.474, 1.286]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5.833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0.061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0.115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0.533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[0.251, 0.902]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67.500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0.708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0.601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1.179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[0.917, 1.379]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43.639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0.288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0.284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1.012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[0.850, 1.177]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14.444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0.095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0.115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0.829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[0.457, 1.209]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93.500</w:t>
            </w:r>
          </w:p>
        </w:tc>
        <w:tc>
          <w:tcPr>
            <w:tcW w:type="dxa" w:w="151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0.617</w:t>
            </w:r>
          </w:p>
        </w:tc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0.601</w:t>
            </w:r>
          </w:p>
        </w:tc>
        <w:tc>
          <w:tcPr>
            <w:tcW w:type="dxa" w:w="10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1.027</w:t>
            </w:r>
          </w:p>
        </w:tc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[0.913, 1.162]</w:t>
            </w:r>
          </w:p>
        </w:tc>
      </w:tr>
    </w:tbl>
    <w:p>
      <w:pPr>
        <w:pStyle w:val="BodyText"/>
        <w:spacing w:line="480" w:lineRule="auto" w:before="0" w:after="0"/>
        <w:ind w:firstLine="720"/>
        <w:jc w:val="both"/>
      </w:pPr>
      <w:r>
        <w:rPr>
          <w:rFonts w:ascii="Times New Roman" w:hAnsi="Times New Roman"/>
          <w:sz w:val="24"/>
        </w:rPr>
        <w:t xml:space="preserve">Intervals use 1,000 percentile bootstrap replicates. The resampling cluster is the negotiation meeting (n = 46); each selected meeting contributes all of its retained reports and observations. The intervals summarize pointwise meeting-level uncertainty; they do not control familywise error across cells.</w:t>
      </w:r>
    </w:p>
    <w:bookmarkEnd w:id="18"/>
    <w:bookmarkStart w:id="21" w:name="X394dc2b56693e283b5021c44e30190bbc84684c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S6 Classification and period sensitivity</w:t>
      </w:r>
    </w:p>
    <w:bookmarkStart w:id="19" w:name="table-s6a-post-2012-family-level-results"/>
    <w:p>
      <w:pPr>
        <w:pStyle w:val="Heading3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S6A Post-2012 family-level results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1440"/>
        <w:gridCol w:w="3168"/>
        <w:gridCol w:w="1728"/>
        <w:gridCol w:w="1584"/>
        <w:gridCol w:w="1584"/>
        <w:gridCol w:w="3456"/>
      </w:tblGrid>
      <w:tr>
        <w:trPr>
          <w:tblHeader w:val="on"/>
          <w:cantSplit/>
          <w:tblHeader w:val="true"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Issue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Family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Weighted activity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Within-issue share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LQ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95% CI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65.250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0.225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0.845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[0.695, 1.008]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41.125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0.142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1.052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[0.854, 1.206]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183.792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0.633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1.057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[0.974, 1.166]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53.250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0.324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1.216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[0.978, 1.505]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26.250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0.160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1.185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[0.793, 1.664]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85.000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0.517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0.862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[0.714, 1.010]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22.250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0.563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2.116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[1.720, 2.761]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6.000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0.152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1.128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[0.681, 1.853]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11.250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0.285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0.475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[0.256, 0.625]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115.917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0.236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0.887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[0.727, 1.011]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59.458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0.121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0.899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[0.761, 1.061]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315.375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0.643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1.073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[1.006, 1.146]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17.000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0.427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1.603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[1.015, 2.210]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5.000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0.126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0.932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[0.450, 1.358]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17.833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0.448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0.747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[0.458, 1.073]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11.889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0.247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0.929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[0.572, 1.342]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6.694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0.139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1.033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[0.360, 1.734]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29.500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0.614</w:t>
            </w:r>
          </w:p>
        </w:tc>
        <w:tc>
          <w:tcPr>
            <w:tcW w:type="dxa" w:w="158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1.024</w:t>
            </w:r>
          </w:p>
        </w:tc>
        <w:tc>
          <w:tcPr>
            <w:tcW w:type="dxa" w:w="345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[0.746, 1.295]</w:t>
            </w:r>
          </w:p>
        </w:tc>
      </w:tr>
    </w:tbl>
    <w:p>
      <w:pPr>
        <w:pStyle w:val="BodyText"/>
        <w:spacing w:line="480" w:lineRule="auto" w:before="0" w:after="0"/>
        <w:ind w:firstLine="720"/>
        <w:jc w:val="both"/>
      </w:pPr>
      <w:r>
        <w:rPr>
          <w:rFonts w:ascii="Times New Roman" w:hAnsi="Times New Roman"/>
          <w:sz w:val="24"/>
        </w:rPr>
        <w:t xml:space="preserve">The post-2012 specification uses 1,000 meeting-cluster bootstrap replicates across 34 meetings.</w:t>
      </w:r>
    </w:p>
    <w:bookmarkEnd w:id="19"/>
    <w:bookmarkStart w:id="20" w:name="table-s6b-classification-sensitivities"/>
    <w:p>
      <w:pPr>
        <w:pStyle w:val="Heading3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S6B Classification sensitivities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2160"/>
        <w:gridCol w:w="4320"/>
        <w:gridCol w:w="2160"/>
        <w:gridCol w:w="4320"/>
      </w:tblGrid>
      <w:tr>
        <w:trPr>
          <w:tblHeader w:val="on"/>
          <w:cantSplit/>
          <w:tblHeader w:val="true"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Issue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Family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AILAC-to-vulnerability LQ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BASIC-standalone LQ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1.003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0.948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1.319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1.368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0.954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1.024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 standalone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0.823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1.292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1.309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1.337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1.281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0.800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0.830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 standalone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0.743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1.618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1.739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1.278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1.073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0.636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0.781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 standalone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0.363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0.916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0.918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0.846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0.861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1.065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0.988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 standalone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1.211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0.747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0.812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0.672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0.533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1.179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1.443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 standalone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0.680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1.005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1.012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0.787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0.829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1.027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1.055</w:t>
            </w:r>
          </w:p>
        </w:tc>
      </w:tr>
      <w:tr>
        <w:trPr>
          <w:cantSplit/>
        </w:trPr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 standalone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0.973</w:t>
            </w:r>
          </w:p>
        </w:tc>
      </w:tr>
    </w:tbl>
    <w:bookmarkEnd w:id="20"/>
    <w:bookmarkEnd w:id="21"/>
    <w:bookmarkStart w:id="22" w:name="Xf484129d42ebc824568d686ce5b907dae667a28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S7 Direct negotiating-group statements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1728"/>
        <w:gridCol w:w="3168"/>
        <w:gridCol w:w="2160"/>
        <w:gridCol w:w="3024"/>
        <w:gridCol w:w="2880"/>
      </w:tblGrid>
      <w:tr>
        <w:trPr>
          <w:tblHeader w:val="on"/>
          <w:cantSplit/>
          <w:tblHeader w:val="true"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Issue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Family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Weighted direct statements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Within-issue share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Direct-statement LQ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176.083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0.441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0.960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171.083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0.429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1.132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Finance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51.667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0.130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0.804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164.417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0.485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1.055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127.917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0.377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0.995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Adaptation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46.667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0.138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0.855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54.500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0.645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1.402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27.000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0.320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0.843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Loss and damage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3.000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0.036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0.220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224.667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0.431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0.937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185.167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0.355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0.937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Mitigation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111.333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0.214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1.326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9.500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0.388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0.843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13.500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0.551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1.454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Response measures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1.500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0.061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0.380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Vulnerability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65.167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0.459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0.999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Regional / issue-specific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47.667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0.336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0.887</w:t>
            </w:r>
          </w:p>
        </w:tc>
      </w:tr>
      <w:tr>
        <w:trPr>
          <w:cantSplit/>
        </w:trPr>
        <w:tc>
          <w:tcPr>
            <w:tcW w:type="dxa" w:w="172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Carbon markets</w:t>
            </w:r>
          </w:p>
        </w:tc>
        <w:tc>
          <w:tcPr>
            <w:tcW w:type="dxa" w:w="316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Defensive-developmentalist</w:t>
            </w:r>
          </w:p>
        </w:tc>
        <w:tc>
          <w:tcPr>
            <w:tcW w:type="dxa" w:w="216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29.000</w:t>
            </w:r>
          </w:p>
        </w:tc>
        <w:tc>
          <w:tcPr>
            <w:tcW w:type="dxa" w:w="302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0.204</w:t>
            </w:r>
          </w:p>
        </w:tc>
        <w:tc>
          <w:tcPr>
            <w:tcW w:type="dxa" w:w="288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1.270</w:t>
            </w:r>
          </w:p>
        </w:tc>
      </w:tr>
    </w:tbl>
    <w:p>
      <w:pPr>
        <w:pStyle w:val="BodyText"/>
        <w:spacing w:line="480" w:lineRule="auto" w:before="0" w:after="0"/>
        <w:ind w:firstLine="720"/>
        <w:jc w:val="both"/>
      </w:pPr>
      <w:r>
        <w:rPr>
          <w:rFonts w:ascii="Times New Roman" w:hAnsi="Times New Roman"/>
          <w:sz w:val="24"/>
        </w:rPr>
        <w:t xml:space="preserve">Direct statements are attributed to the selected group labels in the source data. They are not combined with the country-membership projection.</w:t>
      </w:r>
    </w:p>
    <w:bookmarkEnd w:id="22"/>
    <w:bookmarkStart w:id="23" w:name="Xa90ec69210123a552ec0f38887c804c2dc73d3b"/>
    <w:p>
      <w:pPr>
        <w:pStyle w:val="Heading2"/>
        <w:spacing w:line="480" w:lineRule="auto" w:before="0" w:after="0"/>
      </w:pPr>
      <w:r>
        <w:rPr>
          <w:rFonts w:ascii="Times New Roman" w:hAnsi="Times New Roman"/>
          <w:sz w:val="24"/>
        </w:rPr>
        <w:t xml:space="preserve">Table S8 Active-period membership-projection summary</w:t>
      </w:r>
    </w:p>
    <w:tbl>
      <w:tblPr>
        <w:tblStyle w:val="Table"/>
        <w:tblW w:type="auto" w:w="0"/>
        <w:jc w:val="center"/>
        <w:tblBorders>
          <w:top w:val="single" w:sz="8" w:color="000000"/>
          <w:left w:val="nil"/>
          <w:bottom w:val="single" w:sz="8" w:color="000000"/>
          <w:right w:val="nil"/>
          <w:insideH w:val="single" w:sz="4" w:color="000000"/>
          <w:insideV w:val="nil"/>
        </w:tblBorders>
        <w:tblLayout w:type="fixed"/>
        <w:tblLook w:firstRow="1" w:lastRow="0" w:firstColumn="0" w:lastColumn="0" w:noHBand="0" w:noVBand="0" w:val="0020"/>
      </w:tblPr>
      <w:tblGrid>
        <w:gridCol w:w="4320"/>
        <w:gridCol w:w="4320"/>
        <w:gridCol w:w="4320"/>
      </w:tblGrid>
      <w:tr>
        <w:trPr>
          <w:tblHeader w:val="on"/>
          <w:cantSplit/>
          <w:tblHeader w:val="true"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Subgroup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b/>
                <w:sz w:val="24"/>
              </w:rPr>
              <w:t xml:space="preserve">Countries in release list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 xml:space="preserve">Projection start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AOSIS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35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LDCs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46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CVF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46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African Group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54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AILAC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8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2012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LMDCs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29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BASIC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4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OPEC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Times New Roman" w:hAnsi="Times New Roman"/>
                <w:sz w:val="24"/>
              </w:rPr>
              <w:t xml:space="preserve">14</w:t>
            </w:r>
          </w:p>
        </w:tc>
        <w:tc>
          <w:tcPr>
            <w:tcW w:type="dxa" w:w="432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Compact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2010</w:t>
            </w:r>
          </w:p>
        </w:tc>
      </w:tr>
    </w:tbl>
    <w:p>
      <w:pPr>
        <w:pStyle w:val="BodyText"/>
        <w:spacing w:line="480" w:lineRule="auto" w:before="0" w:after="0"/>
        <w:ind w:firstLine="720"/>
        <w:jc w:val="both"/>
      </w:pPr>
      <w:r>
        <w:rPr>
          <w:rFonts w:ascii="Times New Roman" w:hAnsi="Times New Roman"/>
          <w:sz w:val="24"/>
        </w:rPr>
        <w:t xml:space="preserve">All projections end in 2025. They use the release-time membership snapshot with group-active-year gates. The projection does not reconstruct country-level accession or withdrawal histories.</w:t>
      </w:r>
    </w:p>
    <w:bookmarkEnd w:id="23"/>
    <w:bookmarkEnd w:id="24"/>
    <w:sectPr>
      <w:headerReference w:type="default" r:id="rId9"/>
      <w:footnotePr>
        <w:numRestart w:val="eachSect"/>
      </w:footnotePr>
      <w:pgSz w:w="15840" w:h="12240"/>
      <w:pgMar w:top="1440" w:bottom="1440" w:left="1440" w:right="144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480" w:lineRule="auto" w:after="0"/>
      <w:jc w:val="both"/>
    </w:pPr>
    <w:rPr>
      <w:rFonts w:ascii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0" w:before="180" w:line="480" w:lineRule="auto"/>
      <w:jc w:val="both"/>
    </w:pPr>
    <w:rPr>
      <w:rFonts w:ascii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keepNext/>
      <w:spacing w:after="0" w:line="480" w:lineRule="auto" w:before="0"/>
      <w:contextualSpacing/>
      <w:jc w:val="center"/>
    </w:pPr>
    <w:rPr>
      <w:rFonts w:asciiTheme="majorHAnsi" w:cstheme="majorBidi" w:eastAsiaTheme="majorEastAsia" w:hAnsiTheme="majorHAnsi" w:ascii="Times New Roman" w:hAnsi="Times New Roman"/>
      <w:b/>
      <w:sz w:val="2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0" w:before="0" w:line="480" w:lineRule="auto"/>
      <w:jc w:val="center"/>
      <w:outlineLvl w:val="0"/>
    </w:pPr>
    <w:rPr>
      <w:rFonts w:asciiTheme="majorHAnsi" w:cstheme="majorBidi" w:eastAsiaTheme="majorEastAsia" w:hAnsiTheme="majorHAnsi" w:ascii="Times New Roman" w:hAnsi="Times New Roman"/>
      <w:b/>
      <w:sz w:val="2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0" w:before="0" w:line="480" w:lineRule="auto"/>
      <w:jc w:val="center"/>
      <w:outlineLvl w:val="1"/>
    </w:pPr>
    <w:rPr>
      <w:rFonts w:asciiTheme="majorHAnsi" w:cstheme="majorBidi" w:eastAsiaTheme="majorEastAsia" w:hAnsiTheme="majorHAnsi" w:ascii="Times New Roman" w:hAnsi="Times New Roman"/>
      <w:b/>
      <w:sz w:val="24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0" w:before="0" w:line="480" w:lineRule="auto"/>
      <w:jc w:val="left"/>
      <w:outlineLvl w:val="2"/>
    </w:pPr>
    <w:rPr>
      <w:rFonts w:cstheme="majorBidi" w:eastAsiaTheme="majorEastAsia" w:ascii="Times New Roman" w:hAnsi="Times New Roman"/>
      <w:b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0" Type="http://schemas.openxmlformats.org/officeDocument/2006/relationships/hyperlink" Target="https://doi.org/10.48573/hv8v-8921" TargetMode="External"/><Relationship Id="rId11" Type="http://schemas.openxmlformats.org/officeDocument/2006/relationships/hyperlink" Target="https://doi.org/10.48573/ycjn-zs13" TargetMode="External"/><Relationship Id="rId9" Type="http://schemas.openxmlformats.org/officeDocument/2006/relationships/header" Target="header1.xml"/></Relationships>
</file>

<file path=word/_rels/footnotes.xml.rels><?xml version='1.0' encoding='UTF-8' standalone='yes'?>
<Relationships xmlns="http://schemas.openxmlformats.org/package/2006/relationships"><Relationship Id="rId10" Type="http://schemas.openxmlformats.org/officeDocument/2006/relationships/hyperlink" Target="https://doi.org/10.48573/hv8v-8921" TargetMode="External"/><Relationship Id="rId11" Type="http://schemas.openxmlformats.org/officeDocument/2006/relationships/hyperlink" Target="https://doi.org/10.48573/ycjn-zs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2026-08-13T06:18:24Z</dcterms:created>
  <dcterms:modified xsi:type="dcterms:W3CDTF">2026-08-13T06:18:24Z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