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6B7" w:rsidRPr="0011617E" w:rsidRDefault="00AD16B7" w:rsidP="00AD16B7">
      <w:pPr>
        <w:spacing w:line="480" w:lineRule="auto"/>
        <w:rPr>
          <w:rFonts w:ascii="Times New Roman" w:eastAsia="黑体" w:hAnsi="Times New Roman" w:cs="Times New Roman"/>
          <w:b/>
          <w:bCs/>
          <w:sz w:val="24"/>
          <w:shd w:val="clear" w:color="auto" w:fill="FFFFFF" w:themeFill="background1"/>
        </w:rPr>
      </w:pPr>
      <w:bookmarkStart w:id="0" w:name="OLE_LINK1"/>
      <w:bookmarkStart w:id="1" w:name="_Hlk164610130"/>
      <w:r w:rsidRPr="0011617E">
        <w:rPr>
          <w:rFonts w:ascii="Times New Roman" w:eastAsia="黑体" w:hAnsi="Times New Roman" w:cs="Times New Roman"/>
          <w:b/>
          <w:bCs/>
          <w:sz w:val="24"/>
        </w:rPr>
        <w:t xml:space="preserve">Mitigating Interfacial </w:t>
      </w:r>
      <w:bookmarkStart w:id="2" w:name="_Hlk168747065"/>
      <w:r w:rsidRPr="0011617E">
        <w:rPr>
          <w:rFonts w:ascii="Times New Roman" w:eastAsia="黑体" w:hAnsi="Times New Roman" w:cs="Times New Roman"/>
          <w:b/>
          <w:bCs/>
          <w:sz w:val="24"/>
        </w:rPr>
        <w:t>Carrier Crowding</w:t>
      </w:r>
      <w:bookmarkEnd w:id="2"/>
      <w:r w:rsidRPr="0011617E">
        <w:rPr>
          <w:rFonts w:ascii="Times New Roman" w:eastAsia="黑体" w:hAnsi="Times New Roman" w:cs="Times New Roman"/>
          <w:b/>
          <w:bCs/>
          <w:sz w:val="24"/>
        </w:rPr>
        <w:t xml:space="preserve"> by An Ultrathin </w:t>
      </w:r>
      <w:proofErr w:type="spellStart"/>
      <w:r w:rsidRPr="0011617E">
        <w:rPr>
          <w:rFonts w:ascii="Times New Roman" w:eastAsia="黑体" w:hAnsi="Times New Roman" w:cs="Times New Roman"/>
          <w:b/>
          <w:bCs/>
          <w:sz w:val="24"/>
        </w:rPr>
        <w:t>LiF</w:t>
      </w:r>
      <w:proofErr w:type="spellEnd"/>
      <w:r w:rsidRPr="0011617E">
        <w:rPr>
          <w:rFonts w:ascii="Times New Roman" w:eastAsia="黑体" w:hAnsi="Times New Roman" w:cs="Times New Roman"/>
          <w:b/>
          <w:bCs/>
          <w:sz w:val="24"/>
        </w:rPr>
        <w:t xml:space="preserve"> Interlayer Towards Efficient and Stable Perovskite Light-Emitting Diodes</w:t>
      </w:r>
      <w:bookmarkEnd w:id="1"/>
    </w:p>
    <w:p w:rsidR="00AD16B7" w:rsidRDefault="00AD16B7" w:rsidP="00AD16B7">
      <w:pPr>
        <w:spacing w:line="360" w:lineRule="auto"/>
        <w:jc w:val="center"/>
        <w:rPr>
          <w:rFonts w:ascii="Times New Roman" w:eastAsia="宋体" w:hAnsi="Times New Roman" w:cs="Times New Roman"/>
          <w:sz w:val="20"/>
          <w:szCs w:val="20"/>
        </w:rPr>
      </w:pPr>
    </w:p>
    <w:p w:rsidR="00AD16B7" w:rsidRDefault="00AD16B7" w:rsidP="00AD16B7">
      <w:pPr>
        <w:spacing w:line="360" w:lineRule="auto"/>
        <w:jc w:val="center"/>
        <w:rPr>
          <w:rFonts w:ascii="Times New Roman" w:eastAsia="宋体" w:hAnsi="Times New Roman" w:cs="Times New Roman"/>
          <w:sz w:val="20"/>
          <w:szCs w:val="20"/>
          <w:vertAlign w:val="superscript"/>
        </w:rPr>
      </w:pPr>
      <w:r w:rsidRPr="00DB54B0">
        <w:rPr>
          <w:rFonts w:ascii="Times New Roman" w:eastAsia="宋体" w:hAnsi="Times New Roman" w:cs="Times New Roman"/>
          <w:sz w:val="20"/>
          <w:szCs w:val="20"/>
        </w:rPr>
        <w:t>Xiaofei</w:t>
      </w:r>
      <w:bookmarkStart w:id="3" w:name="OLE_LINK2"/>
      <w:bookmarkStart w:id="4" w:name="OLE_LINK7"/>
      <w:r w:rsidRPr="00DB54B0">
        <w:rPr>
          <w:rFonts w:ascii="Times New Roman" w:eastAsia="宋体" w:hAnsi="Times New Roman" w:cs="Times New Roman"/>
          <w:sz w:val="20"/>
          <w:szCs w:val="20"/>
        </w:rPr>
        <w:t>·</w:t>
      </w:r>
      <w:bookmarkEnd w:id="3"/>
      <w:bookmarkEnd w:id="4"/>
      <w:r w:rsidRPr="00DB54B0">
        <w:rPr>
          <w:rFonts w:ascii="Times New Roman" w:eastAsia="宋体" w:hAnsi="Times New Roman" w:cs="Times New Roman"/>
          <w:sz w:val="20"/>
          <w:szCs w:val="20"/>
        </w:rPr>
        <w:t>Zhang</w:t>
      </w:r>
      <w:r w:rsidRPr="00DB54B0">
        <w:rPr>
          <w:rFonts w:ascii="Times New Roman" w:eastAsia="宋体" w:hAnsi="Times New Roman" w:cs="Times New Roman"/>
          <w:sz w:val="20"/>
          <w:szCs w:val="20"/>
          <w:vertAlign w:val="superscript"/>
        </w:rPr>
        <w:t>1</w:t>
      </w:r>
      <w:r w:rsidRPr="00DB54B0">
        <w:rPr>
          <w:rFonts w:ascii="Times New Roman" w:eastAsia="宋体" w:hAnsi="Times New Roman" w:cs="Times New Roman"/>
          <w:sz w:val="20"/>
          <w:szCs w:val="20"/>
        </w:rPr>
        <w:t xml:space="preserve"> · Lin Wang</w:t>
      </w:r>
      <w:r w:rsidRPr="00DB54B0">
        <w:rPr>
          <w:rFonts w:ascii="Times New Roman" w:eastAsia="宋体" w:hAnsi="Times New Roman" w:cs="Times New Roman"/>
          <w:sz w:val="20"/>
          <w:szCs w:val="20"/>
          <w:vertAlign w:val="superscript"/>
        </w:rPr>
        <w:t>1</w:t>
      </w:r>
      <w:r w:rsidRPr="00DB54B0">
        <w:rPr>
          <w:rFonts w:ascii="Times New Roman" w:eastAsia="宋体" w:hAnsi="Times New Roman" w:cs="Times New Roman"/>
          <w:sz w:val="20"/>
          <w:szCs w:val="20"/>
        </w:rPr>
        <w:t xml:space="preserve"> · </w:t>
      </w:r>
      <w:proofErr w:type="spellStart"/>
      <w:r w:rsidRPr="00DB54B0">
        <w:rPr>
          <w:rFonts w:ascii="Times New Roman" w:eastAsia="宋体" w:hAnsi="Times New Roman" w:cs="Times New Roman"/>
          <w:sz w:val="20"/>
          <w:szCs w:val="20"/>
        </w:rPr>
        <w:t>Lingmei</w:t>
      </w:r>
      <w:proofErr w:type="spellEnd"/>
      <w:r w:rsidRPr="00DB54B0">
        <w:rPr>
          <w:rFonts w:ascii="Times New Roman" w:eastAsia="宋体" w:hAnsi="Times New Roman" w:cs="Times New Roman"/>
          <w:sz w:val="20"/>
          <w:szCs w:val="20"/>
        </w:rPr>
        <w:t xml:space="preserve"> Kong</w:t>
      </w:r>
      <w:r w:rsidRPr="00DB54B0">
        <w:rPr>
          <w:rFonts w:ascii="Times New Roman" w:eastAsia="宋体" w:hAnsi="Times New Roman" w:cs="Times New Roman"/>
          <w:sz w:val="20"/>
          <w:szCs w:val="20"/>
          <w:vertAlign w:val="superscript"/>
        </w:rPr>
        <w:t>1</w:t>
      </w:r>
      <w:bookmarkStart w:id="5" w:name="_Hlk164685577"/>
      <w:r w:rsidRPr="00DB54B0">
        <w:rPr>
          <w:rFonts w:ascii="Times New Roman" w:eastAsia="宋体" w:hAnsi="Times New Roman" w:cs="Times New Roman"/>
          <w:sz w:val="20"/>
          <w:szCs w:val="20"/>
        </w:rPr>
        <w:t xml:space="preserve"> </w:t>
      </w:r>
      <w:bookmarkEnd w:id="5"/>
      <w:r w:rsidRPr="00DB54B0">
        <w:rPr>
          <w:rFonts w:ascii="Times New Roman" w:eastAsia="宋体" w:hAnsi="Times New Roman" w:cs="Times New Roman"/>
          <w:sz w:val="20"/>
          <w:szCs w:val="20"/>
        </w:rPr>
        <w:t>·</w:t>
      </w:r>
      <w:r>
        <w:rPr>
          <w:rFonts w:ascii="Times New Roman" w:eastAsia="宋体" w:hAnsi="Times New Roman" w:cs="Times New Roman"/>
          <w:sz w:val="20"/>
          <w:szCs w:val="20"/>
        </w:rPr>
        <w:t>Sheng Wang</w:t>
      </w:r>
      <w:r w:rsidRPr="00DB54B0">
        <w:rPr>
          <w:rFonts w:ascii="Times New Roman" w:eastAsia="宋体" w:hAnsi="Times New Roman" w:cs="Times New Roman"/>
          <w:sz w:val="20"/>
          <w:szCs w:val="20"/>
          <w:vertAlign w:val="superscript"/>
        </w:rPr>
        <w:t>1</w:t>
      </w:r>
      <w:r w:rsidRPr="00DB54B0">
        <w:rPr>
          <w:rFonts w:ascii="Times New Roman" w:eastAsia="宋体" w:hAnsi="Times New Roman" w:cs="Times New Roman"/>
          <w:sz w:val="20"/>
          <w:szCs w:val="20"/>
        </w:rPr>
        <w:t xml:space="preserve"> ·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DB54B0">
        <w:rPr>
          <w:rFonts w:ascii="Times New Roman" w:eastAsia="宋体" w:hAnsi="Times New Roman" w:cs="Times New Roman"/>
          <w:sz w:val="20"/>
          <w:szCs w:val="20"/>
        </w:rPr>
        <w:t>Jun Dai</w:t>
      </w:r>
      <w:r>
        <w:rPr>
          <w:rFonts w:ascii="Times New Roman" w:eastAsia="宋体" w:hAnsi="Times New Roman" w:cs="Times New Roman"/>
          <w:sz w:val="20"/>
          <w:szCs w:val="20"/>
          <w:vertAlign w:val="superscript"/>
        </w:rPr>
        <w:t>3</w:t>
      </w:r>
      <w:r w:rsidRPr="00DB54B0">
        <w:rPr>
          <w:rFonts w:ascii="Times New Roman" w:eastAsia="宋体" w:hAnsi="Times New Roman" w:cs="Times New Roman"/>
          <w:sz w:val="20"/>
          <w:szCs w:val="20"/>
        </w:rPr>
        <w:t xml:space="preserve"> ·</w:t>
      </w:r>
      <w:proofErr w:type="spellStart"/>
      <w:r w:rsidR="003C44A4">
        <w:rPr>
          <w:rFonts w:ascii="Times New Roman" w:eastAsia="宋体" w:hAnsi="Times New Roman" w:cs="Times New Roman" w:hint="eastAsia"/>
          <w:sz w:val="20"/>
          <w:szCs w:val="20"/>
        </w:rPr>
        <w:t>Guo</w:t>
      </w:r>
      <w:r w:rsidR="003C44A4" w:rsidRPr="00F217EE">
        <w:rPr>
          <w:rFonts w:ascii="Times New Roman" w:eastAsia="宋体" w:hAnsi="Times New Roman" w:cs="Times New Roman" w:hint="eastAsia"/>
          <w:sz w:val="20"/>
          <w:szCs w:val="20"/>
        </w:rPr>
        <w:t>hua</w:t>
      </w:r>
      <w:proofErr w:type="spellEnd"/>
      <w:r w:rsidR="003C44A4" w:rsidRPr="00F217EE">
        <w:rPr>
          <w:rFonts w:ascii="Times New Roman" w:eastAsia="宋体" w:hAnsi="Times New Roman" w:cs="Times New Roman" w:hint="eastAsia"/>
          <w:sz w:val="20"/>
          <w:szCs w:val="20"/>
        </w:rPr>
        <w:t xml:space="preserve"> </w:t>
      </w:r>
      <w:r w:rsidR="003C44A4">
        <w:rPr>
          <w:rFonts w:ascii="Times New Roman" w:eastAsia="宋体" w:hAnsi="Times New Roman" w:cs="Times New Roman" w:hint="eastAsia"/>
          <w:sz w:val="20"/>
          <w:szCs w:val="20"/>
        </w:rPr>
        <w:t>Jia</w:t>
      </w:r>
      <w:r w:rsidR="003C44A4" w:rsidRPr="00F217EE">
        <w:rPr>
          <w:rFonts w:ascii="Times New Roman" w:eastAsia="宋体" w:hAnsi="Times New Roman" w:cs="Times New Roman"/>
          <w:sz w:val="20"/>
          <w:szCs w:val="20"/>
          <w:vertAlign w:val="superscript"/>
        </w:rPr>
        <w:t>4</w:t>
      </w:r>
      <w:r w:rsidR="003C44A4" w:rsidRPr="00F217EE">
        <w:rPr>
          <w:rFonts w:ascii="Times New Roman" w:eastAsia="宋体" w:hAnsi="Times New Roman" w:cs="Times New Roman"/>
          <w:sz w:val="20"/>
          <w:szCs w:val="20"/>
        </w:rPr>
        <w:t>·</w:t>
      </w:r>
      <w:r w:rsidRPr="00DB54B0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DB54B0">
        <w:rPr>
          <w:rFonts w:ascii="Times New Roman" w:eastAsia="宋体" w:hAnsi="Times New Roman" w:cs="Times New Roman"/>
          <w:sz w:val="20"/>
          <w:szCs w:val="20"/>
        </w:rPr>
        <w:t>Xuyong</w:t>
      </w:r>
      <w:proofErr w:type="spellEnd"/>
      <w:r w:rsidRPr="00DB54B0">
        <w:rPr>
          <w:rFonts w:ascii="Times New Roman" w:eastAsia="宋体" w:hAnsi="Times New Roman" w:cs="Times New Roman"/>
          <w:sz w:val="20"/>
          <w:szCs w:val="20"/>
        </w:rPr>
        <w:t xml:space="preserve"> Yang</w:t>
      </w:r>
      <w:r w:rsidRPr="00DB54B0">
        <w:rPr>
          <w:rFonts w:ascii="Times New Roman" w:eastAsia="宋体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宋体" w:hAnsi="Times New Roman" w:cs="Times New Roman"/>
          <w:sz w:val="20"/>
          <w:szCs w:val="20"/>
          <w:vertAlign w:val="superscript"/>
        </w:rPr>
        <w:t>, 2</w:t>
      </w:r>
    </w:p>
    <w:p w:rsidR="00AD16B7" w:rsidRDefault="00AD16B7" w:rsidP="00AD16B7">
      <w:pPr>
        <w:spacing w:line="360" w:lineRule="auto"/>
        <w:jc w:val="center"/>
        <w:rPr>
          <w:rFonts w:ascii="Times New Roman" w:eastAsia="宋体" w:hAnsi="Times New Roman" w:cs="Times New Roman"/>
          <w:i/>
          <w:sz w:val="20"/>
          <w:szCs w:val="20"/>
          <w:shd w:val="clear" w:color="auto" w:fill="FFFFFF" w:themeFill="background1"/>
        </w:rPr>
      </w:pPr>
    </w:p>
    <w:p w:rsidR="00AD16B7" w:rsidRDefault="00AD16B7" w:rsidP="00AD16B7">
      <w:pPr>
        <w:widowControl/>
        <w:spacing w:line="360" w:lineRule="auto"/>
        <w:jc w:val="left"/>
        <w:rPr>
          <w:rFonts w:ascii="Times New Roman" w:eastAsia="MS Mincho" w:hAnsi="Times New Roman" w:cs="Times New Roman"/>
          <w:kern w:val="0"/>
          <w:sz w:val="20"/>
          <w:szCs w:val="20"/>
          <w:lang w:eastAsia="ja-JP"/>
        </w:rPr>
      </w:pPr>
      <w:r w:rsidRPr="00DB54B0">
        <w:rPr>
          <w:rFonts w:ascii="Times New Roman" w:eastAsia="MS Mincho" w:hAnsi="Times New Roman" w:cs="Times New Roman"/>
          <w:kern w:val="0"/>
          <w:sz w:val="20"/>
          <w:szCs w:val="20"/>
          <w:vertAlign w:val="superscript"/>
          <w:lang w:eastAsia="ja-JP"/>
        </w:rPr>
        <w:t xml:space="preserve">1 </w:t>
      </w:r>
      <w:r w:rsidRPr="00DB54B0">
        <w:rPr>
          <w:rFonts w:ascii="Times New Roman" w:eastAsia="MS Mincho" w:hAnsi="Times New Roman" w:cs="Times New Roman"/>
          <w:kern w:val="0"/>
          <w:sz w:val="20"/>
          <w:szCs w:val="20"/>
          <w:lang w:eastAsia="ja-JP"/>
        </w:rPr>
        <w:t xml:space="preserve">Key Laboratory of Advanced Display and System Applications of Ministry of Education, Shanghai University,149 </w:t>
      </w:r>
      <w:proofErr w:type="spellStart"/>
      <w:r w:rsidRPr="00DB54B0">
        <w:rPr>
          <w:rFonts w:ascii="Times New Roman" w:eastAsia="MS Mincho" w:hAnsi="Times New Roman" w:cs="Times New Roman"/>
          <w:kern w:val="0"/>
          <w:sz w:val="20"/>
          <w:szCs w:val="20"/>
          <w:lang w:eastAsia="ja-JP"/>
        </w:rPr>
        <w:t>Yanchang</w:t>
      </w:r>
      <w:proofErr w:type="spellEnd"/>
      <w:r w:rsidRPr="00DB54B0">
        <w:rPr>
          <w:rFonts w:ascii="Times New Roman" w:eastAsia="MS Mincho" w:hAnsi="Times New Roman" w:cs="Times New Roman"/>
          <w:kern w:val="0"/>
          <w:sz w:val="20"/>
          <w:szCs w:val="20"/>
          <w:lang w:eastAsia="ja-JP"/>
        </w:rPr>
        <w:t xml:space="preserve"> Road, Shanghai 200072, P. R. China</w:t>
      </w:r>
    </w:p>
    <w:p w:rsidR="00AD16B7" w:rsidRDefault="00AD16B7" w:rsidP="00AD16B7">
      <w:pPr>
        <w:widowControl/>
        <w:spacing w:line="360" w:lineRule="auto"/>
        <w:jc w:val="left"/>
        <w:rPr>
          <w:rFonts w:ascii="Times New Roman" w:eastAsia="MS Mincho" w:hAnsi="Times New Roman" w:cs="Times New Roman"/>
          <w:kern w:val="0"/>
          <w:sz w:val="20"/>
          <w:szCs w:val="20"/>
          <w:shd w:val="clear" w:color="auto" w:fill="FFFFFF" w:themeFill="background1"/>
          <w:lang w:eastAsia="ja-JP"/>
        </w:rPr>
      </w:pPr>
      <w:r w:rsidRPr="00DB54B0">
        <w:rPr>
          <w:rFonts w:ascii="Times New Roman" w:eastAsia="MS Mincho" w:hAnsi="Times New Roman" w:cs="Times New Roman"/>
          <w:kern w:val="0"/>
          <w:sz w:val="20"/>
          <w:szCs w:val="20"/>
          <w:vertAlign w:val="superscript"/>
          <w:lang w:eastAsia="ja-JP"/>
        </w:rPr>
        <w:t>2</w:t>
      </w:r>
      <w:r>
        <w:rPr>
          <w:rFonts w:ascii="Times New Roman" w:eastAsia="MS Mincho" w:hAnsi="Times New Roman" w:cs="Times New Roman"/>
          <w:kern w:val="0"/>
          <w:sz w:val="20"/>
          <w:szCs w:val="20"/>
          <w:vertAlign w:val="superscript"/>
          <w:lang w:eastAsia="ja-JP"/>
        </w:rPr>
        <w:t xml:space="preserve"> </w:t>
      </w:r>
      <w:r w:rsidRPr="003B56DD">
        <w:rPr>
          <w:rFonts w:ascii="Times New Roman" w:eastAsia="MS Mincho" w:hAnsi="Times New Roman" w:cs="Times New Roman"/>
          <w:kern w:val="0"/>
          <w:sz w:val="20"/>
          <w:szCs w:val="20"/>
          <w:shd w:val="clear" w:color="auto" w:fill="FFFFFF" w:themeFill="background1"/>
          <w:lang w:eastAsia="ja-JP"/>
        </w:rPr>
        <w:t>Shanghai University Microelectronic R&amp;D Center, Shanghai University, Shanghai</w:t>
      </w:r>
      <w:r>
        <w:rPr>
          <w:rFonts w:ascii="Times New Roman" w:hAnsi="Times New Roman" w:cs="Times New Roman" w:hint="eastAsia"/>
          <w:kern w:val="0"/>
          <w:sz w:val="20"/>
          <w:szCs w:val="20"/>
          <w:shd w:val="clear" w:color="auto" w:fill="FFFFFF" w:themeFill="background1"/>
        </w:rPr>
        <w:t xml:space="preserve"> </w:t>
      </w:r>
      <w:r w:rsidRPr="003B56DD">
        <w:rPr>
          <w:rFonts w:ascii="Times New Roman" w:eastAsia="MS Mincho" w:hAnsi="Times New Roman" w:cs="Times New Roman"/>
          <w:kern w:val="0"/>
          <w:sz w:val="20"/>
          <w:szCs w:val="20"/>
          <w:shd w:val="clear" w:color="auto" w:fill="FFFFFF" w:themeFill="background1"/>
          <w:lang w:eastAsia="ja-JP"/>
        </w:rPr>
        <w:t>201900, P. R. China</w:t>
      </w:r>
    </w:p>
    <w:p w:rsidR="00AD16B7" w:rsidRDefault="00AD16B7" w:rsidP="00AD16B7">
      <w:pPr>
        <w:spacing w:line="360" w:lineRule="auto"/>
        <w:rPr>
          <w:rFonts w:ascii="Times New Roman" w:eastAsia="MS Mincho" w:hAnsi="Times New Roman" w:cs="Times New Roman"/>
          <w:kern w:val="0"/>
          <w:sz w:val="20"/>
          <w:szCs w:val="20"/>
          <w:lang w:eastAsia="ja-JP"/>
        </w:rPr>
      </w:pPr>
      <w:r>
        <w:rPr>
          <w:rFonts w:ascii="Times New Roman" w:eastAsia="MS Mincho" w:hAnsi="Times New Roman" w:cs="Times New Roman"/>
          <w:kern w:val="0"/>
          <w:sz w:val="20"/>
          <w:szCs w:val="20"/>
          <w:vertAlign w:val="superscript"/>
          <w:lang w:eastAsia="ja-JP"/>
        </w:rPr>
        <w:t xml:space="preserve">3 </w:t>
      </w:r>
      <w:r w:rsidRPr="00DB54B0">
        <w:rPr>
          <w:rFonts w:ascii="Times New Roman" w:eastAsia="MS Mincho" w:hAnsi="Times New Roman" w:cs="Times New Roman"/>
          <w:kern w:val="0"/>
          <w:sz w:val="20"/>
          <w:szCs w:val="20"/>
          <w:lang w:eastAsia="ja-JP"/>
        </w:rPr>
        <w:t>Department of Physics, Jiangsu University of Science and Technology, Zhenjiang 212100, P. R. China</w:t>
      </w:r>
    </w:p>
    <w:p w:rsidR="003C44A4" w:rsidRPr="003C44A4" w:rsidRDefault="003C44A4" w:rsidP="00AD16B7">
      <w:pPr>
        <w:spacing w:line="360" w:lineRule="auto"/>
        <w:rPr>
          <w:rFonts w:ascii="Times New Roman" w:hAnsi="Times New Roman" w:cs="Times New Roman"/>
          <w:kern w:val="0"/>
          <w:sz w:val="20"/>
          <w:szCs w:val="20"/>
          <w:shd w:val="clear" w:color="auto" w:fill="FFFFFF" w:themeFill="background1"/>
        </w:rPr>
      </w:pPr>
      <w:r w:rsidRPr="00F217EE">
        <w:rPr>
          <w:rFonts w:ascii="Times New Roman" w:eastAsia="MS Mincho" w:hAnsi="Times New Roman" w:cs="Times New Roman"/>
          <w:kern w:val="0"/>
          <w:sz w:val="20"/>
          <w:szCs w:val="20"/>
          <w:shd w:val="clear" w:color="auto" w:fill="FFFFFF" w:themeFill="background1"/>
          <w:vertAlign w:val="superscript"/>
        </w:rPr>
        <w:t>4</w:t>
      </w:r>
      <w:r w:rsidRPr="00F217EE">
        <w:rPr>
          <w:rFonts w:ascii="Times New Roman" w:eastAsia="MS Mincho" w:hAnsi="Times New Roman" w:cs="Times New Roman"/>
          <w:kern w:val="0"/>
          <w:sz w:val="20"/>
          <w:szCs w:val="20"/>
          <w:shd w:val="clear" w:color="auto" w:fill="FFFFFF" w:themeFill="background1"/>
        </w:rPr>
        <w:t>School of Molecular and Life Sciences</w:t>
      </w:r>
      <w:r w:rsidRPr="00F217EE">
        <w:rPr>
          <w:rFonts w:ascii="Times New Roman" w:eastAsia="MS Mincho" w:hAnsi="Times New Roman" w:cs="Times New Roman" w:hint="eastAsia"/>
          <w:kern w:val="0"/>
          <w:sz w:val="20"/>
          <w:szCs w:val="20"/>
          <w:shd w:val="clear" w:color="auto" w:fill="FFFFFF" w:themeFill="background1"/>
        </w:rPr>
        <w:t xml:space="preserve">, </w:t>
      </w:r>
      <w:r w:rsidRPr="00F217EE">
        <w:rPr>
          <w:rFonts w:ascii="Times New Roman" w:eastAsia="MS Mincho" w:hAnsi="Times New Roman" w:cs="Times New Roman"/>
          <w:kern w:val="0"/>
          <w:sz w:val="20"/>
          <w:szCs w:val="20"/>
          <w:shd w:val="clear" w:color="auto" w:fill="FFFFFF" w:themeFill="background1"/>
        </w:rPr>
        <w:t>Curtin University</w:t>
      </w:r>
      <w:r w:rsidRPr="00F217EE">
        <w:rPr>
          <w:rFonts w:ascii="Times New Roman" w:eastAsia="MS Mincho" w:hAnsi="Times New Roman" w:cs="Times New Roman" w:hint="eastAsia"/>
          <w:kern w:val="0"/>
          <w:sz w:val="20"/>
          <w:szCs w:val="20"/>
          <w:shd w:val="clear" w:color="auto" w:fill="FFFFFF" w:themeFill="background1"/>
        </w:rPr>
        <w:t xml:space="preserve">, </w:t>
      </w:r>
      <w:r w:rsidRPr="00F217EE">
        <w:rPr>
          <w:rFonts w:ascii="Times New Roman" w:eastAsia="MS Mincho" w:hAnsi="Times New Roman" w:cs="Times New Roman"/>
          <w:kern w:val="0"/>
          <w:sz w:val="20"/>
          <w:szCs w:val="20"/>
          <w:shd w:val="clear" w:color="auto" w:fill="FFFFFF" w:themeFill="background1"/>
        </w:rPr>
        <w:t>GPO Box U1987, Perth, WA 6845, Australia</w:t>
      </w:r>
    </w:p>
    <w:p w:rsidR="002A6B45" w:rsidRDefault="002A6B45" w:rsidP="00AD16B7">
      <w:pPr>
        <w:spacing w:line="360" w:lineRule="auto"/>
        <w:rPr>
          <w:rFonts w:ascii="Times New Roman" w:eastAsia="MS Mincho" w:hAnsi="Times New Roman" w:cs="Times New Roman"/>
          <w:kern w:val="0"/>
          <w:sz w:val="20"/>
          <w:szCs w:val="20"/>
          <w:shd w:val="clear" w:color="auto" w:fill="FFFFFF" w:themeFill="background1"/>
          <w:lang w:eastAsia="ja-JP"/>
        </w:rPr>
      </w:pPr>
    </w:p>
    <w:p w:rsidR="00AD16B7" w:rsidRDefault="00AD16B7" w:rsidP="00AD16B7">
      <w:pPr>
        <w:widowControl/>
        <w:spacing w:line="360" w:lineRule="auto"/>
        <w:jc w:val="left"/>
        <w:rPr>
          <w:sz w:val="20"/>
          <w:szCs w:val="20"/>
        </w:rPr>
      </w:pPr>
      <w:r w:rsidRPr="00DB54B0">
        <w:rPr>
          <w:rFonts w:ascii="Times New Roman" w:eastAsia="新宋体" w:hAnsi="Times New Roman" w:cs="Times New Roman"/>
          <w:kern w:val="0"/>
          <w:sz w:val="20"/>
          <w:szCs w:val="20"/>
          <w:lang w:val="de-DE" w:eastAsia="ja-JP"/>
        </w:rPr>
        <w:t xml:space="preserve">* </w:t>
      </w:r>
      <w:r w:rsidRPr="00DB54B0">
        <w:rPr>
          <w:rFonts w:ascii="Times New Roman" w:eastAsia="宋体" w:hAnsi="Times New Roman" w:cs="Times New Roman"/>
          <w:sz w:val="20"/>
          <w:szCs w:val="20"/>
        </w:rPr>
        <w:t>Lin Wang</w:t>
      </w:r>
      <w:r w:rsidRPr="00DB54B0">
        <w:rPr>
          <w:rFonts w:ascii="Times New Roman" w:eastAsia="宋体" w:hAnsi="Times New Roman" w:cs="Times New Roman" w:hint="eastAsia"/>
          <w:sz w:val="20"/>
          <w:szCs w:val="20"/>
        </w:rPr>
        <w:t>,</w:t>
      </w:r>
      <w:r w:rsidRPr="00DB54B0">
        <w:rPr>
          <w:rFonts w:ascii="Times New Roman" w:eastAsia="宋体" w:hAnsi="Times New Roman" w:cs="Times New Roman"/>
          <w:sz w:val="20"/>
          <w:szCs w:val="20"/>
        </w:rPr>
        <w:t xml:space="preserve"> </w:t>
      </w:r>
      <w:proofErr w:type="spellStart"/>
      <w:r w:rsidRPr="00DB54B0">
        <w:rPr>
          <w:rFonts w:ascii="Times New Roman" w:eastAsia="宋体" w:hAnsi="Times New Roman" w:cs="Times New Roman"/>
          <w:sz w:val="20"/>
          <w:szCs w:val="20"/>
        </w:rPr>
        <w:t>Xuyong</w:t>
      </w:r>
      <w:proofErr w:type="spellEnd"/>
      <w:r w:rsidRPr="00DB54B0">
        <w:rPr>
          <w:rFonts w:ascii="Times New Roman" w:eastAsia="宋体" w:hAnsi="Times New Roman" w:cs="Times New Roman"/>
          <w:sz w:val="20"/>
          <w:szCs w:val="20"/>
        </w:rPr>
        <w:t xml:space="preserve"> Yang</w:t>
      </w:r>
      <w:r>
        <w:rPr>
          <w:sz w:val="20"/>
          <w:szCs w:val="20"/>
        </w:rPr>
        <w:t xml:space="preserve"> </w:t>
      </w:r>
    </w:p>
    <w:p w:rsidR="00AD16B7" w:rsidRDefault="00D40023" w:rsidP="00AD16B7">
      <w:pPr>
        <w:widowControl/>
        <w:spacing w:line="360" w:lineRule="auto"/>
        <w:jc w:val="left"/>
        <w:rPr>
          <w:rFonts w:ascii="Times New Roman" w:hAnsi="Times New Roman" w:cs="Times New Roman"/>
          <w:iCs/>
          <w:kern w:val="0"/>
          <w:sz w:val="20"/>
          <w:szCs w:val="20"/>
          <w:shd w:val="clear" w:color="auto" w:fill="FFFFFF" w:themeFill="background1"/>
          <w:lang w:val="de-DE"/>
        </w:rPr>
      </w:pPr>
      <w:hyperlink r:id="rId8" w:history="1">
        <w:r w:rsidR="00AD16B7" w:rsidRPr="00DB54B0">
          <w:rPr>
            <w:rFonts w:ascii="Times New Roman" w:eastAsia="新宋体" w:hAnsi="Times New Roman" w:cs="Times New Roman"/>
            <w:color w:val="365F91" w:themeColor="accent1" w:themeShade="BF"/>
            <w:kern w:val="0"/>
            <w:sz w:val="20"/>
            <w:szCs w:val="20"/>
            <w:u w:val="single"/>
            <w:lang w:val="de-DE" w:eastAsia="ja-JP"/>
          </w:rPr>
          <w:t>lin_wang@shu.edu.cn</w:t>
        </w:r>
      </w:hyperlink>
      <w:r w:rsidR="00AD16B7" w:rsidRPr="00DB54B0">
        <w:rPr>
          <w:rFonts w:ascii="Times New Roman" w:eastAsia="新宋体" w:hAnsi="Times New Roman" w:cs="Times New Roman"/>
          <w:color w:val="365F91" w:themeColor="accent1" w:themeShade="BF"/>
          <w:kern w:val="0"/>
          <w:sz w:val="20"/>
          <w:szCs w:val="20"/>
          <w:u w:val="single"/>
          <w:lang w:val="de-DE" w:eastAsia="ja-JP"/>
        </w:rPr>
        <w:t>;</w:t>
      </w:r>
      <w:r w:rsidR="00AD16B7" w:rsidRPr="00DB54B0">
        <w:rPr>
          <w:rFonts w:ascii="Times New Roman" w:eastAsia="新宋体" w:hAnsi="Times New Roman" w:cs="Times New Roman"/>
          <w:color w:val="365F91" w:themeColor="accent1" w:themeShade="BF"/>
          <w:kern w:val="0"/>
          <w:sz w:val="20"/>
          <w:szCs w:val="20"/>
          <w:lang w:val="de-DE" w:eastAsia="ja-JP"/>
        </w:rPr>
        <w:t xml:space="preserve"> </w:t>
      </w:r>
      <w:hyperlink r:id="rId9" w:history="1">
        <w:r w:rsidR="00AD16B7" w:rsidRPr="00DB54B0">
          <w:rPr>
            <w:rFonts w:ascii="Times New Roman" w:eastAsia="新宋体" w:hAnsi="Times New Roman" w:cs="Times New Roman"/>
            <w:color w:val="365F91" w:themeColor="accent1" w:themeShade="BF"/>
            <w:kern w:val="0"/>
            <w:sz w:val="20"/>
            <w:szCs w:val="20"/>
            <w:u w:val="single"/>
            <w:lang w:val="de-DE" w:eastAsia="ja-JP"/>
          </w:rPr>
          <w:t>yangxy@shu.edu.cn</w:t>
        </w:r>
      </w:hyperlink>
    </w:p>
    <w:p w:rsidR="00437C14" w:rsidRPr="00AD16B7" w:rsidRDefault="00437C14">
      <w:pPr>
        <w:spacing w:line="480" w:lineRule="auto"/>
        <w:rPr>
          <w:rFonts w:ascii="Times New Roman" w:eastAsia="宋体" w:hAnsi="Times New Roman" w:cs="Times New Roman"/>
          <w:sz w:val="24"/>
          <w:szCs w:val="24"/>
          <w:shd w:val="clear" w:color="auto" w:fill="FFFFFF"/>
          <w:vertAlign w:val="superscript"/>
          <w:lang w:val="de-DE"/>
        </w:rPr>
      </w:pPr>
    </w:p>
    <w:p w:rsidR="00437C14" w:rsidRDefault="00A419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37C14" w:rsidRDefault="00A4190D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114300" distR="114300">
            <wp:extent cx="5740400" cy="2783840"/>
            <wp:effectExtent l="0" t="0" r="0" b="0"/>
            <wp:docPr id="9" name="图片 9" descr="幻灯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幻灯片7"/>
                    <pic:cNvPicPr>
                      <a:picLocks noChangeAspect="1"/>
                    </pic:cNvPicPr>
                  </pic:nvPicPr>
                  <pic:blipFill>
                    <a:blip r:embed="rId10"/>
                    <a:srcRect l="4895" t="11595" r="43634" b="44042"/>
                    <a:stretch>
                      <a:fillRect/>
                    </a:stretch>
                  </pic:blipFill>
                  <pic:spPr>
                    <a:xfrm>
                      <a:off x="0" y="0"/>
                      <a:ext cx="5758693" cy="2792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7C14" w:rsidRDefault="00A4190D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Fig. S1</w:t>
      </w:r>
      <w:r>
        <w:rPr>
          <w:rFonts w:ascii="Times New Roman" w:hAnsi="Times New Roman" w:cs="Times New Roman"/>
          <w:sz w:val="20"/>
          <w:szCs w:val="20"/>
        </w:rPr>
        <w:t xml:space="preserve"> (a) UPS spectra of high binding energy secondary-electron cutoff (left) and valence band edge regions of perovskite film (right). (b) Perovskite film upon the incident photon energy (</w:t>
      </w:r>
      <w:proofErr w:type="spellStart"/>
      <w:r>
        <w:rPr>
          <w:rFonts w:ascii="Times New Roman" w:hAnsi="Times New Roman" w:cs="Times New Roman"/>
          <w:sz w:val="20"/>
          <w:szCs w:val="20"/>
        </w:rPr>
        <w:t>hv</w:t>
      </w:r>
      <w:proofErr w:type="spellEnd"/>
      <w:r>
        <w:rPr>
          <w:rFonts w:ascii="Times New Roman" w:hAnsi="Times New Roman" w:cs="Times New Roman"/>
          <w:sz w:val="20"/>
          <w:szCs w:val="20"/>
        </w:rPr>
        <w:t>).</w:t>
      </w:r>
    </w:p>
    <w:p w:rsidR="00437C14" w:rsidRDefault="00437C14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37C14" w:rsidRDefault="00A4190D">
      <w:pPr>
        <w:spacing w:line="360" w:lineRule="auto"/>
        <w:ind w:firstLineChars="200" w:firstLine="4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The energy levels of the perovskite layer were calculated from the UV/Vis absorption and Ultraviolet photoelectron spectroscopy (UPS) spectra (</w:t>
      </w:r>
      <w:r>
        <w:rPr>
          <w:rFonts w:ascii="Times New Roman" w:hAnsi="Times New Roman" w:cs="Times New Roman"/>
          <w:b/>
          <w:sz w:val="20"/>
          <w:szCs w:val="20"/>
        </w:rPr>
        <w:t>Figure S1</w:t>
      </w:r>
      <w:r>
        <w:rPr>
          <w:rFonts w:ascii="Times New Roman" w:hAnsi="Times New Roman" w:cs="Times New Roman"/>
          <w:sz w:val="20"/>
          <w:szCs w:val="20"/>
        </w:rPr>
        <w:t xml:space="preserve">). UPS spectra are conducted to explore the influence of the perovskite film with </w:t>
      </w:r>
      <w:proofErr w:type="spellStart"/>
      <w:r>
        <w:rPr>
          <w:rFonts w:ascii="Times New Roman" w:hAnsi="Times New Roman" w:cs="Times New Roman"/>
          <w:sz w:val="20"/>
          <w:szCs w:val="20"/>
        </w:rPr>
        <w:t>LiF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interlayer. From the secondary electron cutoff (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cutoff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region in following figures, the work functions (WF = 21.2 eV -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cutoff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 of the perovskite film with </w:t>
      </w:r>
      <w:proofErr w:type="spellStart"/>
      <w:r>
        <w:rPr>
          <w:rFonts w:ascii="Times New Roman" w:hAnsi="Times New Roman" w:cs="Times New Roman"/>
          <w:sz w:val="20"/>
          <w:szCs w:val="20"/>
        </w:rPr>
        <w:t>LiF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interlayer are 4.64 eV. The corresponding valence band maxima (VBM) is 5.38 eV (VBM = - (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cutoff</w:t>
      </w:r>
      <w:proofErr w:type="spellEnd"/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+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E</w:t>
      </w:r>
      <w:r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onset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)). And the conduction band minimum (CBM) is 3.01 eV (CBM = - (VBM -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Eg</w:t>
      </w:r>
      <w:proofErr w:type="spellEnd"/>
      <w:r>
        <w:rPr>
          <w:rFonts w:ascii="Times New Roman" w:hAnsi="Times New Roman" w:cs="Times New Roman"/>
          <w:sz w:val="20"/>
          <w:szCs w:val="20"/>
        </w:rPr>
        <w:t>)).</w:t>
      </w:r>
    </w:p>
    <w:p w:rsidR="00362411" w:rsidRDefault="00362411">
      <w:pPr>
        <w:spacing w:line="480" w:lineRule="auto"/>
        <w:rPr>
          <w:rFonts w:ascii="Times New Roman" w:hAnsi="Times New Roman" w:cs="Times New Roman" w:hint="eastAsia"/>
          <w:b/>
          <w:sz w:val="20"/>
          <w:szCs w:val="20"/>
        </w:rPr>
      </w:pPr>
    </w:p>
    <w:p w:rsidR="00253DB3" w:rsidRPr="00353160" w:rsidRDefault="00253DB3" w:rsidP="00253DB3">
      <w:pPr>
        <w:spacing w:line="480" w:lineRule="auto"/>
        <w:jc w:val="center"/>
        <w:rPr>
          <w:b/>
          <w:sz w:val="20"/>
          <w:szCs w:val="20"/>
          <w:highlight w:val="yellow"/>
        </w:rPr>
      </w:pPr>
      <w:r w:rsidRPr="00253DB3">
        <w:rPr>
          <w:b/>
          <w:noProof/>
          <w:sz w:val="20"/>
          <w:szCs w:val="20"/>
        </w:rPr>
        <w:drawing>
          <wp:inline distT="0" distB="0" distL="0" distR="0" wp14:anchorId="62F3607C" wp14:editId="2DC95E36">
            <wp:extent cx="3800856" cy="288089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RPL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856" cy="288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3DB3" w:rsidRPr="00253DB3" w:rsidRDefault="00253DB3" w:rsidP="00253DB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53DB3">
        <w:rPr>
          <w:rFonts w:ascii="Times New Roman" w:hAnsi="Times New Roman" w:cs="Times New Roman"/>
          <w:b/>
          <w:sz w:val="20"/>
          <w:szCs w:val="20"/>
        </w:rPr>
        <w:t>Fig. S2</w:t>
      </w:r>
      <w:r w:rsidRPr="00253DB3">
        <w:rPr>
          <w:rFonts w:ascii="Times New Roman" w:hAnsi="Times New Roman" w:cs="Times New Roman"/>
          <w:sz w:val="20"/>
          <w:szCs w:val="20"/>
        </w:rPr>
        <w:t xml:space="preserve"> Photoluminescence quantum yields (PLQYs) of the films without or with </w:t>
      </w:r>
      <w:proofErr w:type="spellStart"/>
      <w:r w:rsidRPr="00253DB3">
        <w:rPr>
          <w:rFonts w:ascii="Times New Roman" w:hAnsi="Times New Roman" w:cs="Times New Roman"/>
          <w:sz w:val="20"/>
          <w:szCs w:val="20"/>
        </w:rPr>
        <w:t>LiF</w:t>
      </w:r>
      <w:proofErr w:type="spellEnd"/>
      <w:r w:rsidRPr="00253DB3">
        <w:rPr>
          <w:rFonts w:ascii="Times New Roman" w:hAnsi="Times New Roman" w:cs="Times New Roman"/>
          <w:sz w:val="20"/>
          <w:szCs w:val="20"/>
        </w:rPr>
        <w:t xml:space="preserve"> interlayer.</w:t>
      </w:r>
    </w:p>
    <w:p w:rsidR="00362411" w:rsidRDefault="00362411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bookmarkStart w:id="6" w:name="_GoBack"/>
      <w:bookmarkEnd w:id="6"/>
    </w:p>
    <w:p w:rsidR="00437C14" w:rsidRDefault="00A4190D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Table S1</w:t>
      </w:r>
      <w:r>
        <w:rPr>
          <w:rFonts w:ascii="Times New Roman" w:hAnsi="Times New Roman" w:cs="Times New Roman"/>
          <w:sz w:val="20"/>
          <w:szCs w:val="20"/>
        </w:rPr>
        <w:t xml:space="preserve"> Performance parameters of PeLEDs based on LiF interlayer of different thicknesses</w:t>
      </w:r>
    </w:p>
    <w:tbl>
      <w:tblPr>
        <w:tblStyle w:val="a9"/>
        <w:tblW w:w="882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813"/>
        <w:gridCol w:w="2813"/>
        <w:gridCol w:w="1958"/>
      </w:tblGrid>
      <w:tr w:rsidR="00437C14">
        <w:trPr>
          <w:trHeight w:val="624"/>
          <w:jc w:val="center"/>
        </w:trPr>
        <w:tc>
          <w:tcPr>
            <w:tcW w:w="1242" w:type="dxa"/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2813" w:type="dxa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Wavelength (nm)</w:t>
            </w:r>
          </w:p>
        </w:tc>
        <w:tc>
          <w:tcPr>
            <w:tcW w:w="2813" w:type="dxa"/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Max. Luminance (cd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8" w:type="dxa"/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Max. EQE (%)</w:t>
            </w:r>
          </w:p>
        </w:tc>
      </w:tr>
      <w:tr w:rsidR="00437C14" w:rsidTr="00857DDE">
        <w:trPr>
          <w:trHeight w:val="280"/>
          <w:jc w:val="center"/>
        </w:trPr>
        <w:tc>
          <w:tcPr>
            <w:tcW w:w="1242" w:type="dxa"/>
            <w:tcBorders>
              <w:bottom w:val="nil"/>
            </w:tcBorders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2813" w:type="dxa"/>
            <w:tcBorders>
              <w:bottom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2813" w:type="dxa"/>
            <w:tcBorders>
              <w:bottom w:val="nil"/>
            </w:tcBorders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23984</w:t>
            </w:r>
          </w:p>
        </w:tc>
        <w:tc>
          <w:tcPr>
            <w:tcW w:w="1958" w:type="dxa"/>
            <w:tcBorders>
              <w:bottom w:val="nil"/>
            </w:tcBorders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20.68</w:t>
            </w:r>
          </w:p>
        </w:tc>
      </w:tr>
      <w:tr w:rsidR="00437C14" w:rsidTr="00857DDE">
        <w:trPr>
          <w:trHeight w:val="624"/>
          <w:jc w:val="center"/>
        </w:trPr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 nm</w:t>
            </w:r>
          </w:p>
        </w:tc>
        <w:tc>
          <w:tcPr>
            <w:tcW w:w="2813" w:type="dxa"/>
            <w:tcBorders>
              <w:top w:val="nil"/>
              <w:bottom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2813" w:type="dxa"/>
            <w:tcBorders>
              <w:top w:val="nil"/>
              <w:bottom w:val="nil"/>
            </w:tcBorders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26779</w:t>
            </w:r>
          </w:p>
        </w:tc>
        <w:tc>
          <w:tcPr>
            <w:tcW w:w="1958" w:type="dxa"/>
            <w:tcBorders>
              <w:top w:val="nil"/>
              <w:bottom w:val="nil"/>
            </w:tcBorders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22.12</w:t>
            </w:r>
          </w:p>
        </w:tc>
      </w:tr>
      <w:tr w:rsidR="00437C14" w:rsidTr="00857DDE">
        <w:trPr>
          <w:trHeight w:val="624"/>
          <w:jc w:val="center"/>
        </w:trPr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 nm</w:t>
            </w:r>
          </w:p>
        </w:tc>
        <w:tc>
          <w:tcPr>
            <w:tcW w:w="2813" w:type="dxa"/>
            <w:tcBorders>
              <w:top w:val="nil"/>
              <w:bottom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2813" w:type="dxa"/>
            <w:tcBorders>
              <w:top w:val="nil"/>
              <w:bottom w:val="nil"/>
            </w:tcBorders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29443</w:t>
            </w:r>
          </w:p>
        </w:tc>
        <w:tc>
          <w:tcPr>
            <w:tcW w:w="1958" w:type="dxa"/>
            <w:tcBorders>
              <w:top w:val="nil"/>
              <w:bottom w:val="nil"/>
            </w:tcBorders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23.61</w:t>
            </w:r>
          </w:p>
        </w:tc>
      </w:tr>
      <w:tr w:rsidR="00437C14" w:rsidTr="00857DDE">
        <w:trPr>
          <w:trHeight w:val="624"/>
          <w:jc w:val="center"/>
        </w:trPr>
        <w:tc>
          <w:tcPr>
            <w:tcW w:w="1242" w:type="dxa"/>
            <w:tcBorders>
              <w:top w:val="nil"/>
            </w:tcBorders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 nm</w:t>
            </w:r>
          </w:p>
        </w:tc>
        <w:tc>
          <w:tcPr>
            <w:tcW w:w="2813" w:type="dxa"/>
            <w:tcBorders>
              <w:top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2813" w:type="dxa"/>
            <w:tcBorders>
              <w:top w:val="nil"/>
            </w:tcBorders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20663</w:t>
            </w:r>
          </w:p>
        </w:tc>
        <w:tc>
          <w:tcPr>
            <w:tcW w:w="1958" w:type="dxa"/>
            <w:tcBorders>
              <w:top w:val="nil"/>
            </w:tcBorders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20.68</w:t>
            </w:r>
          </w:p>
        </w:tc>
      </w:tr>
    </w:tbl>
    <w:p w:rsidR="00437C14" w:rsidRDefault="00437C14" w:rsidP="0036241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437C14" w:rsidRDefault="00A4190D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S2</w:t>
      </w:r>
      <w:r>
        <w:rPr>
          <w:rFonts w:ascii="Times New Roman" w:hAnsi="Times New Roman" w:cs="Times New Roman"/>
          <w:sz w:val="20"/>
          <w:szCs w:val="20"/>
        </w:rPr>
        <w:t xml:space="preserve"> Performance parameters of PeLEDs based on LiF interlayer of different </w:t>
      </w:r>
      <w:bookmarkStart w:id="7" w:name="_Hlk164685749"/>
      <w:r>
        <w:rPr>
          <w:rFonts w:ascii="Times New Roman" w:hAnsi="Times New Roman" w:cs="Times New Roman"/>
          <w:sz w:val="20"/>
          <w:szCs w:val="20"/>
        </w:rPr>
        <w:t>location</w:t>
      </w:r>
      <w:bookmarkEnd w:id="7"/>
    </w:p>
    <w:tbl>
      <w:tblPr>
        <w:tblStyle w:val="a9"/>
        <w:tblW w:w="882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813"/>
        <w:gridCol w:w="2813"/>
        <w:gridCol w:w="1958"/>
      </w:tblGrid>
      <w:tr w:rsidR="00437C14">
        <w:trPr>
          <w:trHeight w:val="23"/>
          <w:jc w:val="center"/>
        </w:trPr>
        <w:tc>
          <w:tcPr>
            <w:tcW w:w="1242" w:type="dxa"/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2813" w:type="dxa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Wavelength (nm)</w:t>
            </w:r>
          </w:p>
        </w:tc>
        <w:tc>
          <w:tcPr>
            <w:tcW w:w="2813" w:type="dxa"/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Max. Luminance (cd m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58" w:type="dxa"/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Max. EQE (%)</w:t>
            </w:r>
          </w:p>
        </w:tc>
      </w:tr>
      <w:tr w:rsidR="00437C14" w:rsidTr="00857DDE">
        <w:trPr>
          <w:trHeight w:val="330"/>
          <w:jc w:val="center"/>
        </w:trPr>
        <w:tc>
          <w:tcPr>
            <w:tcW w:w="1242" w:type="dxa"/>
            <w:tcBorders>
              <w:bottom w:val="nil"/>
            </w:tcBorders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shd w:val="clear" w:color="auto" w:fill="FFFFFF" w:themeFill="background1"/>
              </w:rPr>
              <w:t>device Ⅰ</w:t>
            </w:r>
          </w:p>
        </w:tc>
        <w:tc>
          <w:tcPr>
            <w:tcW w:w="2813" w:type="dxa"/>
            <w:tcBorders>
              <w:bottom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2813" w:type="dxa"/>
            <w:tcBorders>
              <w:bottom w:val="nil"/>
            </w:tcBorders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30845</w:t>
            </w:r>
          </w:p>
        </w:tc>
        <w:tc>
          <w:tcPr>
            <w:tcW w:w="1958" w:type="dxa"/>
            <w:tcBorders>
              <w:bottom w:val="nil"/>
            </w:tcBorders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</w:t>
            </w:r>
          </w:p>
        </w:tc>
      </w:tr>
      <w:tr w:rsidR="00437C14" w:rsidTr="00857DDE">
        <w:trPr>
          <w:trHeight w:val="23"/>
          <w:jc w:val="center"/>
        </w:trPr>
        <w:tc>
          <w:tcPr>
            <w:tcW w:w="1242" w:type="dxa"/>
            <w:tcBorders>
              <w:top w:val="nil"/>
              <w:bottom w:val="nil"/>
            </w:tcBorders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shd w:val="clear" w:color="auto" w:fill="FFFFFF" w:themeFill="background1"/>
              </w:rPr>
              <w:t>device Ⅱ</w:t>
            </w:r>
          </w:p>
        </w:tc>
        <w:tc>
          <w:tcPr>
            <w:tcW w:w="2813" w:type="dxa"/>
            <w:tcBorders>
              <w:top w:val="nil"/>
              <w:bottom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2813" w:type="dxa"/>
            <w:tcBorders>
              <w:top w:val="nil"/>
              <w:bottom w:val="nil"/>
            </w:tcBorders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26962</w:t>
            </w:r>
          </w:p>
        </w:tc>
        <w:tc>
          <w:tcPr>
            <w:tcW w:w="1958" w:type="dxa"/>
            <w:tcBorders>
              <w:top w:val="nil"/>
              <w:bottom w:val="nil"/>
            </w:tcBorders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22.34</w:t>
            </w:r>
          </w:p>
        </w:tc>
      </w:tr>
      <w:tr w:rsidR="00437C14" w:rsidTr="00857DDE">
        <w:trPr>
          <w:trHeight w:val="23"/>
          <w:jc w:val="center"/>
        </w:trPr>
        <w:tc>
          <w:tcPr>
            <w:tcW w:w="1242" w:type="dxa"/>
            <w:tcBorders>
              <w:top w:val="nil"/>
            </w:tcBorders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  <w:shd w:val="clear" w:color="auto" w:fill="FFFFFF" w:themeFill="background1"/>
              </w:rPr>
              <w:t>device Ⅲ</w:t>
            </w:r>
          </w:p>
        </w:tc>
        <w:tc>
          <w:tcPr>
            <w:tcW w:w="2813" w:type="dxa"/>
            <w:tcBorders>
              <w:top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  <w:tc>
          <w:tcPr>
            <w:tcW w:w="2813" w:type="dxa"/>
            <w:tcBorders>
              <w:top w:val="nil"/>
            </w:tcBorders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21075</w:t>
            </w:r>
          </w:p>
        </w:tc>
        <w:tc>
          <w:tcPr>
            <w:tcW w:w="1958" w:type="dxa"/>
            <w:tcBorders>
              <w:top w:val="nil"/>
            </w:tcBorders>
            <w:vAlign w:val="center"/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20.75</w:t>
            </w:r>
          </w:p>
        </w:tc>
      </w:tr>
    </w:tbl>
    <w:p w:rsidR="00253DB3" w:rsidRDefault="00253DB3" w:rsidP="00253DB3">
      <w:pPr>
        <w:spacing w:line="480" w:lineRule="auto"/>
        <w:rPr>
          <w:b/>
          <w:sz w:val="20"/>
          <w:szCs w:val="20"/>
          <w:highlight w:val="yellow"/>
        </w:rPr>
      </w:pPr>
    </w:p>
    <w:p w:rsidR="00437C14" w:rsidRPr="00253DB3" w:rsidRDefault="00437C14">
      <w:pPr>
        <w:spacing w:line="480" w:lineRule="auto"/>
        <w:rPr>
          <w:rFonts w:ascii="Times New Roman" w:hAnsi="Times New Roman" w:cs="Times New Roman" w:hint="eastAsia"/>
          <w:sz w:val="20"/>
          <w:szCs w:val="20"/>
        </w:rPr>
      </w:pPr>
    </w:p>
    <w:p w:rsidR="00437C14" w:rsidRDefault="00A4190D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Table S3 </w:t>
      </w:r>
      <w:r>
        <w:rPr>
          <w:rFonts w:ascii="Times New Roman" w:hAnsi="Times New Roman" w:cs="Times New Roman"/>
          <w:sz w:val="20"/>
          <w:szCs w:val="20"/>
        </w:rPr>
        <w:t>PL lifetime summary with or without LiF interlayer</w:t>
      </w:r>
    </w:p>
    <w:tbl>
      <w:tblPr>
        <w:tblStyle w:val="a9"/>
        <w:tblW w:w="748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6"/>
        <w:gridCol w:w="850"/>
        <w:gridCol w:w="992"/>
        <w:gridCol w:w="981"/>
        <w:gridCol w:w="770"/>
        <w:gridCol w:w="810"/>
        <w:gridCol w:w="800"/>
        <w:gridCol w:w="1161"/>
      </w:tblGrid>
      <w:tr w:rsidR="00437C14" w:rsidTr="00A86AAD">
        <w:trPr>
          <w:trHeight w:hRule="exact" w:val="1191"/>
          <w:jc w:val="center"/>
        </w:trPr>
        <w:tc>
          <w:tcPr>
            <w:tcW w:w="1116" w:type="dxa"/>
            <w:tcBorders>
              <w:bottom w:val="single" w:sz="12" w:space="0" w:color="auto"/>
            </w:tcBorders>
            <w:vAlign w:val="center"/>
          </w:tcPr>
          <w:p w:rsidR="00437C14" w:rsidRDefault="00A4190D">
            <w:pPr>
              <w:spacing w:line="72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devices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τ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(ns)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981" w:type="dxa"/>
            <w:tcBorders>
              <w:bottom w:val="single" w:sz="12" w:space="0" w:color="auto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τ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(ns)</w:t>
            </w:r>
          </w:p>
        </w:tc>
        <w:tc>
          <w:tcPr>
            <w:tcW w:w="770" w:type="dxa"/>
            <w:tcBorders>
              <w:bottom w:val="single" w:sz="12" w:space="0" w:color="auto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(%)</w:t>
            </w:r>
          </w:p>
        </w:tc>
        <w:tc>
          <w:tcPr>
            <w:tcW w:w="810" w:type="dxa"/>
            <w:tcBorders>
              <w:bottom w:val="single" w:sz="12" w:space="0" w:color="auto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τ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(ns)</w:t>
            </w:r>
          </w:p>
        </w:tc>
        <w:tc>
          <w:tcPr>
            <w:tcW w:w="800" w:type="dxa"/>
            <w:tcBorders>
              <w:bottom w:val="single" w:sz="12" w:space="0" w:color="auto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61" w:type="dxa"/>
            <w:tcBorders>
              <w:bottom w:val="single" w:sz="12" w:space="0" w:color="auto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τ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avg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(ns)</w:t>
            </w:r>
          </w:p>
        </w:tc>
      </w:tr>
      <w:tr w:rsidR="00437C14" w:rsidTr="00A86AAD">
        <w:trPr>
          <w:trHeight w:hRule="exact" w:val="567"/>
          <w:jc w:val="center"/>
        </w:trPr>
        <w:tc>
          <w:tcPr>
            <w:tcW w:w="1116" w:type="dxa"/>
            <w:tcBorders>
              <w:bottom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w/o LiF</w:t>
            </w:r>
          </w:p>
        </w:tc>
        <w:tc>
          <w:tcPr>
            <w:tcW w:w="850" w:type="dxa"/>
            <w:tcBorders>
              <w:bottom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bottom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81" w:type="dxa"/>
            <w:tcBorders>
              <w:bottom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70" w:type="dxa"/>
            <w:tcBorders>
              <w:bottom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10" w:type="dxa"/>
            <w:tcBorders>
              <w:bottom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800" w:type="dxa"/>
            <w:tcBorders>
              <w:bottom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161" w:type="dxa"/>
            <w:tcBorders>
              <w:bottom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122.20</w:t>
            </w:r>
          </w:p>
        </w:tc>
      </w:tr>
      <w:tr w:rsidR="00437C14" w:rsidTr="00A86AAD">
        <w:trPr>
          <w:trHeight w:hRule="exact" w:val="567"/>
          <w:jc w:val="center"/>
        </w:trPr>
        <w:tc>
          <w:tcPr>
            <w:tcW w:w="1116" w:type="dxa"/>
            <w:tcBorders>
              <w:top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w/LiF</w:t>
            </w:r>
          </w:p>
        </w:tc>
        <w:tc>
          <w:tcPr>
            <w:tcW w:w="850" w:type="dxa"/>
            <w:tcBorders>
              <w:top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1" w:type="dxa"/>
            <w:tcBorders>
              <w:top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70" w:type="dxa"/>
            <w:tcBorders>
              <w:top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10" w:type="dxa"/>
            <w:tcBorders>
              <w:top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</w:t>
            </w:r>
          </w:p>
        </w:tc>
        <w:tc>
          <w:tcPr>
            <w:tcW w:w="800" w:type="dxa"/>
            <w:tcBorders>
              <w:top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61" w:type="dxa"/>
            <w:tcBorders>
              <w:top w:val="nil"/>
            </w:tcBorders>
          </w:tcPr>
          <w:p w:rsidR="00437C14" w:rsidRDefault="00A4190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174.95</w:t>
            </w:r>
          </w:p>
        </w:tc>
      </w:tr>
    </w:tbl>
    <w:p w:rsidR="00437C14" w:rsidRDefault="00A4190D">
      <w:pPr>
        <w:widowControl/>
        <w:spacing w:line="360" w:lineRule="auto"/>
        <w:rPr>
          <w:rFonts w:ascii="Times New Roman" w:hAnsi="Times New Roman" w:cs="Times New Roman"/>
          <w:kern w:val="0"/>
          <w:sz w:val="20"/>
          <w:szCs w:val="20"/>
          <w:lang w:val="de-DE"/>
        </w:rPr>
      </w:pPr>
      <w:r>
        <w:rPr>
          <w:rFonts w:ascii="Times New Roman" w:eastAsia="MS Mincho" w:hAnsi="Times New Roman" w:cs="Times New Roman"/>
          <w:kern w:val="0"/>
          <w:sz w:val="20"/>
          <w:szCs w:val="20"/>
          <w:lang w:val="de-DE" w:eastAsia="ja-JP"/>
        </w:rPr>
        <w:t>τ</w:t>
      </w:r>
      <w:r>
        <w:rPr>
          <w:rFonts w:ascii="Times New Roman" w:eastAsia="MS Mincho" w:hAnsi="Times New Roman" w:cs="Times New Roman"/>
          <w:kern w:val="0"/>
          <w:sz w:val="20"/>
          <w:szCs w:val="20"/>
          <w:vertAlign w:val="subscript"/>
          <w:lang w:val="de-DE" w:eastAsia="ja-JP"/>
        </w:rPr>
        <w:t>av</w:t>
      </w:r>
      <w:r>
        <w:rPr>
          <w:rFonts w:ascii="Times New Roman" w:hAnsi="Times New Roman" w:cs="Times New Roman"/>
          <w:kern w:val="0"/>
          <w:sz w:val="20"/>
          <w:szCs w:val="20"/>
          <w:vertAlign w:val="subscript"/>
          <w:lang w:val="de-DE"/>
        </w:rPr>
        <w:t>g</w:t>
      </w:r>
      <w:r>
        <w:rPr>
          <w:rFonts w:ascii="Times New Roman" w:eastAsia="MS Mincho" w:hAnsi="Times New Roman" w:cs="Times New Roman"/>
          <w:kern w:val="0"/>
          <w:sz w:val="20"/>
          <w:szCs w:val="20"/>
          <w:lang w:val="de-DE" w:eastAsia="ja-JP"/>
        </w:rPr>
        <w:t xml:space="preserve"> is calculated by the fitted data of the PL decay curves as follows</w:t>
      </w:r>
    </w:p>
    <w:p w:rsidR="00437C14" w:rsidRDefault="00D40023">
      <w:pPr>
        <w:widowControl/>
        <w:spacing w:line="360" w:lineRule="auto"/>
        <w:rPr>
          <w:rFonts w:ascii="Times New Roman" w:eastAsia="MS Mincho" w:hAnsi="Times New Roman" w:cs="Times New Roman"/>
          <w:kern w:val="0"/>
          <w:sz w:val="20"/>
          <w:szCs w:val="20"/>
          <w:lang w:val="de-DE" w:eastAsia="ja-JP"/>
        </w:rPr>
      </w:pPr>
      <m:oMathPara>
        <m:oMath>
          <m:sSub>
            <m:sSubPr>
              <m:ctrlPr>
                <w:rPr>
                  <w:rFonts w:ascii="Cambria Math" w:eastAsia="MS Mincho" w:hAnsi="Cambria Math" w:cs="Times New Roman"/>
                  <w:kern w:val="0"/>
                  <w:sz w:val="20"/>
                  <w:szCs w:val="20"/>
                  <w:lang w:val="de-DE" w:eastAsia="ja-JP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MS Mincho" w:hAnsi="Cambria Math" w:cs="Times New Roman"/>
                  <w:kern w:val="0"/>
                  <w:sz w:val="20"/>
                  <w:szCs w:val="20"/>
                  <w:lang w:val="de-DE" w:eastAsia="ja-JP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eastAsia="MS Mincho" w:hAnsi="Cambria Math" w:cs="Times New Roman"/>
                  <w:kern w:val="0"/>
                  <w:sz w:val="20"/>
                  <w:szCs w:val="20"/>
                  <w:lang w:val="de-DE" w:eastAsia="ja-JP"/>
                </w:rPr>
                <m:t>avg</m:t>
              </m:r>
            </m:sub>
          </m:sSub>
          <m:r>
            <m:rPr>
              <m:sty m:val="p"/>
            </m:rPr>
            <w:rPr>
              <w:rFonts w:ascii="Cambria Math" w:eastAsia="MS Mincho" w:hAnsi="Cambria Math" w:cs="Times New Roman"/>
              <w:kern w:val="0"/>
              <w:sz w:val="20"/>
              <w:szCs w:val="20"/>
              <w:lang w:val="de-DE" w:eastAsia="ja-JP"/>
            </w:rPr>
            <m:t>=</m:t>
          </m:r>
          <m:sSub>
            <m:sSubPr>
              <m:ctrlPr>
                <w:rPr>
                  <w:rFonts w:ascii="Cambria Math" w:eastAsia="MS Mincho" w:hAnsi="Cambria Math" w:cs="Times New Roman"/>
                  <w:kern w:val="0"/>
                  <w:sz w:val="20"/>
                  <w:szCs w:val="20"/>
                  <w:lang w:val="de-DE" w:eastAsia="ja-JP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MS Mincho" w:hAnsi="Cambria Math" w:cs="Times New Roman"/>
                  <w:kern w:val="0"/>
                  <w:sz w:val="20"/>
                  <w:szCs w:val="20"/>
                  <w:lang w:val="de-DE" w:eastAsia="ja-JP"/>
                </w:rPr>
                <m:t>A</m:t>
              </m:r>
            </m:e>
            <m:sub>
              <m:r>
                <m:rPr>
                  <m:sty m:val="p"/>
                </m:rPr>
                <w:rPr>
                  <w:rFonts w:ascii="Cambria Math" w:eastAsia="MS Mincho" w:hAnsi="Cambria Math" w:cs="Times New Roman"/>
                  <w:kern w:val="0"/>
                  <w:sz w:val="20"/>
                  <w:szCs w:val="20"/>
                  <w:lang w:val="de-DE" w:eastAsia="ja-JP"/>
                </w:rPr>
                <m:t>1</m:t>
              </m:r>
            </m:sub>
          </m:sSub>
          <m:sSub>
            <m:sSubPr>
              <m:ctrlPr>
                <w:rPr>
                  <w:rFonts w:ascii="Cambria Math" w:eastAsia="MS Mincho" w:hAnsi="Cambria Math" w:cs="Times New Roman"/>
                  <w:kern w:val="0"/>
                  <w:sz w:val="20"/>
                  <w:szCs w:val="20"/>
                  <w:lang w:val="de-DE" w:eastAsia="ja-JP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MS Mincho" w:hAnsi="Cambria Math" w:cs="Times New Roman"/>
                  <w:kern w:val="0"/>
                  <w:sz w:val="20"/>
                  <w:szCs w:val="20"/>
                  <w:lang w:val="de-DE" w:eastAsia="ja-JP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eastAsia="MS Mincho" w:hAnsi="Cambria Math" w:cs="Times New Roman"/>
                  <w:kern w:val="0"/>
                  <w:sz w:val="20"/>
                  <w:szCs w:val="20"/>
                  <w:lang w:val="de-DE" w:eastAsia="ja-JP"/>
                </w:rPr>
                <m:t>1</m:t>
              </m:r>
            </m:sub>
          </m:sSub>
          <m:sSub>
            <m:sSubPr>
              <m:ctrlPr>
                <w:rPr>
                  <w:rFonts w:ascii="Cambria Math" w:eastAsia="MS Mincho" w:hAnsi="Cambria Math" w:cs="Times New Roman"/>
                  <w:kern w:val="0"/>
                  <w:sz w:val="20"/>
                  <w:szCs w:val="20"/>
                  <w:lang w:val="de-DE" w:eastAsia="ja-JP"/>
                </w:rPr>
              </m:ctrlPr>
            </m:sSubPr>
            <m:e>
              <m:sSub>
                <m:sSubPr>
                  <m:ctrlPr>
                    <w:rPr>
                      <w:rFonts w:ascii="Cambria Math" w:eastAsia="MS Mincho" w:hAnsi="Cambria Math" w:cs="Times New Roman"/>
                      <w:kern w:val="0"/>
                      <w:sz w:val="20"/>
                      <w:szCs w:val="20"/>
                      <w:lang w:val="de-DE" w:eastAsia="ja-JP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MS Mincho" w:hAnsi="Cambria Math" w:cs="Times New Roman"/>
                      <w:kern w:val="0"/>
                      <w:sz w:val="20"/>
                      <w:szCs w:val="20"/>
                      <w:lang w:val="de-DE" w:eastAsia="ja-JP"/>
                    </w:rPr>
                    <m:t>+A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MS Mincho" w:hAnsi="Cambria Math" w:cs="Times New Roman"/>
                      <w:kern w:val="0"/>
                      <w:sz w:val="20"/>
                      <w:szCs w:val="20"/>
                      <w:lang w:val="de-DE" w:eastAsia="ja-JP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MS Mincho" w:hAnsi="Cambria Math" w:cs="Times New Roman"/>
                      <w:kern w:val="0"/>
                      <w:sz w:val="20"/>
                      <w:szCs w:val="20"/>
                      <w:lang w:val="de-DE" w:eastAsia="ja-JP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MS Mincho" w:hAnsi="Cambria Math" w:cs="Times New Roman"/>
                      <w:kern w:val="0"/>
                      <w:sz w:val="20"/>
                      <w:szCs w:val="20"/>
                      <w:lang w:val="de-DE" w:eastAsia="ja-JP"/>
                    </w:rPr>
                    <m:t>τ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MS Mincho" w:hAnsi="Cambria Math" w:cs="Times New Roman"/>
                      <w:kern w:val="0"/>
                      <w:sz w:val="20"/>
                      <w:szCs w:val="20"/>
                      <w:lang w:val="de-DE" w:eastAsia="ja-JP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="MS Mincho" w:hAnsi="Cambria Math" w:cs="Times New Roman"/>
                  <w:kern w:val="0"/>
                  <w:sz w:val="20"/>
                  <w:szCs w:val="20"/>
                  <w:lang w:val="de-DE" w:eastAsia="ja-JP"/>
                </w:rPr>
                <m:t>+A</m:t>
              </m:r>
            </m:e>
            <m:sub>
              <m:r>
                <m:rPr>
                  <m:sty m:val="p"/>
                </m:rPr>
                <w:rPr>
                  <w:rFonts w:ascii="Cambria Math" w:eastAsia="MS Mincho" w:hAnsi="Cambria Math" w:cs="Times New Roman"/>
                  <w:kern w:val="0"/>
                  <w:sz w:val="20"/>
                  <w:szCs w:val="20"/>
                  <w:lang w:val="de-DE" w:eastAsia="ja-JP"/>
                </w:rPr>
                <m:t>3</m:t>
              </m:r>
            </m:sub>
          </m:sSub>
          <m:sSub>
            <m:sSubPr>
              <m:ctrlPr>
                <w:rPr>
                  <w:rFonts w:ascii="Cambria Math" w:eastAsia="MS Mincho" w:hAnsi="Cambria Math" w:cs="Times New Roman"/>
                  <w:kern w:val="0"/>
                  <w:sz w:val="20"/>
                  <w:szCs w:val="20"/>
                  <w:lang w:val="de-DE" w:eastAsia="ja-JP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MS Mincho" w:hAnsi="Cambria Math" w:cs="Times New Roman"/>
                  <w:kern w:val="0"/>
                  <w:sz w:val="20"/>
                  <w:szCs w:val="20"/>
                  <w:lang w:val="de-DE" w:eastAsia="ja-JP"/>
                </w:rPr>
                <m:t>τ</m:t>
              </m:r>
            </m:e>
            <m:sub>
              <m:r>
                <m:rPr>
                  <m:sty m:val="p"/>
                </m:rPr>
                <w:rPr>
                  <w:rFonts w:ascii="Cambria Math" w:eastAsia="MS Mincho" w:hAnsi="Cambria Math" w:cs="Times New Roman"/>
                  <w:kern w:val="0"/>
                  <w:sz w:val="20"/>
                  <w:szCs w:val="20"/>
                  <w:lang w:val="de-DE" w:eastAsia="ja-JP"/>
                </w:rPr>
                <m:t>3</m:t>
              </m:r>
            </m:sub>
          </m:sSub>
        </m:oMath>
      </m:oMathPara>
    </w:p>
    <w:p w:rsidR="00437C14" w:rsidRDefault="00A4190D">
      <w:pPr>
        <w:widowControl/>
        <w:spacing w:line="360" w:lineRule="auto"/>
        <w:rPr>
          <w:rFonts w:ascii="Times New Roman" w:hAnsi="Times New Roman" w:cs="Times New Roman"/>
          <w:kern w:val="0"/>
          <w:sz w:val="20"/>
          <w:szCs w:val="20"/>
          <w:lang w:val="de-DE" w:eastAsia="ja-JP"/>
        </w:rPr>
      </w:pPr>
      <w:r>
        <w:rPr>
          <w:rFonts w:ascii="Times New Roman" w:eastAsia="MS Mincho" w:hAnsi="Times New Roman" w:cs="Times New Roman"/>
          <w:kern w:val="0"/>
          <w:sz w:val="20"/>
          <w:szCs w:val="20"/>
          <w:lang w:val="de-DE" w:eastAsia="ja-JP"/>
        </w:rPr>
        <w:t xml:space="preserve">in which </w:t>
      </w:r>
      <w:r>
        <w:rPr>
          <w:rFonts w:ascii="Times New Roman" w:eastAsia="MS Mincho" w:hAnsi="Times New Roman" w:cs="Times New Roman"/>
          <w:iCs/>
          <w:kern w:val="0"/>
          <w:sz w:val="20"/>
          <w:szCs w:val="20"/>
          <w:lang w:val="de-DE" w:eastAsia="ja-JP"/>
        </w:rPr>
        <w:t>A</w:t>
      </w:r>
      <w:r>
        <w:rPr>
          <w:rFonts w:ascii="Times New Roman" w:eastAsia="MS Mincho" w:hAnsi="Times New Roman" w:cs="Times New Roman"/>
          <w:kern w:val="0"/>
          <w:sz w:val="20"/>
          <w:szCs w:val="20"/>
          <w:vertAlign w:val="subscript"/>
          <w:lang w:val="de-DE" w:eastAsia="ja-JP"/>
        </w:rPr>
        <w:t>1</w:t>
      </w:r>
      <w:r>
        <w:rPr>
          <w:rFonts w:ascii="Times New Roman" w:eastAsia="MS Mincho" w:hAnsi="Times New Roman" w:cs="Times New Roman"/>
          <w:kern w:val="0"/>
          <w:sz w:val="20"/>
          <w:szCs w:val="20"/>
          <w:lang w:val="de-DE" w:eastAsia="ja-JP"/>
        </w:rPr>
        <w:t xml:space="preserve">, </w:t>
      </w:r>
      <w:r>
        <w:rPr>
          <w:rFonts w:ascii="Times New Roman" w:eastAsia="MS Mincho" w:hAnsi="Times New Roman" w:cs="Times New Roman"/>
          <w:iCs/>
          <w:kern w:val="0"/>
          <w:sz w:val="20"/>
          <w:szCs w:val="20"/>
          <w:lang w:val="de-DE" w:eastAsia="ja-JP"/>
        </w:rPr>
        <w:t>A</w:t>
      </w:r>
      <w:r>
        <w:rPr>
          <w:rFonts w:ascii="Times New Roman" w:eastAsia="MS Mincho" w:hAnsi="Times New Roman" w:cs="Times New Roman"/>
          <w:kern w:val="0"/>
          <w:sz w:val="20"/>
          <w:szCs w:val="20"/>
          <w:vertAlign w:val="subscript"/>
          <w:lang w:val="de-DE" w:eastAsia="ja-JP"/>
        </w:rPr>
        <w:t>2</w:t>
      </w:r>
      <w:r>
        <w:rPr>
          <w:rFonts w:ascii="Times New Roman" w:eastAsia="MS Mincho" w:hAnsi="Times New Roman" w:cs="Times New Roman"/>
          <w:kern w:val="0"/>
          <w:sz w:val="20"/>
          <w:szCs w:val="20"/>
          <w:lang w:val="de-DE" w:eastAsia="ja-JP"/>
        </w:rPr>
        <w:t xml:space="preserve">, and </w:t>
      </w:r>
      <w:r>
        <w:rPr>
          <w:rFonts w:ascii="Times New Roman" w:eastAsia="MS Mincho" w:hAnsi="Times New Roman" w:cs="Times New Roman"/>
          <w:iCs/>
          <w:kern w:val="0"/>
          <w:sz w:val="20"/>
          <w:szCs w:val="20"/>
          <w:lang w:val="de-DE" w:eastAsia="ja-JP"/>
        </w:rPr>
        <w:t>A</w:t>
      </w:r>
      <w:r>
        <w:rPr>
          <w:rFonts w:ascii="Times New Roman" w:hAnsi="Times New Roman" w:cs="Times New Roman"/>
          <w:kern w:val="0"/>
          <w:sz w:val="20"/>
          <w:szCs w:val="20"/>
          <w:vertAlign w:val="subscript"/>
          <w:lang w:val="de-DE"/>
        </w:rPr>
        <w:t>3</w:t>
      </w:r>
      <w:r>
        <w:rPr>
          <w:rFonts w:ascii="Times New Roman" w:eastAsia="MS Mincho" w:hAnsi="Times New Roman" w:cs="Times New Roman"/>
          <w:kern w:val="0"/>
          <w:sz w:val="20"/>
          <w:szCs w:val="20"/>
          <w:lang w:val="de-DE" w:eastAsia="ja-JP"/>
        </w:rPr>
        <w:t xml:space="preserve"> are the amplitudes of each component while </w:t>
      </w:r>
      <w:r>
        <w:rPr>
          <w:rFonts w:ascii="Times New Roman" w:eastAsia="MS Mincho" w:hAnsi="Times New Roman" w:cs="Times New Roman"/>
          <w:iCs/>
          <w:kern w:val="0"/>
          <w:sz w:val="20"/>
          <w:szCs w:val="20"/>
          <w:lang w:val="de-DE" w:eastAsia="ja-JP"/>
        </w:rPr>
        <w:t>τ</w:t>
      </w:r>
      <w:r>
        <w:rPr>
          <w:rFonts w:ascii="Times New Roman" w:eastAsia="MS Mincho" w:hAnsi="Times New Roman" w:cs="Times New Roman"/>
          <w:kern w:val="0"/>
          <w:sz w:val="20"/>
          <w:szCs w:val="20"/>
          <w:vertAlign w:val="subscript"/>
          <w:lang w:val="de-DE" w:eastAsia="ja-JP"/>
        </w:rPr>
        <w:t>1</w:t>
      </w:r>
      <w:r>
        <w:rPr>
          <w:rFonts w:ascii="Times New Roman" w:eastAsia="MS Mincho" w:hAnsi="Times New Roman" w:cs="Times New Roman"/>
          <w:kern w:val="0"/>
          <w:sz w:val="20"/>
          <w:szCs w:val="20"/>
          <w:lang w:val="de-DE" w:eastAsia="ja-JP"/>
        </w:rPr>
        <w:t xml:space="preserve">, </w:t>
      </w:r>
      <w:r>
        <w:rPr>
          <w:rFonts w:ascii="Times New Roman" w:eastAsia="MS Mincho" w:hAnsi="Times New Roman" w:cs="Times New Roman"/>
          <w:iCs/>
          <w:kern w:val="0"/>
          <w:sz w:val="20"/>
          <w:szCs w:val="20"/>
          <w:lang w:val="de-DE" w:eastAsia="ja-JP"/>
        </w:rPr>
        <w:t>τ</w:t>
      </w:r>
      <w:r>
        <w:rPr>
          <w:rFonts w:ascii="Times New Roman" w:eastAsia="MS Mincho" w:hAnsi="Times New Roman" w:cs="Times New Roman"/>
          <w:kern w:val="0"/>
          <w:sz w:val="20"/>
          <w:szCs w:val="20"/>
          <w:vertAlign w:val="subscript"/>
          <w:lang w:val="de-DE" w:eastAsia="ja-JP"/>
        </w:rPr>
        <w:t>2</w:t>
      </w:r>
      <w:r>
        <w:rPr>
          <w:rFonts w:ascii="Times New Roman" w:eastAsia="MS Mincho" w:hAnsi="Times New Roman" w:cs="Times New Roman"/>
          <w:kern w:val="0"/>
          <w:sz w:val="20"/>
          <w:szCs w:val="20"/>
          <w:lang w:val="de-DE" w:eastAsia="ja-JP"/>
        </w:rPr>
        <w:t xml:space="preserve">, and </w:t>
      </w:r>
      <w:r>
        <w:rPr>
          <w:rFonts w:ascii="Times New Roman" w:eastAsia="MS Mincho" w:hAnsi="Times New Roman" w:cs="Times New Roman"/>
          <w:iCs/>
          <w:kern w:val="0"/>
          <w:sz w:val="20"/>
          <w:szCs w:val="20"/>
          <w:lang w:val="de-DE" w:eastAsia="ja-JP"/>
        </w:rPr>
        <w:t>τ</w:t>
      </w:r>
      <w:r>
        <w:rPr>
          <w:rFonts w:ascii="Times New Roman" w:hAnsi="Times New Roman" w:cs="Times New Roman"/>
          <w:kern w:val="0"/>
          <w:sz w:val="20"/>
          <w:szCs w:val="20"/>
          <w:vertAlign w:val="subscript"/>
          <w:lang w:val="de-DE"/>
        </w:rPr>
        <w:t>3</w:t>
      </w:r>
      <w:r>
        <w:rPr>
          <w:rFonts w:ascii="Times New Roman" w:eastAsia="MS Mincho" w:hAnsi="Times New Roman" w:cs="Times New Roman"/>
          <w:kern w:val="0"/>
          <w:sz w:val="20"/>
          <w:szCs w:val="20"/>
          <w:lang w:val="de-DE" w:eastAsia="ja-JP"/>
        </w:rPr>
        <w:t xml:space="preserve"> are the corresponding lifetime constants.</w:t>
      </w:r>
    </w:p>
    <w:p w:rsidR="00437C14" w:rsidRDefault="00437C14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bookmarkEnd w:id="0"/>
    <w:p w:rsidR="00437C14" w:rsidRDefault="00437C14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437C14">
      <w:footerReference w:type="default" r:id="rId12"/>
      <w:pgSz w:w="11906" w:h="16838"/>
      <w:pgMar w:top="720" w:right="1094" w:bottom="720" w:left="109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0023" w:rsidRDefault="00D40023">
      <w:r>
        <w:separator/>
      </w:r>
    </w:p>
  </w:endnote>
  <w:endnote w:type="continuationSeparator" w:id="0">
    <w:p w:rsidR="00D40023" w:rsidRDefault="00D40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7C14" w:rsidRDefault="00A4190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37C14" w:rsidRDefault="00A4190D">
                          <w:pPr>
                            <w:pStyle w:val="a5"/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:rsidR="00437C14" w:rsidRDefault="00A4190D">
                    <w:pPr>
                      <w:pStyle w:val="a5"/>
                    </w:pPr>
                    <w:r>
                      <w:rPr>
                        <w:rFonts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0023" w:rsidRDefault="00D40023">
      <w:r>
        <w:separator/>
      </w:r>
    </w:p>
  </w:footnote>
  <w:footnote w:type="continuationSeparator" w:id="0">
    <w:p w:rsidR="00D40023" w:rsidRDefault="00D40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E0MjMytTA3tTAAYiUdpeDU4uLM/DyQAuNaAEewLsosAAAA"/>
    <w:docVar w:name="commondata" w:val="eyJoZGlkIjoiNGQ4YTJiYjNhYTIxNzdjMzVjOGY3MzZiMmRjMzRiY2MifQ=="/>
  </w:docVars>
  <w:rsids>
    <w:rsidRoot w:val="00E34B11"/>
    <w:rsid w:val="000316A4"/>
    <w:rsid w:val="0008483E"/>
    <w:rsid w:val="0011346A"/>
    <w:rsid w:val="00124FD4"/>
    <w:rsid w:val="00125513"/>
    <w:rsid w:val="001A43F1"/>
    <w:rsid w:val="001F2EF4"/>
    <w:rsid w:val="00220792"/>
    <w:rsid w:val="0022129A"/>
    <w:rsid w:val="00253DB3"/>
    <w:rsid w:val="0028008B"/>
    <w:rsid w:val="0029549E"/>
    <w:rsid w:val="002A41E4"/>
    <w:rsid w:val="002A6B45"/>
    <w:rsid w:val="002F315C"/>
    <w:rsid w:val="00307FBF"/>
    <w:rsid w:val="0034108B"/>
    <w:rsid w:val="00362411"/>
    <w:rsid w:val="003A0950"/>
    <w:rsid w:val="003C44A4"/>
    <w:rsid w:val="004126F4"/>
    <w:rsid w:val="00427D21"/>
    <w:rsid w:val="00437C14"/>
    <w:rsid w:val="00443231"/>
    <w:rsid w:val="0045654D"/>
    <w:rsid w:val="00481792"/>
    <w:rsid w:val="004C1703"/>
    <w:rsid w:val="004D4733"/>
    <w:rsid w:val="004E7DF9"/>
    <w:rsid w:val="0055370A"/>
    <w:rsid w:val="005555D4"/>
    <w:rsid w:val="00572CE4"/>
    <w:rsid w:val="00594781"/>
    <w:rsid w:val="005B5AD4"/>
    <w:rsid w:val="00667DB7"/>
    <w:rsid w:val="0073278E"/>
    <w:rsid w:val="00761396"/>
    <w:rsid w:val="007C2431"/>
    <w:rsid w:val="007D3CE3"/>
    <w:rsid w:val="007E7B6B"/>
    <w:rsid w:val="007F1176"/>
    <w:rsid w:val="00807148"/>
    <w:rsid w:val="00857DDE"/>
    <w:rsid w:val="008C0B3D"/>
    <w:rsid w:val="008C2AEA"/>
    <w:rsid w:val="009616DF"/>
    <w:rsid w:val="009648EB"/>
    <w:rsid w:val="00965EC8"/>
    <w:rsid w:val="0097145B"/>
    <w:rsid w:val="009744EF"/>
    <w:rsid w:val="009A29C1"/>
    <w:rsid w:val="009A5884"/>
    <w:rsid w:val="009E567A"/>
    <w:rsid w:val="009E7F56"/>
    <w:rsid w:val="009F51AE"/>
    <w:rsid w:val="00A11E34"/>
    <w:rsid w:val="00A22A6B"/>
    <w:rsid w:val="00A4190D"/>
    <w:rsid w:val="00A86AAD"/>
    <w:rsid w:val="00AA7C7D"/>
    <w:rsid w:val="00AD16B7"/>
    <w:rsid w:val="00AF7120"/>
    <w:rsid w:val="00BD43F1"/>
    <w:rsid w:val="00C12D41"/>
    <w:rsid w:val="00C54280"/>
    <w:rsid w:val="00C72F86"/>
    <w:rsid w:val="00CB1E5E"/>
    <w:rsid w:val="00D04E3E"/>
    <w:rsid w:val="00D40023"/>
    <w:rsid w:val="00D83F3B"/>
    <w:rsid w:val="00E00439"/>
    <w:rsid w:val="00E31239"/>
    <w:rsid w:val="00E34B11"/>
    <w:rsid w:val="00E76256"/>
    <w:rsid w:val="00EC15CA"/>
    <w:rsid w:val="00ED5164"/>
    <w:rsid w:val="00F13DE6"/>
    <w:rsid w:val="00F21715"/>
    <w:rsid w:val="00F6231D"/>
    <w:rsid w:val="00F80F01"/>
    <w:rsid w:val="00FC3EDA"/>
    <w:rsid w:val="00FD2D7D"/>
    <w:rsid w:val="00FE2E50"/>
    <w:rsid w:val="577F5F65"/>
    <w:rsid w:val="69DD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427792"/>
  <w15:docId w15:val="{B377DC37-8AC3-41B4-902E-DCBC551AD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qFormat/>
    <w:rPr>
      <w:sz w:val="18"/>
      <w:szCs w:val="18"/>
    </w:rPr>
  </w:style>
  <w:style w:type="character" w:styleId="ab">
    <w:name w:val="Placeholder Text"/>
    <w:basedOn w:val="a0"/>
    <w:autoRedefine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_wang@shu.edu.c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hyperlink" Target="mailto:yangxy@shu.edu.c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3A45655-3859-41B3-844D-A16D07DAC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392</Words>
  <Characters>2235</Characters>
  <Application>Microsoft Office Word</Application>
  <DocSecurity>0</DocSecurity>
  <Lines>18</Lines>
  <Paragraphs>5</Paragraphs>
  <ScaleCrop>false</ScaleCrop>
  <Company>Home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Lin WANG</cp:lastModifiedBy>
  <cp:revision>6</cp:revision>
  <cp:lastPrinted>2024-05-14T04:31:00Z</cp:lastPrinted>
  <dcterms:created xsi:type="dcterms:W3CDTF">2024-06-21T08:17:00Z</dcterms:created>
  <dcterms:modified xsi:type="dcterms:W3CDTF">2024-10-25T09:30:00Z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38CD5453C08A423C8FEAEE39CDD28E5D_13</vt:lpwstr>
  </property>
</Properties>
</file>