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739F" w:rsidRDefault="008B739F" w:rsidP="008B739F">
      <w:pPr>
        <w:rPr>
          <w:rFonts w:ascii="Consolas" w:eastAsia="Times New Roman" w:hAnsi="Consolas" w:cs="Consolas"/>
          <w:b/>
          <w:bCs/>
          <w:sz w:val="24"/>
          <w:szCs w:val="24"/>
          <w:lang w:eastAsia="en-IN"/>
        </w:rPr>
      </w:pPr>
      <w:r w:rsidRPr="00F128C1">
        <w:rPr>
          <w:rFonts w:ascii="Consolas" w:eastAsia="Times New Roman" w:hAnsi="Consolas" w:cs="Consolas"/>
          <w:b/>
          <w:bCs/>
          <w:sz w:val="24"/>
          <w:szCs w:val="24"/>
          <w:lang w:eastAsia="en-IN"/>
        </w:rPr>
        <w:t>Supplementary file</w:t>
      </w:r>
    </w:p>
    <w:p w:rsidR="004A0D76" w:rsidRPr="000F2821" w:rsidRDefault="004A0D76" w:rsidP="004A0D76">
      <w:pPr>
        <w:rPr>
          <w:rFonts w:ascii="Times New Roman" w:hAnsi="Times New Roman" w:cs="Times New Roman"/>
          <w:sz w:val="24"/>
          <w:szCs w:val="24"/>
        </w:rPr>
      </w:pPr>
      <w:r w:rsidRPr="004A0D76">
        <w:rPr>
          <w:rFonts w:ascii="Times New Roman" w:hAnsi="Times New Roman" w:cs="Times New Roman"/>
          <w:b/>
          <w:bCs/>
          <w:sz w:val="24"/>
          <w:szCs w:val="24"/>
        </w:rPr>
        <w:t>Table S1:</w:t>
      </w:r>
      <w:r w:rsidRPr="000F2821">
        <w:rPr>
          <w:rFonts w:ascii="Times New Roman" w:hAnsi="Times New Roman" w:cs="Times New Roman"/>
          <w:sz w:val="24"/>
          <w:szCs w:val="24"/>
        </w:rPr>
        <w:t xml:space="preserve">  Regulation and legislation of biostimulants in different countries </w:t>
      </w:r>
    </w:p>
    <w:tbl>
      <w:tblPr>
        <w:tblStyle w:val="TableGrid"/>
        <w:tblW w:w="9178" w:type="dxa"/>
        <w:tblLook w:val="04A0" w:firstRow="1" w:lastRow="0" w:firstColumn="1" w:lastColumn="0" w:noHBand="0" w:noVBand="1"/>
      </w:tblPr>
      <w:tblGrid>
        <w:gridCol w:w="1870"/>
        <w:gridCol w:w="2537"/>
        <w:gridCol w:w="4771"/>
      </w:tblGrid>
      <w:tr w:rsidR="004A0D76" w:rsidRPr="000F2821" w:rsidTr="00AC2B87">
        <w:trPr>
          <w:trHeight w:val="839"/>
        </w:trPr>
        <w:tc>
          <w:tcPr>
            <w:tcW w:w="1696" w:type="dxa"/>
          </w:tcPr>
          <w:p w:rsidR="004A0D76" w:rsidRPr="000F2821" w:rsidRDefault="004A0D76" w:rsidP="00AC2B87">
            <w:pPr>
              <w:rPr>
                <w:rFonts w:ascii="Times New Roman" w:hAnsi="Times New Roman" w:cs="Times New Roman"/>
                <w:b/>
                <w:bCs/>
                <w:vanish/>
                <w:sz w:val="24"/>
                <w:szCs w:val="24"/>
              </w:rPr>
            </w:pPr>
            <w:r w:rsidRPr="000F2821">
              <w:rPr>
                <w:rFonts w:ascii="Times New Roman" w:hAnsi="Times New Roman" w:cs="Times New Roman"/>
                <w:b/>
                <w:bCs/>
                <w:sz w:val="24"/>
                <w:szCs w:val="24"/>
              </w:rPr>
              <w:t>Country/Region</w:t>
            </w:r>
          </w:p>
        </w:tc>
        <w:tc>
          <w:tcPr>
            <w:tcW w:w="2276" w:type="dxa"/>
          </w:tcPr>
          <w:p w:rsidR="004A0D76" w:rsidRPr="000F2821" w:rsidRDefault="004A0D76" w:rsidP="00AC2B87">
            <w:pPr>
              <w:rPr>
                <w:rFonts w:ascii="Times New Roman" w:hAnsi="Times New Roman" w:cs="Times New Roman"/>
                <w:b/>
                <w:bCs/>
                <w:sz w:val="24"/>
                <w:szCs w:val="24"/>
              </w:rPr>
            </w:pPr>
            <w:r w:rsidRPr="000F2821">
              <w:rPr>
                <w:rFonts w:ascii="Times New Roman" w:hAnsi="Times New Roman" w:cs="Times New Roman"/>
                <w:b/>
                <w:bCs/>
                <w:sz w:val="24"/>
                <w:szCs w:val="24"/>
              </w:rPr>
              <w:t>Legislation/Regulation</w:t>
            </w:r>
          </w:p>
          <w:p w:rsidR="004A0D76" w:rsidRPr="0030296D" w:rsidRDefault="004A0D76" w:rsidP="00AC2B87">
            <w:pPr>
              <w:rPr>
                <w:rFonts w:ascii="Times New Roman" w:hAnsi="Times New Roman" w:cs="Times New Roman"/>
                <w:b/>
                <w:bCs/>
                <w:vanish/>
                <w:sz w:val="23"/>
                <w:szCs w:val="23"/>
              </w:rPr>
            </w:pPr>
            <w:r w:rsidRPr="0030296D">
              <w:rPr>
                <w:rFonts w:ascii="Times New Roman" w:hAnsi="Times New Roman" w:cs="Times New Roman"/>
                <w:b/>
                <w:bCs/>
                <w:sz w:val="23"/>
                <w:szCs w:val="23"/>
              </w:rPr>
              <w:t>(Regulatory authority)</w:t>
            </w:r>
            <w:r w:rsidRPr="0030296D">
              <w:rPr>
                <w:rFonts w:ascii="Times New Roman" w:hAnsi="Times New Roman" w:cs="Times New Roman"/>
                <w:b/>
                <w:bCs/>
                <w:vanish/>
                <w:sz w:val="23"/>
                <w:szCs w:val="23"/>
              </w:rPr>
              <w:t>(</w:t>
            </w:r>
          </w:p>
        </w:tc>
        <w:tc>
          <w:tcPr>
            <w:tcW w:w="5206" w:type="dxa"/>
          </w:tcPr>
          <w:p w:rsidR="004A0D76" w:rsidRPr="000F2821" w:rsidRDefault="004A0D76" w:rsidP="00AC2B87">
            <w:pPr>
              <w:rPr>
                <w:rFonts w:ascii="Times New Roman" w:hAnsi="Times New Roman" w:cs="Times New Roman"/>
                <w:b/>
                <w:bCs/>
                <w:vanish/>
                <w:sz w:val="24"/>
                <w:szCs w:val="24"/>
              </w:rPr>
            </w:pPr>
            <w:r w:rsidRPr="000F2821">
              <w:rPr>
                <w:rFonts w:ascii="Times New Roman" w:hAnsi="Times New Roman" w:cs="Times New Roman"/>
                <w:b/>
                <w:bCs/>
                <w:sz w:val="24"/>
                <w:szCs w:val="24"/>
              </w:rPr>
              <w:t>Key points</w:t>
            </w:r>
          </w:p>
        </w:tc>
      </w:tr>
      <w:tr w:rsidR="004A0D76" w:rsidRPr="000F2821" w:rsidTr="00AC2B87">
        <w:trPr>
          <w:trHeight w:val="2518"/>
        </w:trPr>
        <w:tc>
          <w:tcPr>
            <w:tcW w:w="1696" w:type="dxa"/>
          </w:tcPr>
          <w:p w:rsidR="004A0D76" w:rsidRPr="000F2821" w:rsidRDefault="004A0D76" w:rsidP="00AC2B87">
            <w:pPr>
              <w:rPr>
                <w:rFonts w:ascii="Times New Roman" w:hAnsi="Times New Roman" w:cs="Times New Roman"/>
                <w:sz w:val="24"/>
                <w:szCs w:val="24"/>
              </w:rPr>
            </w:pPr>
            <w:r w:rsidRPr="000F2821">
              <w:rPr>
                <w:rFonts w:ascii="Times New Roman" w:hAnsi="Times New Roman" w:cs="Times New Roman"/>
                <w:sz w:val="24"/>
                <w:szCs w:val="24"/>
              </w:rPr>
              <w:t>European Union</w:t>
            </w:r>
          </w:p>
        </w:tc>
        <w:tc>
          <w:tcPr>
            <w:tcW w:w="2276" w:type="dxa"/>
          </w:tcPr>
          <w:p w:rsidR="004A0D76" w:rsidRPr="000F2821" w:rsidRDefault="004A0D76" w:rsidP="00AC2B87">
            <w:pPr>
              <w:rPr>
                <w:rFonts w:ascii="Times New Roman" w:hAnsi="Times New Roman" w:cs="Times New Roman"/>
                <w:sz w:val="24"/>
                <w:szCs w:val="24"/>
              </w:rPr>
            </w:pPr>
            <w:r w:rsidRPr="000F2821">
              <w:rPr>
                <w:rStyle w:val="Strong"/>
                <w:rFonts w:ascii="Times New Roman" w:hAnsi="Times New Roman" w:cs="Times New Roman"/>
                <w:b w:val="0"/>
                <w:bCs w:val="0"/>
                <w:sz w:val="24"/>
                <w:szCs w:val="24"/>
              </w:rPr>
              <w:t xml:space="preserve">EU Fertilising Products Regulation </w:t>
            </w:r>
            <w:r w:rsidRPr="000F2821">
              <w:rPr>
                <w:rFonts w:ascii="Times New Roman" w:hAnsi="Times New Roman" w:cs="Times New Roman"/>
                <w:sz w:val="24"/>
                <w:szCs w:val="24"/>
              </w:rPr>
              <w:t>(Regulation (EU) 2019/1009)</w:t>
            </w:r>
          </w:p>
          <w:p w:rsidR="004A0D76" w:rsidRPr="000F2821" w:rsidRDefault="004A0D76" w:rsidP="00AC2B87">
            <w:pPr>
              <w:rPr>
                <w:rFonts w:ascii="Times New Roman" w:hAnsi="Times New Roman" w:cs="Times New Roman"/>
                <w:sz w:val="24"/>
                <w:szCs w:val="24"/>
              </w:rPr>
            </w:pPr>
          </w:p>
          <w:p w:rsidR="004A0D76" w:rsidRPr="000F2821" w:rsidRDefault="004A0D76" w:rsidP="00AC2B87">
            <w:pPr>
              <w:rPr>
                <w:rFonts w:ascii="Times New Roman" w:hAnsi="Times New Roman" w:cs="Times New Roman"/>
                <w:sz w:val="24"/>
                <w:szCs w:val="24"/>
              </w:rPr>
            </w:pPr>
            <w:r w:rsidRPr="000F2821">
              <w:rPr>
                <w:rFonts w:ascii="Times New Roman" w:hAnsi="Times New Roman" w:cs="Times New Roman"/>
                <w:sz w:val="24"/>
                <w:szCs w:val="24"/>
              </w:rPr>
              <w:t>(European Commission)</w:t>
            </w:r>
          </w:p>
        </w:tc>
        <w:tc>
          <w:tcPr>
            <w:tcW w:w="5206" w:type="dxa"/>
          </w:tcPr>
          <w:p w:rsidR="004A0D76" w:rsidRPr="000F2821" w:rsidRDefault="004A0D76" w:rsidP="00AC2B87">
            <w:pPr>
              <w:pStyle w:val="ListParagraph"/>
              <w:numPr>
                <w:ilvl w:val="0"/>
                <w:numId w:val="1"/>
              </w:numPr>
              <w:jc w:val="both"/>
              <w:rPr>
                <w:rFonts w:ascii="Times New Roman" w:hAnsi="Times New Roman" w:cs="Times New Roman"/>
                <w:sz w:val="24"/>
                <w:szCs w:val="24"/>
              </w:rPr>
            </w:pPr>
            <w:r w:rsidRPr="000F2821">
              <w:rPr>
                <w:rFonts w:ascii="Times New Roman" w:hAnsi="Times New Roman" w:cs="Times New Roman"/>
                <w:sz w:val="24"/>
                <w:szCs w:val="24"/>
              </w:rPr>
              <w:t xml:space="preserve">Biostimulants are considered a distinct category apart from fertilizers and pesticides. These are defined as products that enhance one or more characteristics of plants or their rhizosphere, such as nutrient use efficiency, tolerance to abiotic stress, crop yield and </w:t>
            </w:r>
            <w:r w:rsidR="00D970A2">
              <w:rPr>
                <w:rFonts w:ascii="Times New Roman" w:hAnsi="Times New Roman" w:cs="Times New Roman"/>
                <w:sz w:val="24"/>
                <w:szCs w:val="24"/>
              </w:rPr>
              <w:t xml:space="preserve">product </w:t>
            </w:r>
            <w:r w:rsidRPr="000F2821">
              <w:rPr>
                <w:rFonts w:ascii="Times New Roman" w:hAnsi="Times New Roman" w:cs="Times New Roman"/>
                <w:sz w:val="24"/>
                <w:szCs w:val="24"/>
              </w:rPr>
              <w:t>quality, and nutrient availability.</w:t>
            </w:r>
          </w:p>
          <w:p w:rsidR="004A0D76" w:rsidRPr="000F2821" w:rsidRDefault="00B9296C" w:rsidP="00AC2B87">
            <w:pPr>
              <w:pStyle w:val="ListParagraph"/>
              <w:numPr>
                <w:ilvl w:val="0"/>
                <w:numId w:val="1"/>
              </w:numPr>
              <w:rPr>
                <w:rFonts w:ascii="Times New Roman" w:hAnsi="Times New Roman" w:cs="Times New Roman"/>
                <w:color w:val="2B416D"/>
                <w:sz w:val="24"/>
                <w:szCs w:val="24"/>
                <w:shd w:val="clear" w:color="auto" w:fill="EEEEEE"/>
              </w:rPr>
            </w:pPr>
            <w:r>
              <w:rPr>
                <w:rFonts w:ascii="Times New Roman" w:hAnsi="Times New Roman" w:cs="Times New Roman"/>
                <w:sz w:val="24"/>
                <w:szCs w:val="24"/>
              </w:rPr>
              <w:t>Biostimulant registration</w:t>
            </w:r>
            <w:r w:rsidR="004A0D76" w:rsidRPr="000F2821">
              <w:rPr>
                <w:rFonts w:ascii="Times New Roman" w:hAnsi="Times New Roman" w:cs="Times New Roman"/>
                <w:sz w:val="24"/>
                <w:szCs w:val="24"/>
              </w:rPr>
              <w:t xml:space="preserve"> </w:t>
            </w:r>
            <w:r w:rsidR="00D970A2">
              <w:rPr>
                <w:rFonts w:ascii="Times New Roman" w:hAnsi="Times New Roman" w:cs="Times New Roman"/>
                <w:sz w:val="24"/>
                <w:szCs w:val="24"/>
              </w:rPr>
              <w:t>is</w:t>
            </w:r>
            <w:r w:rsidR="004A0D76" w:rsidRPr="000F2821">
              <w:rPr>
                <w:rFonts w:ascii="Times New Roman" w:hAnsi="Times New Roman" w:cs="Times New Roman"/>
                <w:sz w:val="24"/>
                <w:szCs w:val="24"/>
              </w:rPr>
              <w:t xml:space="preserve"> required to meet specific </w:t>
            </w:r>
            <w:proofErr w:type="spellStart"/>
            <w:r w:rsidR="004A0D76" w:rsidRPr="000F2821">
              <w:rPr>
                <w:rFonts w:ascii="Times New Roman" w:hAnsi="Times New Roman" w:cs="Times New Roman"/>
                <w:sz w:val="24"/>
                <w:szCs w:val="24"/>
              </w:rPr>
              <w:t>labeling</w:t>
            </w:r>
            <w:proofErr w:type="spellEnd"/>
            <w:r w:rsidR="004A0D76" w:rsidRPr="000F2821">
              <w:rPr>
                <w:rFonts w:ascii="Times New Roman" w:hAnsi="Times New Roman" w:cs="Times New Roman"/>
                <w:sz w:val="24"/>
                <w:szCs w:val="24"/>
              </w:rPr>
              <w:t xml:space="preserve">, safety, efficacy, and contaminant standards, including limits on heavy metals. </w:t>
            </w:r>
          </w:p>
          <w:p w:rsidR="004A0D76" w:rsidRPr="000F2821" w:rsidRDefault="004A0D76" w:rsidP="00AC2B87">
            <w:pPr>
              <w:pStyle w:val="ListParagraph"/>
              <w:numPr>
                <w:ilvl w:val="0"/>
                <w:numId w:val="1"/>
              </w:numPr>
              <w:rPr>
                <w:rFonts w:ascii="Times New Roman" w:hAnsi="Times New Roman" w:cs="Times New Roman"/>
                <w:color w:val="2B416D"/>
                <w:sz w:val="24"/>
                <w:szCs w:val="24"/>
                <w:shd w:val="clear" w:color="auto" w:fill="EEEEEE"/>
              </w:rPr>
            </w:pPr>
            <w:r w:rsidRPr="000F2821">
              <w:rPr>
                <w:rFonts w:ascii="Times New Roman" w:hAnsi="Times New Roman" w:cs="Times New Roman"/>
                <w:sz w:val="24"/>
                <w:szCs w:val="24"/>
              </w:rPr>
              <w:t>Once a biostimulant is granted an EU-type certificate, the marketer can affix the CE mark, and the product will have access to the whole EU market.</w:t>
            </w:r>
          </w:p>
          <w:p w:rsidR="004A0D76" w:rsidRPr="000F2821" w:rsidRDefault="004A0D76" w:rsidP="00AC2B87">
            <w:pPr>
              <w:pStyle w:val="ListParagraph"/>
              <w:numPr>
                <w:ilvl w:val="0"/>
                <w:numId w:val="1"/>
              </w:numPr>
              <w:rPr>
                <w:rFonts w:ascii="Times New Roman" w:hAnsi="Times New Roman" w:cs="Times New Roman"/>
                <w:sz w:val="24"/>
                <w:szCs w:val="24"/>
              </w:rPr>
            </w:pPr>
            <w:r w:rsidRPr="000F2821">
              <w:rPr>
                <w:rFonts w:ascii="Times New Roman" w:hAnsi="Times New Roman" w:cs="Times New Roman"/>
                <w:sz w:val="24"/>
                <w:szCs w:val="24"/>
              </w:rPr>
              <w:t>Enforced from July 2022, providing a uniform regulatory framework was provided across the EU.</w:t>
            </w:r>
          </w:p>
        </w:tc>
        <w:bookmarkStart w:id="0" w:name="_GoBack"/>
        <w:bookmarkEnd w:id="0"/>
      </w:tr>
      <w:tr w:rsidR="004A0D76" w:rsidRPr="000F2821" w:rsidTr="00AC2B87">
        <w:trPr>
          <w:trHeight w:val="2681"/>
        </w:trPr>
        <w:tc>
          <w:tcPr>
            <w:tcW w:w="1696" w:type="dxa"/>
          </w:tcPr>
          <w:p w:rsidR="004A0D76" w:rsidRPr="000F2821" w:rsidRDefault="004A0D76" w:rsidP="00AC2B87">
            <w:pPr>
              <w:rPr>
                <w:rFonts w:ascii="Times New Roman" w:hAnsi="Times New Roman" w:cs="Times New Roman"/>
                <w:sz w:val="24"/>
                <w:szCs w:val="24"/>
              </w:rPr>
            </w:pPr>
            <w:r w:rsidRPr="000F2821">
              <w:rPr>
                <w:rFonts w:ascii="Times New Roman" w:hAnsi="Times New Roman" w:cs="Times New Roman"/>
                <w:sz w:val="24"/>
                <w:szCs w:val="24"/>
              </w:rPr>
              <w:t>United States</w:t>
            </w:r>
          </w:p>
        </w:tc>
        <w:tc>
          <w:tcPr>
            <w:tcW w:w="2276" w:type="dxa"/>
          </w:tcPr>
          <w:p w:rsidR="004A0D76" w:rsidRPr="000F2821" w:rsidRDefault="004A0D76" w:rsidP="00AC2B87">
            <w:pPr>
              <w:rPr>
                <w:rFonts w:ascii="Times New Roman" w:hAnsi="Times New Roman" w:cs="Times New Roman"/>
                <w:sz w:val="24"/>
                <w:szCs w:val="24"/>
              </w:rPr>
            </w:pPr>
            <w:r w:rsidRPr="000F2821">
              <w:rPr>
                <w:rFonts w:ascii="Times New Roman" w:hAnsi="Times New Roman" w:cs="Times New Roman"/>
                <w:sz w:val="24"/>
                <w:szCs w:val="24"/>
              </w:rPr>
              <w:t>Guidance on Plant Biostimulants</w:t>
            </w:r>
          </w:p>
          <w:p w:rsidR="004A0D76" w:rsidRPr="000F2821" w:rsidRDefault="004A0D76" w:rsidP="00AC2B87">
            <w:pPr>
              <w:rPr>
                <w:rFonts w:ascii="Times New Roman" w:hAnsi="Times New Roman" w:cs="Times New Roman"/>
                <w:sz w:val="24"/>
                <w:szCs w:val="24"/>
              </w:rPr>
            </w:pPr>
          </w:p>
          <w:p w:rsidR="004A0D76" w:rsidRPr="000F2821" w:rsidRDefault="004A0D76" w:rsidP="00AC2B87">
            <w:pPr>
              <w:rPr>
                <w:rFonts w:ascii="Times New Roman" w:hAnsi="Times New Roman" w:cs="Times New Roman"/>
                <w:sz w:val="24"/>
                <w:szCs w:val="24"/>
              </w:rPr>
            </w:pPr>
            <w:r w:rsidRPr="000F2821">
              <w:rPr>
                <w:rFonts w:ascii="Times New Roman" w:hAnsi="Times New Roman" w:cs="Times New Roman"/>
                <w:sz w:val="24"/>
                <w:szCs w:val="24"/>
              </w:rPr>
              <w:t>(USDA, EPA)</w:t>
            </w:r>
          </w:p>
        </w:tc>
        <w:tc>
          <w:tcPr>
            <w:tcW w:w="5206" w:type="dxa"/>
          </w:tcPr>
          <w:p w:rsidR="00D970A2" w:rsidRDefault="00D970A2" w:rsidP="002645B4">
            <w:pPr>
              <w:pStyle w:val="ListParagraph"/>
              <w:numPr>
                <w:ilvl w:val="0"/>
                <w:numId w:val="2"/>
              </w:numPr>
              <w:rPr>
                <w:rFonts w:ascii="Times New Roman" w:hAnsi="Times New Roman" w:cs="Times New Roman"/>
                <w:sz w:val="24"/>
                <w:szCs w:val="24"/>
              </w:rPr>
            </w:pPr>
            <w:r w:rsidRPr="00D970A2">
              <w:rPr>
                <w:rFonts w:ascii="Times New Roman" w:hAnsi="Times New Roman" w:cs="Times New Roman"/>
                <w:sz w:val="24"/>
                <w:szCs w:val="24"/>
              </w:rPr>
              <w:t xml:space="preserve">The Plant </w:t>
            </w:r>
            <w:r w:rsidRPr="00D970A2">
              <w:rPr>
                <w:rStyle w:val="Emphasis"/>
                <w:rFonts w:ascii="Times New Roman" w:hAnsi="Times New Roman" w:cs="Times New Roman"/>
                <w:sz w:val="24"/>
                <w:szCs w:val="24"/>
              </w:rPr>
              <w:t xml:space="preserve">Biostimulant </w:t>
            </w:r>
            <w:r w:rsidR="00C21F53">
              <w:rPr>
                <w:rStyle w:val="Emphasis"/>
                <w:rFonts w:ascii="Times New Roman" w:hAnsi="Times New Roman" w:cs="Times New Roman"/>
                <w:sz w:val="24"/>
                <w:szCs w:val="24"/>
              </w:rPr>
              <w:t>A</w:t>
            </w:r>
            <w:r w:rsidRPr="00D970A2">
              <w:rPr>
                <w:rStyle w:val="Emphasis"/>
                <w:rFonts w:ascii="Times New Roman" w:hAnsi="Times New Roman" w:cs="Times New Roman"/>
                <w:sz w:val="24"/>
                <w:szCs w:val="24"/>
              </w:rPr>
              <w:t xml:space="preserve">ct </w:t>
            </w:r>
            <w:r w:rsidRPr="00D970A2">
              <w:rPr>
                <w:rStyle w:val="Emphasis"/>
                <w:rFonts w:ascii="Times New Roman" w:hAnsi="Times New Roman" w:cs="Times New Roman"/>
                <w:i w:val="0"/>
                <w:iCs w:val="0"/>
                <w:sz w:val="24"/>
                <w:szCs w:val="24"/>
              </w:rPr>
              <w:t>was</w:t>
            </w:r>
            <w:r w:rsidRPr="00D970A2">
              <w:rPr>
                <w:rStyle w:val="Emphasis"/>
                <w:rFonts w:ascii="Times New Roman" w:hAnsi="Times New Roman" w:cs="Times New Roman"/>
                <w:sz w:val="24"/>
                <w:szCs w:val="24"/>
              </w:rPr>
              <w:t xml:space="preserve"> </w:t>
            </w:r>
            <w:r w:rsidRPr="00D970A2">
              <w:rPr>
                <w:rFonts w:ascii="Times New Roman" w:hAnsi="Times New Roman" w:cs="Times New Roman"/>
                <w:sz w:val="24"/>
                <w:szCs w:val="24"/>
              </w:rPr>
              <w:t xml:space="preserve">proposed to create a federal definition and clear regulatory pathway for biostimulants, but it has not yet passed. </w:t>
            </w:r>
            <w:r w:rsidRPr="00D970A2">
              <w:rPr>
                <w:rFonts w:ascii="Times New Roman" w:hAnsi="Times New Roman" w:cs="Times New Roman"/>
                <w:sz w:val="24"/>
                <w:szCs w:val="24"/>
              </w:rPr>
              <w:t xml:space="preserve">Hence, </w:t>
            </w:r>
            <w:r>
              <w:rPr>
                <w:rFonts w:ascii="Times New Roman" w:hAnsi="Times New Roman" w:cs="Times New Roman"/>
                <w:sz w:val="24"/>
                <w:szCs w:val="24"/>
              </w:rPr>
              <w:t>USA</w:t>
            </w:r>
            <w:r w:rsidR="004A0D76" w:rsidRPr="00D970A2">
              <w:rPr>
                <w:rFonts w:ascii="Times New Roman" w:hAnsi="Times New Roman" w:cs="Times New Roman"/>
                <w:sz w:val="24"/>
                <w:szCs w:val="24"/>
              </w:rPr>
              <w:t xml:space="preserve"> lacks a federal definition for biostimulants. </w:t>
            </w:r>
          </w:p>
          <w:p w:rsidR="004A0D76" w:rsidRPr="000F2821" w:rsidRDefault="00D970A2" w:rsidP="00D970A2">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P</w:t>
            </w:r>
            <w:r w:rsidR="004A0D76" w:rsidRPr="00D970A2">
              <w:rPr>
                <w:rFonts w:ascii="Times New Roman" w:hAnsi="Times New Roman" w:cs="Times New Roman"/>
                <w:sz w:val="24"/>
                <w:szCs w:val="24"/>
              </w:rPr>
              <w:t xml:space="preserve">roducts are regulated based on their primary claims on their primary claims. If products claim to promote growth, the USDA regulates them; if pest control claims, then the EPA handles them. </w:t>
            </w:r>
          </w:p>
        </w:tc>
      </w:tr>
      <w:tr w:rsidR="004A0D76" w:rsidRPr="000F2821" w:rsidTr="00AC2B87">
        <w:trPr>
          <w:trHeight w:val="279"/>
        </w:trPr>
        <w:tc>
          <w:tcPr>
            <w:tcW w:w="1696" w:type="dxa"/>
          </w:tcPr>
          <w:p w:rsidR="004A0D76" w:rsidRPr="000F2821" w:rsidRDefault="004A0D76" w:rsidP="00AC2B87">
            <w:pPr>
              <w:rPr>
                <w:rFonts w:ascii="Times New Roman" w:hAnsi="Times New Roman" w:cs="Times New Roman"/>
                <w:sz w:val="24"/>
                <w:szCs w:val="24"/>
              </w:rPr>
            </w:pPr>
            <w:r w:rsidRPr="000F2821">
              <w:rPr>
                <w:rFonts w:ascii="Times New Roman" w:hAnsi="Times New Roman" w:cs="Times New Roman"/>
                <w:sz w:val="24"/>
                <w:szCs w:val="24"/>
              </w:rPr>
              <w:t>India</w:t>
            </w:r>
          </w:p>
        </w:tc>
        <w:tc>
          <w:tcPr>
            <w:tcW w:w="2276" w:type="dxa"/>
          </w:tcPr>
          <w:p w:rsidR="004A0D76" w:rsidRPr="000F2821" w:rsidRDefault="004A0D76" w:rsidP="00AC2B87">
            <w:pPr>
              <w:rPr>
                <w:rFonts w:ascii="Times New Roman" w:hAnsi="Times New Roman" w:cs="Times New Roman"/>
                <w:sz w:val="24"/>
                <w:szCs w:val="24"/>
              </w:rPr>
            </w:pPr>
            <w:r w:rsidRPr="000F2821">
              <w:rPr>
                <w:rStyle w:val="Strong"/>
                <w:rFonts w:ascii="Times New Roman" w:hAnsi="Times New Roman" w:cs="Times New Roman"/>
                <w:b w:val="0"/>
                <w:bCs w:val="0"/>
                <w:sz w:val="24"/>
                <w:szCs w:val="24"/>
              </w:rPr>
              <w:t>Fertilizer (Control) Order, 1985</w:t>
            </w:r>
            <w:r w:rsidRPr="000F2821">
              <w:rPr>
                <w:rFonts w:ascii="Times New Roman" w:hAnsi="Times New Roman" w:cs="Times New Roman"/>
                <w:sz w:val="24"/>
                <w:szCs w:val="24"/>
              </w:rPr>
              <w:t xml:space="preserve"> (amended 2021)</w:t>
            </w:r>
          </w:p>
          <w:p w:rsidR="004A0D76" w:rsidRPr="000F2821" w:rsidRDefault="004A0D76" w:rsidP="00AC2B87">
            <w:pPr>
              <w:rPr>
                <w:rFonts w:ascii="Times New Roman" w:hAnsi="Times New Roman" w:cs="Times New Roman"/>
                <w:sz w:val="24"/>
                <w:szCs w:val="24"/>
              </w:rPr>
            </w:pPr>
          </w:p>
          <w:p w:rsidR="004A0D76" w:rsidRPr="000F2821" w:rsidRDefault="004A0D76" w:rsidP="00AC2B87">
            <w:pPr>
              <w:rPr>
                <w:rFonts w:ascii="Times New Roman" w:hAnsi="Times New Roman" w:cs="Times New Roman"/>
                <w:sz w:val="24"/>
                <w:szCs w:val="24"/>
              </w:rPr>
            </w:pPr>
            <w:r w:rsidRPr="000F2821">
              <w:rPr>
                <w:rFonts w:ascii="Times New Roman" w:hAnsi="Times New Roman" w:cs="Times New Roman"/>
                <w:sz w:val="24"/>
                <w:szCs w:val="24"/>
              </w:rPr>
              <w:t>(Central biostimulants Committee)</w:t>
            </w:r>
          </w:p>
        </w:tc>
        <w:tc>
          <w:tcPr>
            <w:tcW w:w="5206" w:type="dxa"/>
          </w:tcPr>
          <w:p w:rsidR="004A0D76" w:rsidRPr="000F2821" w:rsidRDefault="004A0D76" w:rsidP="00AC2B87">
            <w:pPr>
              <w:pStyle w:val="ListParagraph"/>
              <w:numPr>
                <w:ilvl w:val="0"/>
                <w:numId w:val="3"/>
              </w:numPr>
              <w:rPr>
                <w:rFonts w:ascii="Times New Roman" w:hAnsi="Times New Roman" w:cs="Times New Roman"/>
                <w:sz w:val="24"/>
                <w:szCs w:val="24"/>
              </w:rPr>
            </w:pPr>
            <w:r w:rsidRPr="000F2821">
              <w:rPr>
                <w:rFonts w:ascii="Times New Roman" w:hAnsi="Times New Roman" w:cs="Times New Roman"/>
                <w:sz w:val="24"/>
                <w:szCs w:val="24"/>
              </w:rPr>
              <w:t>Biostimulants are formally recognized as distinct products from fertilizers and pesticides.</w:t>
            </w:r>
          </w:p>
          <w:p w:rsidR="004A0D76" w:rsidRPr="000F2821" w:rsidRDefault="004A0D76" w:rsidP="00AC2B87">
            <w:pPr>
              <w:pStyle w:val="ListParagraph"/>
              <w:numPr>
                <w:ilvl w:val="0"/>
                <w:numId w:val="3"/>
              </w:numPr>
              <w:rPr>
                <w:rFonts w:ascii="Times New Roman" w:hAnsi="Times New Roman" w:cs="Times New Roman"/>
                <w:sz w:val="24"/>
                <w:szCs w:val="24"/>
              </w:rPr>
            </w:pPr>
            <w:r w:rsidRPr="000F2821">
              <w:rPr>
                <w:rFonts w:ascii="Times New Roman" w:hAnsi="Times New Roman" w:cs="Times New Roman"/>
                <w:sz w:val="24"/>
                <w:szCs w:val="24"/>
              </w:rPr>
              <w:t xml:space="preserve">Defined biostimulants as </w:t>
            </w:r>
            <w:r w:rsidR="00F5185F">
              <w:rPr>
                <w:rFonts w:ascii="Times New Roman" w:hAnsi="Times New Roman" w:cs="Times New Roman"/>
                <w:sz w:val="24"/>
                <w:szCs w:val="24"/>
              </w:rPr>
              <w:t>substances</w:t>
            </w:r>
            <w:r w:rsidRPr="000F2821">
              <w:rPr>
                <w:rFonts w:ascii="Times New Roman" w:hAnsi="Times New Roman" w:cs="Times New Roman"/>
                <w:sz w:val="24"/>
                <w:szCs w:val="24"/>
              </w:rPr>
              <w:t xml:space="preserve"> or </w:t>
            </w:r>
            <w:r w:rsidR="00F5185F">
              <w:rPr>
                <w:rFonts w:ascii="Times New Roman" w:hAnsi="Times New Roman" w:cs="Times New Roman"/>
                <w:sz w:val="24"/>
                <w:szCs w:val="24"/>
              </w:rPr>
              <w:t>microorganisms</w:t>
            </w:r>
            <w:r w:rsidRPr="000F2821">
              <w:rPr>
                <w:rFonts w:ascii="Times New Roman" w:hAnsi="Times New Roman" w:cs="Times New Roman"/>
                <w:sz w:val="24"/>
                <w:szCs w:val="24"/>
              </w:rPr>
              <w:t xml:space="preserve"> or a combination of both that stimulate physiological processes in plants and improve plant growth, yield, crop quality, nutrient uptake, and tolerance to stress without being directly nutritive. </w:t>
            </w:r>
          </w:p>
          <w:p w:rsidR="004A0D76" w:rsidRPr="000F2821" w:rsidRDefault="004A0D76" w:rsidP="00AC2B87">
            <w:pPr>
              <w:pStyle w:val="ListParagraph"/>
              <w:numPr>
                <w:ilvl w:val="0"/>
                <w:numId w:val="3"/>
              </w:numPr>
              <w:rPr>
                <w:rFonts w:ascii="Times New Roman" w:hAnsi="Times New Roman" w:cs="Times New Roman"/>
                <w:sz w:val="24"/>
                <w:szCs w:val="24"/>
              </w:rPr>
            </w:pPr>
            <w:r w:rsidRPr="000F2821">
              <w:rPr>
                <w:rFonts w:ascii="Times New Roman" w:hAnsi="Times New Roman" w:cs="Times New Roman"/>
                <w:sz w:val="24"/>
                <w:szCs w:val="24"/>
              </w:rPr>
              <w:t xml:space="preserve">All biostimulants must be registered with CBC, including detailed information on composition, application, and safety. </w:t>
            </w:r>
          </w:p>
          <w:p w:rsidR="004A0D76" w:rsidRPr="000F2821" w:rsidRDefault="004A0D76" w:rsidP="00AC2B87">
            <w:pPr>
              <w:pStyle w:val="ListParagraph"/>
              <w:numPr>
                <w:ilvl w:val="0"/>
                <w:numId w:val="3"/>
              </w:numPr>
              <w:rPr>
                <w:rFonts w:ascii="Times New Roman" w:hAnsi="Times New Roman" w:cs="Times New Roman"/>
                <w:sz w:val="24"/>
                <w:szCs w:val="24"/>
              </w:rPr>
            </w:pPr>
            <w:r w:rsidRPr="000F2821">
              <w:rPr>
                <w:rFonts w:ascii="Times New Roman" w:hAnsi="Times New Roman" w:cs="Times New Roman"/>
                <w:sz w:val="24"/>
                <w:szCs w:val="24"/>
              </w:rPr>
              <w:lastRenderedPageBreak/>
              <w:t xml:space="preserve">Labels must include information on active ingredients, application rates, and the biostimulant effect. </w:t>
            </w:r>
          </w:p>
          <w:p w:rsidR="004A0D76" w:rsidRPr="000F2821" w:rsidRDefault="004A0D76" w:rsidP="00AC2B87">
            <w:pPr>
              <w:pStyle w:val="ListParagraph"/>
              <w:numPr>
                <w:ilvl w:val="0"/>
                <w:numId w:val="3"/>
              </w:numPr>
              <w:rPr>
                <w:rFonts w:ascii="Times New Roman" w:hAnsi="Times New Roman" w:cs="Times New Roman"/>
                <w:sz w:val="24"/>
                <w:szCs w:val="24"/>
              </w:rPr>
            </w:pPr>
            <w:r w:rsidRPr="000F2821">
              <w:rPr>
                <w:rFonts w:ascii="Times New Roman" w:hAnsi="Times New Roman" w:cs="Times New Roman"/>
                <w:sz w:val="24"/>
                <w:szCs w:val="24"/>
              </w:rPr>
              <w:t>Recent amendments introduced specific quality and safety standards for biostimulants, facilitating better market transparency.</w:t>
            </w:r>
          </w:p>
        </w:tc>
      </w:tr>
      <w:tr w:rsidR="004A0D76" w:rsidRPr="000F2821" w:rsidTr="00AC2B87">
        <w:trPr>
          <w:trHeight w:val="279"/>
        </w:trPr>
        <w:tc>
          <w:tcPr>
            <w:tcW w:w="1696" w:type="dxa"/>
          </w:tcPr>
          <w:p w:rsidR="004A0D76" w:rsidRPr="000F2821" w:rsidRDefault="004A0D76" w:rsidP="00AC2B87">
            <w:pPr>
              <w:rPr>
                <w:rFonts w:ascii="Times New Roman" w:hAnsi="Times New Roman" w:cs="Times New Roman"/>
                <w:sz w:val="24"/>
                <w:szCs w:val="24"/>
              </w:rPr>
            </w:pPr>
            <w:r w:rsidRPr="000F2821">
              <w:rPr>
                <w:rFonts w:ascii="Times New Roman" w:hAnsi="Times New Roman" w:cs="Times New Roman"/>
                <w:sz w:val="24"/>
                <w:szCs w:val="24"/>
              </w:rPr>
              <w:lastRenderedPageBreak/>
              <w:t>China</w:t>
            </w:r>
          </w:p>
        </w:tc>
        <w:tc>
          <w:tcPr>
            <w:tcW w:w="2276" w:type="dxa"/>
          </w:tcPr>
          <w:p w:rsidR="004A0D76" w:rsidRPr="000F2821" w:rsidRDefault="004A0D76" w:rsidP="00AC2B87">
            <w:pPr>
              <w:rPr>
                <w:rFonts w:ascii="Times New Roman" w:hAnsi="Times New Roman" w:cs="Times New Roman"/>
                <w:sz w:val="24"/>
                <w:szCs w:val="24"/>
              </w:rPr>
            </w:pPr>
            <w:r w:rsidRPr="000F2821">
              <w:rPr>
                <w:rFonts w:ascii="Times New Roman" w:hAnsi="Times New Roman" w:cs="Times New Roman"/>
                <w:sz w:val="24"/>
                <w:szCs w:val="24"/>
              </w:rPr>
              <w:t>Plant Growth Regulator and Soil Conditioner Regulation</w:t>
            </w:r>
          </w:p>
          <w:p w:rsidR="004A0D76" w:rsidRPr="000F2821" w:rsidRDefault="004A0D76" w:rsidP="00AC2B87">
            <w:pPr>
              <w:rPr>
                <w:rFonts w:ascii="Times New Roman" w:hAnsi="Times New Roman" w:cs="Times New Roman"/>
                <w:sz w:val="24"/>
                <w:szCs w:val="24"/>
              </w:rPr>
            </w:pPr>
            <w:r w:rsidRPr="000F2821">
              <w:rPr>
                <w:rFonts w:ascii="Times New Roman" w:hAnsi="Times New Roman" w:cs="Times New Roman"/>
                <w:sz w:val="24"/>
                <w:szCs w:val="24"/>
              </w:rPr>
              <w:t>(Ministry of Agriculture and Rural Affairs)</w:t>
            </w:r>
          </w:p>
        </w:tc>
        <w:tc>
          <w:tcPr>
            <w:tcW w:w="5206" w:type="dxa"/>
          </w:tcPr>
          <w:p w:rsidR="004A0D76" w:rsidRPr="000F2821" w:rsidRDefault="004A0D76" w:rsidP="00AC2B87">
            <w:pPr>
              <w:pStyle w:val="ListParagraph"/>
              <w:numPr>
                <w:ilvl w:val="0"/>
                <w:numId w:val="4"/>
              </w:numPr>
              <w:rPr>
                <w:rFonts w:ascii="Times New Roman" w:hAnsi="Times New Roman" w:cs="Times New Roman"/>
                <w:sz w:val="24"/>
                <w:szCs w:val="24"/>
              </w:rPr>
            </w:pPr>
            <w:r w:rsidRPr="000F2821">
              <w:rPr>
                <w:rFonts w:ascii="Times New Roman" w:hAnsi="Times New Roman" w:cs="Times New Roman"/>
                <w:sz w:val="24"/>
                <w:szCs w:val="24"/>
              </w:rPr>
              <w:t xml:space="preserve">Currently, there is no explicit definition of biostimulants; products are classified under plant growth regulators or soil conditioners. </w:t>
            </w:r>
          </w:p>
          <w:p w:rsidR="004A0D76" w:rsidRPr="000F2821" w:rsidRDefault="004A0D76" w:rsidP="00AC2B87">
            <w:pPr>
              <w:pStyle w:val="ListParagraph"/>
              <w:numPr>
                <w:ilvl w:val="0"/>
                <w:numId w:val="4"/>
              </w:numPr>
              <w:rPr>
                <w:rFonts w:ascii="Times New Roman" w:hAnsi="Times New Roman" w:cs="Times New Roman"/>
                <w:sz w:val="24"/>
                <w:szCs w:val="24"/>
              </w:rPr>
            </w:pPr>
            <w:r w:rsidRPr="000F2821">
              <w:rPr>
                <w:rFonts w:ascii="Times New Roman" w:hAnsi="Times New Roman" w:cs="Times New Roman"/>
                <w:sz w:val="24"/>
                <w:szCs w:val="24"/>
              </w:rPr>
              <w:t xml:space="preserve">Registration and adherence to safety standards are required, particularly concerning product contaminants. </w:t>
            </w:r>
          </w:p>
        </w:tc>
      </w:tr>
      <w:tr w:rsidR="004A0D76" w:rsidRPr="000F2821" w:rsidTr="00AC2B87">
        <w:trPr>
          <w:trHeight w:val="279"/>
        </w:trPr>
        <w:tc>
          <w:tcPr>
            <w:tcW w:w="1696" w:type="dxa"/>
          </w:tcPr>
          <w:p w:rsidR="004A0D76" w:rsidRPr="000F2821" w:rsidRDefault="004A0D76" w:rsidP="00AC2B87">
            <w:pPr>
              <w:rPr>
                <w:rFonts w:ascii="Times New Roman" w:hAnsi="Times New Roman" w:cs="Times New Roman"/>
                <w:sz w:val="24"/>
                <w:szCs w:val="24"/>
              </w:rPr>
            </w:pPr>
            <w:r w:rsidRPr="000F2821">
              <w:rPr>
                <w:rFonts w:ascii="Times New Roman" w:hAnsi="Times New Roman" w:cs="Times New Roman"/>
                <w:sz w:val="24"/>
                <w:szCs w:val="24"/>
              </w:rPr>
              <w:t>Brazil</w:t>
            </w:r>
          </w:p>
        </w:tc>
        <w:tc>
          <w:tcPr>
            <w:tcW w:w="2276" w:type="dxa"/>
          </w:tcPr>
          <w:p w:rsidR="004A0D76" w:rsidRPr="000F2821" w:rsidRDefault="004A0D76" w:rsidP="00AC2B87">
            <w:pPr>
              <w:rPr>
                <w:rFonts w:ascii="Times New Roman" w:hAnsi="Times New Roman" w:cs="Times New Roman"/>
                <w:sz w:val="24"/>
                <w:szCs w:val="24"/>
              </w:rPr>
            </w:pPr>
            <w:r w:rsidRPr="000F2821">
              <w:rPr>
                <w:rFonts w:ascii="Times New Roman" w:hAnsi="Times New Roman" w:cs="Times New Roman"/>
                <w:sz w:val="24"/>
                <w:szCs w:val="24"/>
              </w:rPr>
              <w:t xml:space="preserve">Lei 6.894/1980  </w:t>
            </w:r>
          </w:p>
          <w:p w:rsidR="004A0D76" w:rsidRPr="000F2821" w:rsidRDefault="004A0D76" w:rsidP="00AC2B87">
            <w:pPr>
              <w:rPr>
                <w:rFonts w:ascii="Times New Roman" w:hAnsi="Times New Roman" w:cs="Times New Roman"/>
                <w:sz w:val="24"/>
                <w:szCs w:val="24"/>
              </w:rPr>
            </w:pPr>
          </w:p>
          <w:p w:rsidR="004A0D76" w:rsidRPr="000F2821" w:rsidRDefault="004A0D76" w:rsidP="00AC2B87">
            <w:pPr>
              <w:rPr>
                <w:rFonts w:ascii="Times New Roman" w:hAnsi="Times New Roman" w:cs="Times New Roman"/>
                <w:sz w:val="24"/>
                <w:szCs w:val="24"/>
              </w:rPr>
            </w:pPr>
            <w:r w:rsidRPr="000F2821">
              <w:rPr>
                <w:rFonts w:ascii="Times New Roman" w:hAnsi="Times New Roman" w:cs="Times New Roman"/>
                <w:sz w:val="24"/>
                <w:szCs w:val="24"/>
              </w:rPr>
              <w:t>(Ministry of Agriculture, and Livestock)</w:t>
            </w:r>
          </w:p>
        </w:tc>
        <w:tc>
          <w:tcPr>
            <w:tcW w:w="5206" w:type="dxa"/>
          </w:tcPr>
          <w:p w:rsidR="004A0D76" w:rsidRPr="000F2821" w:rsidRDefault="004A0D76" w:rsidP="004A0D76">
            <w:pPr>
              <w:pStyle w:val="ListParagraph"/>
              <w:numPr>
                <w:ilvl w:val="0"/>
                <w:numId w:val="6"/>
              </w:numPr>
              <w:shd w:val="clear" w:color="auto" w:fill="FFFFFF"/>
              <w:spacing w:after="300"/>
              <w:rPr>
                <w:rFonts w:ascii="Times New Roman" w:hAnsi="Times New Roman" w:cs="Times New Roman"/>
                <w:sz w:val="24"/>
                <w:szCs w:val="24"/>
              </w:rPr>
            </w:pPr>
            <w:r w:rsidRPr="000F2821">
              <w:rPr>
                <w:rFonts w:ascii="Times New Roman" w:hAnsi="Times New Roman" w:cs="Times New Roman"/>
                <w:sz w:val="24"/>
                <w:szCs w:val="24"/>
              </w:rPr>
              <w:t xml:space="preserve">Biostimulants are classified under the Lei 6.894/1980 as Inoculant: substance containing microorganisms with an action </w:t>
            </w:r>
            <w:proofErr w:type="spellStart"/>
            <w:r w:rsidRPr="000F2821">
              <w:rPr>
                <w:rFonts w:ascii="Times New Roman" w:hAnsi="Times New Roman" w:cs="Times New Roman"/>
                <w:sz w:val="24"/>
                <w:szCs w:val="24"/>
              </w:rPr>
              <w:t>favorable</w:t>
            </w:r>
            <w:proofErr w:type="spellEnd"/>
            <w:r w:rsidRPr="000F2821">
              <w:rPr>
                <w:rFonts w:ascii="Times New Roman" w:hAnsi="Times New Roman" w:cs="Times New Roman"/>
                <w:sz w:val="24"/>
                <w:szCs w:val="24"/>
              </w:rPr>
              <w:t xml:space="preserve"> to plant development and stimulant or biofertilizer: product containing an active ingredient capable of improving, directly or indirectly, the development of plants.</w:t>
            </w:r>
          </w:p>
          <w:p w:rsidR="004A0D76" w:rsidRPr="000F2821" w:rsidRDefault="004A0D76" w:rsidP="00AC2B87">
            <w:pPr>
              <w:pStyle w:val="ListParagraph"/>
              <w:numPr>
                <w:ilvl w:val="0"/>
                <w:numId w:val="5"/>
              </w:numPr>
              <w:rPr>
                <w:rFonts w:ascii="Times New Roman" w:hAnsi="Times New Roman" w:cs="Times New Roman"/>
                <w:sz w:val="24"/>
                <w:szCs w:val="24"/>
              </w:rPr>
            </w:pPr>
            <w:r w:rsidRPr="000F2821">
              <w:rPr>
                <w:rFonts w:ascii="Times New Roman" w:hAnsi="Times New Roman" w:cs="Times New Roman"/>
                <w:sz w:val="24"/>
                <w:szCs w:val="24"/>
              </w:rPr>
              <w:t xml:space="preserve">Registration is mandatory, with </w:t>
            </w:r>
            <w:r>
              <w:rPr>
                <w:rFonts w:ascii="Times New Roman" w:hAnsi="Times New Roman" w:cs="Times New Roman"/>
                <w:sz w:val="24"/>
                <w:szCs w:val="24"/>
              </w:rPr>
              <w:t xml:space="preserve">a </w:t>
            </w:r>
            <w:r w:rsidRPr="000F2821">
              <w:rPr>
                <w:rFonts w:ascii="Times New Roman" w:hAnsi="Times New Roman" w:cs="Times New Roman"/>
                <w:sz w:val="24"/>
                <w:szCs w:val="24"/>
              </w:rPr>
              <w:t>thorough evaluation of safety, efficacy, and environmental impact before products can enter the market.</w:t>
            </w:r>
          </w:p>
          <w:p w:rsidR="004A0D76" w:rsidRPr="000F2821" w:rsidRDefault="004A0D76" w:rsidP="00AC2B87">
            <w:pPr>
              <w:pStyle w:val="ListParagraph"/>
              <w:numPr>
                <w:ilvl w:val="0"/>
                <w:numId w:val="5"/>
              </w:numPr>
              <w:rPr>
                <w:rFonts w:ascii="Times New Roman" w:hAnsi="Times New Roman" w:cs="Times New Roman"/>
                <w:sz w:val="24"/>
                <w:szCs w:val="24"/>
              </w:rPr>
            </w:pPr>
            <w:r w:rsidRPr="000F2821">
              <w:rPr>
                <w:rFonts w:ascii="Times New Roman" w:hAnsi="Times New Roman" w:cs="Times New Roman"/>
                <w:sz w:val="24"/>
                <w:szCs w:val="24"/>
              </w:rPr>
              <w:t xml:space="preserve">Manufacturers must adhere to MAPA </w:t>
            </w:r>
            <w:proofErr w:type="spellStart"/>
            <w:r w:rsidRPr="000F2821">
              <w:rPr>
                <w:rFonts w:ascii="Times New Roman" w:hAnsi="Times New Roman" w:cs="Times New Roman"/>
                <w:sz w:val="24"/>
                <w:szCs w:val="24"/>
              </w:rPr>
              <w:t>labeling</w:t>
            </w:r>
            <w:proofErr w:type="spellEnd"/>
            <w:r w:rsidRPr="000F2821">
              <w:rPr>
                <w:rFonts w:ascii="Times New Roman" w:hAnsi="Times New Roman" w:cs="Times New Roman"/>
                <w:sz w:val="24"/>
                <w:szCs w:val="24"/>
              </w:rPr>
              <w:t xml:space="preserve"> requirements, providing clear usage instructions.</w:t>
            </w:r>
          </w:p>
        </w:tc>
      </w:tr>
    </w:tbl>
    <w:p w:rsidR="004A0D76" w:rsidRDefault="004A0D76" w:rsidP="004A0D76"/>
    <w:p w:rsidR="004A0D76" w:rsidRDefault="004A0D76" w:rsidP="004A0D76"/>
    <w:p w:rsidR="004A0D76" w:rsidRDefault="004A0D76" w:rsidP="008B739F">
      <w:pPr>
        <w:rPr>
          <w:rFonts w:ascii="Consolas" w:eastAsia="Times New Roman" w:hAnsi="Consolas" w:cs="Consolas"/>
          <w:b/>
          <w:bCs/>
          <w:sz w:val="24"/>
          <w:szCs w:val="24"/>
          <w:lang w:eastAsia="en-IN"/>
        </w:rPr>
      </w:pPr>
    </w:p>
    <w:p w:rsidR="004A0D76" w:rsidRPr="00F128C1" w:rsidRDefault="004A0D76" w:rsidP="008B739F">
      <w:pPr>
        <w:rPr>
          <w:rFonts w:ascii="Consolas" w:eastAsia="Times New Roman" w:hAnsi="Consolas" w:cs="Consolas"/>
          <w:b/>
          <w:bCs/>
          <w:sz w:val="24"/>
          <w:szCs w:val="24"/>
          <w:lang w:eastAsia="en-IN"/>
        </w:rPr>
      </w:pPr>
    </w:p>
    <w:p w:rsidR="008B739F" w:rsidRPr="00F128C1" w:rsidRDefault="008B739F" w:rsidP="008B739F">
      <w:pPr>
        <w:spacing w:after="0"/>
        <w:jc w:val="both"/>
        <w:rPr>
          <w:rFonts w:ascii="Consolas" w:hAnsi="Consolas" w:cs="Consolas"/>
          <w:b/>
          <w:bCs/>
        </w:rPr>
      </w:pPr>
      <w:r w:rsidRPr="00F128C1">
        <w:rPr>
          <w:rFonts w:ascii="Consolas" w:hAnsi="Consolas" w:cs="Consolas"/>
          <w:b/>
          <w:bCs/>
          <w:noProof/>
          <w:lang w:eastAsia="en-IN"/>
        </w:rPr>
        <w:lastRenderedPageBreak/>
        <w:drawing>
          <wp:inline distT="0" distB="0" distL="0" distR="0" wp14:anchorId="0F047A61" wp14:editId="39D785B9">
            <wp:extent cx="5921375" cy="3075710"/>
            <wp:effectExtent l="19050" t="19050" r="22225" b="1079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BEBA8EAE-BF5A-486C-A8C5-ECC9F3942E4B}">
                          <a14:imgProps xmlns:a14="http://schemas.microsoft.com/office/drawing/2010/main">
                            <a14:imgLayer r:embed="rId6">
                              <a14:imgEffect>
                                <a14:brightnessContrast contrast="-40000"/>
                              </a14:imgEffect>
                            </a14:imgLayer>
                          </a14:imgProps>
                        </a:ext>
                      </a:extLst>
                    </a:blip>
                    <a:stretch>
                      <a:fillRect/>
                    </a:stretch>
                  </pic:blipFill>
                  <pic:spPr>
                    <a:xfrm>
                      <a:off x="0" y="0"/>
                      <a:ext cx="5938723" cy="3084721"/>
                    </a:xfrm>
                    <a:prstGeom prst="rect">
                      <a:avLst/>
                    </a:prstGeom>
                    <a:ln>
                      <a:solidFill>
                        <a:schemeClr val="accent1"/>
                      </a:solidFill>
                    </a:ln>
                  </pic:spPr>
                </pic:pic>
              </a:graphicData>
            </a:graphic>
          </wp:inline>
        </w:drawing>
      </w:r>
    </w:p>
    <w:p w:rsidR="004E7ED1" w:rsidRDefault="008B739F" w:rsidP="008B739F">
      <w:r w:rsidRPr="00F128C1">
        <w:rPr>
          <w:rFonts w:ascii="Consolas" w:hAnsi="Consolas" w:cs="Consolas"/>
          <w:b/>
          <w:bCs/>
        </w:rPr>
        <w:t>Fig</w:t>
      </w:r>
      <w:r>
        <w:rPr>
          <w:rFonts w:ascii="Consolas" w:hAnsi="Consolas" w:cs="Consolas"/>
          <w:b/>
          <w:bCs/>
        </w:rPr>
        <w:t>ure</w:t>
      </w:r>
      <w:r w:rsidRPr="00F128C1">
        <w:rPr>
          <w:rFonts w:ascii="Consolas" w:hAnsi="Consolas" w:cs="Consolas"/>
          <w:b/>
          <w:bCs/>
        </w:rPr>
        <w:t>.S1</w:t>
      </w:r>
      <w:r w:rsidRPr="00F128C1">
        <w:rPr>
          <w:rFonts w:ascii="Consolas" w:hAnsi="Consolas" w:cs="Consolas"/>
        </w:rPr>
        <w:t xml:space="preserve"> Thematic evaluation of biostimulant research</w:t>
      </w:r>
    </w:p>
    <w:sectPr w:rsidR="004E7E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altName w:val="Cambria Math"/>
    <w:panose1 w:val="02040503050203030202"/>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B018B"/>
    <w:multiLevelType w:val="hybridMultilevel"/>
    <w:tmpl w:val="DCA2B10C"/>
    <w:lvl w:ilvl="0" w:tplc="D0C0CAC2">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 w15:restartNumberingAfterBreak="0">
    <w:nsid w:val="06A76EF1"/>
    <w:multiLevelType w:val="hybridMultilevel"/>
    <w:tmpl w:val="96CEC250"/>
    <w:lvl w:ilvl="0" w:tplc="D0C0CAC2">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 w15:restartNumberingAfterBreak="0">
    <w:nsid w:val="2A6C31BA"/>
    <w:multiLevelType w:val="hybridMultilevel"/>
    <w:tmpl w:val="7DF45B3E"/>
    <w:lvl w:ilvl="0" w:tplc="D0C0CAC2">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3A5A4490"/>
    <w:multiLevelType w:val="hybridMultilevel"/>
    <w:tmpl w:val="F79CC916"/>
    <w:lvl w:ilvl="0" w:tplc="D0C0CAC2">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42C703F3"/>
    <w:multiLevelType w:val="hybridMultilevel"/>
    <w:tmpl w:val="686C762E"/>
    <w:lvl w:ilvl="0" w:tplc="D0C0CAC2">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15:restartNumberingAfterBreak="0">
    <w:nsid w:val="6294256A"/>
    <w:multiLevelType w:val="hybridMultilevel"/>
    <w:tmpl w:val="3D5EC7FA"/>
    <w:lvl w:ilvl="0" w:tplc="D0C0CAC2">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7C4"/>
    <w:rsid w:val="00091C64"/>
    <w:rsid w:val="003A17C4"/>
    <w:rsid w:val="004A0D76"/>
    <w:rsid w:val="004E7ED1"/>
    <w:rsid w:val="00551740"/>
    <w:rsid w:val="006F76DC"/>
    <w:rsid w:val="00827CB9"/>
    <w:rsid w:val="008776C9"/>
    <w:rsid w:val="008B739F"/>
    <w:rsid w:val="00B4652E"/>
    <w:rsid w:val="00B9296C"/>
    <w:rsid w:val="00C21F53"/>
    <w:rsid w:val="00D970A2"/>
    <w:rsid w:val="00E6696B"/>
    <w:rsid w:val="00EB43DB"/>
    <w:rsid w:val="00F16669"/>
    <w:rsid w:val="00F5185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0E5472"/>
  <w15:chartTrackingRefBased/>
  <w15:docId w15:val="{4396DB14-1082-4FB8-8F80-D77E37B1B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739F"/>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A0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A0D76"/>
    <w:rPr>
      <w:b/>
      <w:bCs/>
    </w:rPr>
  </w:style>
  <w:style w:type="paragraph" w:styleId="ListParagraph">
    <w:name w:val="List Paragraph"/>
    <w:basedOn w:val="Normal"/>
    <w:uiPriority w:val="34"/>
    <w:qFormat/>
    <w:rsid w:val="004A0D76"/>
    <w:pPr>
      <w:ind w:left="720"/>
      <w:contextualSpacing/>
    </w:pPr>
  </w:style>
  <w:style w:type="character" w:styleId="Emphasis">
    <w:name w:val="Emphasis"/>
    <w:basedOn w:val="DefaultParagraphFont"/>
    <w:uiPriority w:val="20"/>
    <w:qFormat/>
    <w:rsid w:val="004A0D7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426</Words>
  <Characters>2793</Characters>
  <Application>Microsoft Office Word</Application>
  <DocSecurity>0</DocSecurity>
  <Lines>116</Lines>
  <Paragraphs>44</Paragraphs>
  <ScaleCrop>false</ScaleCrop>
  <Company>Grizli777</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DCM</dc:creator>
  <cp:keywords/>
  <dc:description/>
  <cp:lastModifiedBy>DCM</cp:lastModifiedBy>
  <cp:revision>11</cp:revision>
  <dcterms:created xsi:type="dcterms:W3CDTF">2024-06-05T11:47:00Z</dcterms:created>
  <dcterms:modified xsi:type="dcterms:W3CDTF">2024-10-17T10:34:00Z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76b6175cb719918318669a6f17985e8a61443b5fbd58c682eb487e559a372d20</vt:lpwstr>
  </property>
</Properties>
</file>