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20B42" w14:textId="5DB0A9FA" w:rsidR="00654AED" w:rsidRPr="00654AED" w:rsidRDefault="00654AED" w:rsidP="00654AED">
      <w:pPr>
        <w:spacing w:after="0" w:line="240" w:lineRule="auto"/>
        <w:rPr>
          <w:rFonts w:ascii="Times New Roman" w:hAnsi="Times New Roman" w:cs="Times New Roman"/>
          <w:b/>
          <w:bCs/>
          <w:lang w:val="en-GB"/>
        </w:rPr>
      </w:pPr>
      <w:r w:rsidRPr="00654AED">
        <w:rPr>
          <w:rFonts w:ascii="Times New Roman" w:hAnsi="Times New Roman" w:cs="Times New Roman"/>
          <w:b/>
          <w:bCs/>
          <w:lang w:val="en-GB"/>
        </w:rPr>
        <w:t>Appendix S1. Search strategy, screening protocol, and PRISMA 2020</w:t>
      </w:r>
    </w:p>
    <w:p w14:paraId="4E16D1CC" w14:textId="77777777" w:rsidR="00654AED" w:rsidRPr="00654AED" w:rsidRDefault="00654AED" w:rsidP="00654AED">
      <w:pPr>
        <w:spacing w:after="0" w:line="240" w:lineRule="auto"/>
        <w:rPr>
          <w:rFonts w:ascii="Times New Roman" w:hAnsi="Times New Roman" w:cs="Times New Roman"/>
          <w:b/>
          <w:bCs/>
        </w:rPr>
      </w:pPr>
      <w:r w:rsidRPr="00654AED">
        <w:rPr>
          <w:rFonts w:ascii="Times New Roman" w:hAnsi="Times New Roman" w:cs="Times New Roman"/>
          <w:b/>
          <w:bCs/>
        </w:rPr>
        <w:t>S1.1 Databases and coverage</w:t>
      </w:r>
    </w:p>
    <w:p w14:paraId="5C7B4B76" w14:textId="77777777" w:rsidR="00654AED" w:rsidRPr="00654AED" w:rsidRDefault="00654AED" w:rsidP="00654AED">
      <w:pPr>
        <w:numPr>
          <w:ilvl w:val="0"/>
          <w:numId w:val="7"/>
        </w:numPr>
        <w:spacing w:after="0" w:line="240" w:lineRule="auto"/>
        <w:rPr>
          <w:rFonts w:ascii="Times New Roman" w:hAnsi="Times New Roman" w:cs="Times New Roman"/>
          <w:lang w:val="en-GB"/>
        </w:rPr>
      </w:pPr>
      <w:r w:rsidRPr="00654AED">
        <w:rPr>
          <w:rFonts w:ascii="Times New Roman" w:hAnsi="Times New Roman" w:cs="Times New Roman"/>
          <w:b/>
          <w:bCs/>
          <w:lang w:val="en-GB"/>
        </w:rPr>
        <w:t>Databases:</w:t>
      </w:r>
      <w:r w:rsidRPr="00654AED">
        <w:rPr>
          <w:rFonts w:ascii="Times New Roman" w:hAnsi="Times New Roman" w:cs="Times New Roman"/>
          <w:lang w:val="en-GB"/>
        </w:rPr>
        <w:t xml:space="preserve"> Scopus; Web of Science Core Collection.</w:t>
      </w:r>
    </w:p>
    <w:p w14:paraId="010ACB3B" w14:textId="18B5B793" w:rsidR="00654AED" w:rsidRPr="00654AED" w:rsidRDefault="00654AED" w:rsidP="00654AED">
      <w:pPr>
        <w:numPr>
          <w:ilvl w:val="0"/>
          <w:numId w:val="7"/>
        </w:numPr>
        <w:spacing w:after="0" w:line="240" w:lineRule="auto"/>
        <w:rPr>
          <w:rFonts w:ascii="Times New Roman" w:hAnsi="Times New Roman" w:cs="Times New Roman"/>
        </w:rPr>
      </w:pPr>
      <w:r w:rsidRPr="00654AED">
        <w:rPr>
          <w:rFonts w:ascii="Times New Roman" w:hAnsi="Times New Roman" w:cs="Times New Roman"/>
          <w:b/>
          <w:bCs/>
        </w:rPr>
        <w:t>Coverage window:</w:t>
      </w:r>
      <w:r w:rsidRPr="00654AED">
        <w:rPr>
          <w:rFonts w:ascii="Times New Roman" w:hAnsi="Times New Roman" w:cs="Times New Roman"/>
        </w:rPr>
        <w:t xml:space="preserve"> 2010</w:t>
      </w:r>
      <w:r w:rsidR="00DD3301">
        <w:rPr>
          <w:rFonts w:ascii="Times New Roman" w:hAnsi="Times New Roman" w:cs="Times New Roman"/>
        </w:rPr>
        <w:t>-</w:t>
      </w:r>
      <w:r w:rsidRPr="00654AED">
        <w:rPr>
          <w:rFonts w:ascii="Times New Roman" w:hAnsi="Times New Roman" w:cs="Times New Roman"/>
        </w:rPr>
        <w:t>2023 (inclusive).</w:t>
      </w:r>
    </w:p>
    <w:p w14:paraId="1623565A" w14:textId="77777777" w:rsidR="00654AED" w:rsidRPr="00654AED" w:rsidRDefault="00654AED" w:rsidP="00654AED">
      <w:pPr>
        <w:numPr>
          <w:ilvl w:val="0"/>
          <w:numId w:val="7"/>
        </w:numPr>
        <w:spacing w:after="0" w:line="240" w:lineRule="auto"/>
        <w:rPr>
          <w:rFonts w:ascii="Times New Roman" w:hAnsi="Times New Roman" w:cs="Times New Roman"/>
        </w:rPr>
      </w:pPr>
      <w:r w:rsidRPr="00654AED">
        <w:rPr>
          <w:rFonts w:ascii="Times New Roman" w:hAnsi="Times New Roman" w:cs="Times New Roman"/>
          <w:b/>
          <w:bCs/>
        </w:rPr>
        <w:t>Language:</w:t>
      </w:r>
      <w:r w:rsidRPr="00654AED">
        <w:rPr>
          <w:rFonts w:ascii="Times New Roman" w:hAnsi="Times New Roman" w:cs="Times New Roman"/>
        </w:rPr>
        <w:t xml:space="preserve"> English.</w:t>
      </w:r>
    </w:p>
    <w:p w14:paraId="64B46BD9" w14:textId="77777777" w:rsidR="00654AED" w:rsidRPr="00654AED" w:rsidRDefault="00654AED" w:rsidP="00654AED">
      <w:pPr>
        <w:numPr>
          <w:ilvl w:val="0"/>
          <w:numId w:val="7"/>
        </w:numPr>
        <w:spacing w:after="0" w:line="240" w:lineRule="auto"/>
        <w:rPr>
          <w:rFonts w:ascii="Times New Roman" w:hAnsi="Times New Roman" w:cs="Times New Roman"/>
        </w:rPr>
      </w:pPr>
      <w:r w:rsidRPr="00654AED">
        <w:rPr>
          <w:rFonts w:ascii="Times New Roman" w:hAnsi="Times New Roman" w:cs="Times New Roman"/>
          <w:b/>
          <w:bCs/>
        </w:rPr>
        <w:t>Document types:</w:t>
      </w:r>
      <w:r w:rsidRPr="00654AED">
        <w:rPr>
          <w:rFonts w:ascii="Times New Roman" w:hAnsi="Times New Roman" w:cs="Times New Roman"/>
        </w:rPr>
        <w:t xml:space="preserve"> Article; Review.</w:t>
      </w:r>
    </w:p>
    <w:p w14:paraId="789A4F2A" w14:textId="77777777" w:rsidR="00654AED" w:rsidRPr="00654AED" w:rsidRDefault="00654AED" w:rsidP="00654AED">
      <w:pPr>
        <w:numPr>
          <w:ilvl w:val="0"/>
          <w:numId w:val="7"/>
        </w:numPr>
        <w:spacing w:after="0" w:line="240" w:lineRule="auto"/>
        <w:rPr>
          <w:rFonts w:ascii="Times New Roman" w:hAnsi="Times New Roman" w:cs="Times New Roman"/>
          <w:lang w:val="en-GB"/>
        </w:rPr>
      </w:pPr>
      <w:r w:rsidRPr="00654AED">
        <w:rPr>
          <w:rFonts w:ascii="Times New Roman" w:hAnsi="Times New Roman" w:cs="Times New Roman"/>
          <w:b/>
          <w:bCs/>
          <w:lang w:val="en-GB"/>
        </w:rPr>
        <w:t>Grey literature:</w:t>
      </w:r>
      <w:r w:rsidRPr="00654AED">
        <w:rPr>
          <w:rFonts w:ascii="Times New Roman" w:hAnsi="Times New Roman" w:cs="Times New Roman"/>
          <w:lang w:val="en-GB"/>
        </w:rPr>
        <w:t xml:space="preserve"> authoritative reports and policy documents already cited in the manuscript (FAO, World Bank, Brazil PNRS/2010, market intelligence already referenced).</w:t>
      </w:r>
    </w:p>
    <w:p w14:paraId="52DBF2FF" w14:textId="77777777" w:rsidR="00654AED" w:rsidRPr="00654AED" w:rsidRDefault="00654AED" w:rsidP="00654AED">
      <w:pPr>
        <w:numPr>
          <w:ilvl w:val="0"/>
          <w:numId w:val="7"/>
        </w:numPr>
        <w:spacing w:after="0" w:line="240" w:lineRule="auto"/>
        <w:rPr>
          <w:rFonts w:ascii="Times New Roman" w:hAnsi="Times New Roman" w:cs="Times New Roman"/>
          <w:lang w:val="en-GB"/>
        </w:rPr>
      </w:pPr>
      <w:r w:rsidRPr="00654AED">
        <w:rPr>
          <w:rFonts w:ascii="Times New Roman" w:hAnsi="Times New Roman" w:cs="Times New Roman"/>
          <w:b/>
          <w:bCs/>
          <w:lang w:val="en-GB"/>
        </w:rPr>
        <w:t>Last search:</w:t>
      </w:r>
      <w:r w:rsidRPr="00654AED">
        <w:rPr>
          <w:rFonts w:ascii="Times New Roman" w:hAnsi="Times New Roman" w:cs="Times New Roman"/>
          <w:lang w:val="en-GB"/>
        </w:rPr>
        <w:t xml:space="preserve"> 2023 (as specified in Methods).</w:t>
      </w:r>
    </w:p>
    <w:p w14:paraId="5B05FA79" w14:textId="77777777" w:rsidR="00654AED" w:rsidRPr="00654AED" w:rsidRDefault="00654AED" w:rsidP="00654AED">
      <w:pPr>
        <w:spacing w:after="0" w:line="240" w:lineRule="auto"/>
        <w:rPr>
          <w:rFonts w:ascii="Times New Roman" w:hAnsi="Times New Roman" w:cs="Times New Roman"/>
          <w:b/>
          <w:bCs/>
          <w:lang w:val="en-GB"/>
        </w:rPr>
      </w:pPr>
      <w:r w:rsidRPr="00654AED">
        <w:rPr>
          <w:rFonts w:ascii="Times New Roman" w:hAnsi="Times New Roman" w:cs="Times New Roman"/>
          <w:b/>
          <w:bCs/>
          <w:lang w:val="en-GB"/>
        </w:rPr>
        <w:t>S1.2 Full database search strings</w:t>
      </w:r>
    </w:p>
    <w:p w14:paraId="0F66EBFF"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Scopus</w:t>
      </w:r>
      <w:r w:rsidRPr="00654AED">
        <w:rPr>
          <w:rFonts w:ascii="Times New Roman" w:hAnsi="Times New Roman" w:cs="Times New Roman"/>
          <w:lang w:val="en-GB"/>
        </w:rPr>
        <w:t xml:space="preserve"> (TITLE-ABS-KEY)</w:t>
      </w:r>
    </w:p>
    <w:p w14:paraId="7A7848A9"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TITLE-ABS-</w:t>
      </w:r>
      <w:proofErr w:type="gramStart"/>
      <w:r w:rsidRPr="00654AED">
        <w:rPr>
          <w:rFonts w:ascii="Times New Roman" w:hAnsi="Times New Roman" w:cs="Times New Roman"/>
          <w:lang w:val="en-GB"/>
        </w:rPr>
        <w:t>KEY(</w:t>
      </w:r>
      <w:proofErr w:type="gramEnd"/>
    </w:p>
    <w:p w14:paraId="73886FFB"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 xml:space="preserve">  ("organo-mineral*" OR "organo mineral*" OR </w:t>
      </w:r>
      <w:proofErr w:type="spellStart"/>
      <w:r w:rsidRPr="00654AED">
        <w:rPr>
          <w:rFonts w:ascii="Times New Roman" w:hAnsi="Times New Roman" w:cs="Times New Roman"/>
          <w:lang w:val="en-GB"/>
        </w:rPr>
        <w:t>organomineral</w:t>
      </w:r>
      <w:proofErr w:type="spellEnd"/>
      <w:r w:rsidRPr="00654AED">
        <w:rPr>
          <w:rFonts w:ascii="Times New Roman" w:hAnsi="Times New Roman" w:cs="Times New Roman"/>
          <w:lang w:val="en-GB"/>
        </w:rPr>
        <w:t>* OR "OMF*")</w:t>
      </w:r>
      <w:bookmarkStart w:id="0" w:name="_GoBack"/>
      <w:bookmarkEnd w:id="0"/>
    </w:p>
    <w:p w14:paraId="543CE24C"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 xml:space="preserve">  AND (fertiliser* OR fertilizer*)</w:t>
      </w:r>
    </w:p>
    <w:p w14:paraId="44507E08" w14:textId="633A8DAA"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 xml:space="preserve">  AND (yield* OR "soil organic carbon" OR "soil health" OR "nitrate leach*" OR "nitrogen leach*" OR N2O OR "greenhouse gas*" OR "nutrient management" OR adoption OR uptake))</w:t>
      </w:r>
    </w:p>
    <w:p w14:paraId="5EFFC94E"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Context extensions</w:t>
      </w:r>
      <w:r w:rsidRPr="00654AED">
        <w:rPr>
          <w:rFonts w:ascii="Times New Roman" w:hAnsi="Times New Roman" w:cs="Times New Roman"/>
          <w:lang w:val="en-GB"/>
        </w:rPr>
        <w:t xml:space="preserve"> (executed as separate queries and deduplicated)</w:t>
      </w:r>
    </w:p>
    <w:p w14:paraId="7C20E99D" w14:textId="1F79E243"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TITLE-ABS-</w:t>
      </w:r>
      <w:proofErr w:type="gramStart"/>
      <w:r w:rsidRPr="00654AED">
        <w:rPr>
          <w:rFonts w:ascii="Times New Roman" w:hAnsi="Times New Roman" w:cs="Times New Roman"/>
          <w:lang w:val="en-GB"/>
        </w:rPr>
        <w:t>KEY(</w:t>
      </w:r>
      <w:proofErr w:type="gramEnd"/>
      <w:r w:rsidRPr="00654AED">
        <w:rPr>
          <w:rFonts w:ascii="Times New Roman" w:hAnsi="Times New Roman" w:cs="Times New Roman"/>
          <w:lang w:val="en-GB"/>
        </w:rPr>
        <w:t xml:space="preserve">("organo-mineral*" OR </w:t>
      </w:r>
      <w:proofErr w:type="spellStart"/>
      <w:r w:rsidRPr="00654AED">
        <w:rPr>
          <w:rFonts w:ascii="Times New Roman" w:hAnsi="Times New Roman" w:cs="Times New Roman"/>
          <w:lang w:val="en-GB"/>
        </w:rPr>
        <w:t>organomineral</w:t>
      </w:r>
      <w:proofErr w:type="spellEnd"/>
      <w:r w:rsidRPr="00654AED">
        <w:rPr>
          <w:rFonts w:ascii="Times New Roman" w:hAnsi="Times New Roman" w:cs="Times New Roman"/>
          <w:lang w:val="en-GB"/>
        </w:rPr>
        <w:t>*)</w:t>
      </w:r>
    </w:p>
    <w:p w14:paraId="15AF17C9"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 xml:space="preserve">  AND (biochar OR compost OR struvite OR "nano fertiliser*" OR </w:t>
      </w:r>
      <w:proofErr w:type="spellStart"/>
      <w:r w:rsidRPr="00654AED">
        <w:rPr>
          <w:rFonts w:ascii="Times New Roman" w:hAnsi="Times New Roman" w:cs="Times New Roman"/>
          <w:lang w:val="en-GB"/>
        </w:rPr>
        <w:t>nanofertilizer</w:t>
      </w:r>
      <w:proofErr w:type="spellEnd"/>
      <w:r w:rsidRPr="00654AED">
        <w:rPr>
          <w:rFonts w:ascii="Times New Roman" w:hAnsi="Times New Roman" w:cs="Times New Roman"/>
          <w:lang w:val="en-GB"/>
        </w:rPr>
        <w:t>*)</w:t>
      </w:r>
    </w:p>
    <w:p w14:paraId="4979255C" w14:textId="5859A420"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 xml:space="preserve">  AND ("biowaste recycling" OR "circular economy" OR policy OR regulation))</w:t>
      </w:r>
    </w:p>
    <w:p w14:paraId="479B0D5E" w14:textId="37B998B1"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Scopus filters:</w:t>
      </w:r>
      <w:r w:rsidRPr="00654AED">
        <w:rPr>
          <w:rFonts w:ascii="Times New Roman" w:hAnsi="Times New Roman" w:cs="Times New Roman"/>
          <w:lang w:val="en-GB"/>
        </w:rPr>
        <w:t xml:space="preserve"> PUBYEAR 2010</w:t>
      </w:r>
      <w:r w:rsidR="00DD3301">
        <w:rPr>
          <w:rFonts w:ascii="Times New Roman" w:hAnsi="Times New Roman" w:cs="Times New Roman"/>
          <w:lang w:val="en-GB"/>
        </w:rPr>
        <w:t>-</w:t>
      </w:r>
      <w:r w:rsidRPr="00654AED">
        <w:rPr>
          <w:rFonts w:ascii="Times New Roman" w:hAnsi="Times New Roman" w:cs="Times New Roman"/>
          <w:lang w:val="en-GB"/>
        </w:rPr>
        <w:t>2023; LANGUAGE English; DOCTYPE Article OR Review; Subject areas: Agricultural &amp; Biological Sciences; Environmental Science.</w:t>
      </w:r>
    </w:p>
    <w:p w14:paraId="225CABE9"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Web of Science</w:t>
      </w:r>
      <w:r w:rsidRPr="00654AED">
        <w:rPr>
          <w:rFonts w:ascii="Times New Roman" w:hAnsi="Times New Roman" w:cs="Times New Roman"/>
          <w:lang w:val="en-GB"/>
        </w:rPr>
        <w:t xml:space="preserve"> (TS = Topic)</w:t>
      </w:r>
    </w:p>
    <w:p w14:paraId="583BDE8A"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TS</w:t>
      </w:r>
      <w:proofErr w:type="gramStart"/>
      <w:r w:rsidRPr="00654AED">
        <w:rPr>
          <w:rFonts w:ascii="Times New Roman" w:hAnsi="Times New Roman" w:cs="Times New Roman"/>
          <w:lang w:val="en-GB"/>
        </w:rPr>
        <w:t>=(</w:t>
      </w:r>
      <w:proofErr w:type="gramEnd"/>
      <w:r w:rsidRPr="00654AED">
        <w:rPr>
          <w:rFonts w:ascii="Times New Roman" w:hAnsi="Times New Roman" w:cs="Times New Roman"/>
          <w:lang w:val="en-GB"/>
        </w:rPr>
        <w:t xml:space="preserve">("organo-mineral*" OR "organo mineral*" OR </w:t>
      </w:r>
      <w:proofErr w:type="spellStart"/>
      <w:r w:rsidRPr="00654AED">
        <w:rPr>
          <w:rFonts w:ascii="Times New Roman" w:hAnsi="Times New Roman" w:cs="Times New Roman"/>
          <w:lang w:val="en-GB"/>
        </w:rPr>
        <w:t>organomineral</w:t>
      </w:r>
      <w:proofErr w:type="spellEnd"/>
      <w:r w:rsidRPr="00654AED">
        <w:rPr>
          <w:rFonts w:ascii="Times New Roman" w:hAnsi="Times New Roman" w:cs="Times New Roman"/>
          <w:lang w:val="en-GB"/>
        </w:rPr>
        <w:t>* OR OMF*)</w:t>
      </w:r>
    </w:p>
    <w:p w14:paraId="0BD52642"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AND (</w:t>
      </w:r>
      <w:proofErr w:type="spellStart"/>
      <w:r w:rsidRPr="00654AED">
        <w:rPr>
          <w:rFonts w:ascii="Times New Roman" w:hAnsi="Times New Roman" w:cs="Times New Roman"/>
          <w:lang w:val="en-GB"/>
        </w:rPr>
        <w:t>fertili</w:t>
      </w:r>
      <w:proofErr w:type="spellEnd"/>
      <w:r w:rsidRPr="00654AED">
        <w:rPr>
          <w:rFonts w:ascii="Times New Roman" w:hAnsi="Times New Roman" w:cs="Times New Roman"/>
          <w:lang w:val="en-GB"/>
        </w:rPr>
        <w:t xml:space="preserve">* OR </w:t>
      </w:r>
      <w:proofErr w:type="spellStart"/>
      <w:r w:rsidRPr="00654AED">
        <w:rPr>
          <w:rFonts w:ascii="Times New Roman" w:hAnsi="Times New Roman" w:cs="Times New Roman"/>
          <w:lang w:val="en-GB"/>
        </w:rPr>
        <w:t>fertiliz</w:t>
      </w:r>
      <w:proofErr w:type="spellEnd"/>
      <w:r w:rsidRPr="00654AED">
        <w:rPr>
          <w:rFonts w:ascii="Times New Roman" w:hAnsi="Times New Roman" w:cs="Times New Roman"/>
          <w:lang w:val="en-GB"/>
        </w:rPr>
        <w:t>*)</w:t>
      </w:r>
    </w:p>
    <w:p w14:paraId="0B296874"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AND (yield* OR "soil organic carbon" OR "soil health" OR "nitrate leach*" OR N2O OR "greenhouse gas*" OR "nutrient management" OR adoption OR uptake))</w:t>
      </w:r>
    </w:p>
    <w:p w14:paraId="4E98DFA4"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Context extensions</w:t>
      </w:r>
      <w:r w:rsidRPr="00654AED">
        <w:rPr>
          <w:rFonts w:ascii="Times New Roman" w:hAnsi="Times New Roman" w:cs="Times New Roman"/>
          <w:lang w:val="en-GB"/>
        </w:rPr>
        <w:t xml:space="preserve"> (run separately and deduplicate)</w:t>
      </w:r>
    </w:p>
    <w:p w14:paraId="59C86494"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TS</w:t>
      </w:r>
      <w:proofErr w:type="gramStart"/>
      <w:r w:rsidRPr="00654AED">
        <w:rPr>
          <w:rFonts w:ascii="Times New Roman" w:hAnsi="Times New Roman" w:cs="Times New Roman"/>
          <w:lang w:val="en-GB"/>
        </w:rPr>
        <w:t>=(</w:t>
      </w:r>
      <w:proofErr w:type="gramEnd"/>
      <w:r w:rsidRPr="00654AED">
        <w:rPr>
          <w:rFonts w:ascii="Times New Roman" w:hAnsi="Times New Roman" w:cs="Times New Roman"/>
          <w:lang w:val="en-GB"/>
        </w:rPr>
        <w:t xml:space="preserve">("organo-mineral*" OR </w:t>
      </w:r>
      <w:proofErr w:type="spellStart"/>
      <w:r w:rsidRPr="00654AED">
        <w:rPr>
          <w:rFonts w:ascii="Times New Roman" w:hAnsi="Times New Roman" w:cs="Times New Roman"/>
          <w:lang w:val="en-GB"/>
        </w:rPr>
        <w:t>organomineral</w:t>
      </w:r>
      <w:proofErr w:type="spellEnd"/>
      <w:r w:rsidRPr="00654AED">
        <w:rPr>
          <w:rFonts w:ascii="Times New Roman" w:hAnsi="Times New Roman" w:cs="Times New Roman"/>
          <w:lang w:val="en-GB"/>
        </w:rPr>
        <w:t>*)</w:t>
      </w:r>
    </w:p>
    <w:p w14:paraId="77C75EF9"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 xml:space="preserve">AND (biochar OR compost OR struvite OR "nano fertiliser*" OR </w:t>
      </w:r>
      <w:proofErr w:type="spellStart"/>
      <w:r w:rsidRPr="00654AED">
        <w:rPr>
          <w:rFonts w:ascii="Times New Roman" w:hAnsi="Times New Roman" w:cs="Times New Roman"/>
          <w:lang w:val="en-GB"/>
        </w:rPr>
        <w:t>nanofertilizer</w:t>
      </w:r>
      <w:proofErr w:type="spellEnd"/>
      <w:r w:rsidRPr="00654AED">
        <w:rPr>
          <w:rFonts w:ascii="Times New Roman" w:hAnsi="Times New Roman" w:cs="Times New Roman"/>
          <w:lang w:val="en-GB"/>
        </w:rPr>
        <w:t>*)</w:t>
      </w:r>
    </w:p>
    <w:p w14:paraId="36937529"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AND ("biowaste recycling" OR circular NEAR/2 economy OR policy OR regulation))</w:t>
      </w:r>
    </w:p>
    <w:p w14:paraId="520285BA" w14:textId="001FFCC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Refinements:</w:t>
      </w:r>
      <w:r w:rsidRPr="00654AED">
        <w:rPr>
          <w:rFonts w:ascii="Times New Roman" w:hAnsi="Times New Roman" w:cs="Times New Roman"/>
          <w:lang w:val="en-GB"/>
        </w:rPr>
        <w:t xml:space="preserve"> PY=2010</w:t>
      </w:r>
      <w:r w:rsidR="00DD3301">
        <w:rPr>
          <w:rFonts w:ascii="Times New Roman" w:hAnsi="Times New Roman" w:cs="Times New Roman"/>
          <w:lang w:val="en-GB"/>
        </w:rPr>
        <w:t>-</w:t>
      </w:r>
      <w:r w:rsidRPr="00654AED">
        <w:rPr>
          <w:rFonts w:ascii="Times New Roman" w:hAnsi="Times New Roman" w:cs="Times New Roman"/>
          <w:lang w:val="en-GB"/>
        </w:rPr>
        <w:t>2023; DOCUMENT TYPES Article or Review; LANGUAGE English.</w:t>
      </w:r>
    </w:p>
    <w:p w14:paraId="45D1169F" w14:textId="77777777" w:rsidR="00654AED" w:rsidRPr="00654AED" w:rsidRDefault="00654AED" w:rsidP="00654AED">
      <w:pPr>
        <w:spacing w:after="0" w:line="240" w:lineRule="auto"/>
        <w:rPr>
          <w:rFonts w:ascii="Times New Roman" w:hAnsi="Times New Roman" w:cs="Times New Roman"/>
          <w:b/>
          <w:bCs/>
          <w:lang w:val="en-GB"/>
        </w:rPr>
      </w:pPr>
      <w:r w:rsidRPr="00654AED">
        <w:rPr>
          <w:rFonts w:ascii="Times New Roman" w:hAnsi="Times New Roman" w:cs="Times New Roman"/>
          <w:b/>
          <w:bCs/>
          <w:lang w:val="en-GB"/>
        </w:rPr>
        <w:t>S1.3 Grey-literature and policy sources (replicable site queries)</w:t>
      </w:r>
    </w:p>
    <w:p w14:paraId="015DBABE" w14:textId="77777777" w:rsidR="00654AED" w:rsidRPr="00654AED" w:rsidRDefault="00654AED" w:rsidP="00654AED">
      <w:pPr>
        <w:numPr>
          <w:ilvl w:val="0"/>
          <w:numId w:val="8"/>
        </w:numPr>
        <w:spacing w:after="0" w:line="240" w:lineRule="auto"/>
        <w:rPr>
          <w:rFonts w:ascii="Times New Roman" w:hAnsi="Times New Roman" w:cs="Times New Roman"/>
          <w:lang w:val="en-GB"/>
        </w:rPr>
      </w:pPr>
      <w:r w:rsidRPr="00654AED">
        <w:rPr>
          <w:rFonts w:ascii="Times New Roman" w:hAnsi="Times New Roman" w:cs="Times New Roman"/>
          <w:b/>
          <w:bCs/>
          <w:lang w:val="en-GB"/>
        </w:rPr>
        <w:t>FAO:</w:t>
      </w:r>
      <w:r w:rsidRPr="00654AED">
        <w:rPr>
          <w:rFonts w:ascii="Times New Roman" w:hAnsi="Times New Roman" w:cs="Times New Roman"/>
          <w:lang w:val="en-GB"/>
        </w:rPr>
        <w:t xml:space="preserve"> site</w:t>
      </w:r>
      <w:proofErr w:type="gramStart"/>
      <w:r w:rsidRPr="00654AED">
        <w:rPr>
          <w:rFonts w:ascii="Times New Roman" w:hAnsi="Times New Roman" w:cs="Times New Roman"/>
          <w:lang w:val="en-GB"/>
        </w:rPr>
        <w:t>:fao.org</w:t>
      </w:r>
      <w:proofErr w:type="gramEnd"/>
      <w:r w:rsidRPr="00654AED">
        <w:rPr>
          <w:rFonts w:ascii="Times New Roman" w:hAnsi="Times New Roman" w:cs="Times New Roman"/>
          <w:lang w:val="en-GB"/>
        </w:rPr>
        <w:t xml:space="preserve"> ("organo-mineral" OR </w:t>
      </w:r>
      <w:proofErr w:type="spellStart"/>
      <w:r w:rsidRPr="00654AED">
        <w:rPr>
          <w:rFonts w:ascii="Times New Roman" w:hAnsi="Times New Roman" w:cs="Times New Roman"/>
          <w:lang w:val="en-GB"/>
        </w:rPr>
        <w:t>organomineral</w:t>
      </w:r>
      <w:proofErr w:type="spellEnd"/>
      <w:r w:rsidRPr="00654AED">
        <w:rPr>
          <w:rFonts w:ascii="Times New Roman" w:hAnsi="Times New Roman" w:cs="Times New Roman"/>
          <w:lang w:val="en-GB"/>
        </w:rPr>
        <w:t>) fertiliser OR fertilizer.</w:t>
      </w:r>
    </w:p>
    <w:p w14:paraId="03D1AA7F" w14:textId="77777777" w:rsidR="00654AED" w:rsidRPr="00654AED" w:rsidRDefault="00654AED" w:rsidP="00654AED">
      <w:pPr>
        <w:numPr>
          <w:ilvl w:val="0"/>
          <w:numId w:val="8"/>
        </w:numPr>
        <w:spacing w:after="0" w:line="240" w:lineRule="auto"/>
        <w:rPr>
          <w:rFonts w:ascii="Times New Roman" w:hAnsi="Times New Roman" w:cs="Times New Roman"/>
          <w:lang w:val="en-GB"/>
        </w:rPr>
      </w:pPr>
      <w:r w:rsidRPr="00654AED">
        <w:rPr>
          <w:rFonts w:ascii="Times New Roman" w:hAnsi="Times New Roman" w:cs="Times New Roman"/>
          <w:b/>
          <w:bCs/>
          <w:lang w:val="en-GB"/>
        </w:rPr>
        <w:t>World Bank:</w:t>
      </w:r>
      <w:r w:rsidRPr="00654AED">
        <w:rPr>
          <w:rFonts w:ascii="Times New Roman" w:hAnsi="Times New Roman" w:cs="Times New Roman"/>
          <w:lang w:val="en-GB"/>
        </w:rPr>
        <w:t xml:space="preserve"> site</w:t>
      </w:r>
      <w:proofErr w:type="gramStart"/>
      <w:r w:rsidRPr="00654AED">
        <w:rPr>
          <w:rFonts w:ascii="Times New Roman" w:hAnsi="Times New Roman" w:cs="Times New Roman"/>
          <w:lang w:val="en-GB"/>
        </w:rPr>
        <w:t>:worldbank.org</w:t>
      </w:r>
      <w:proofErr w:type="gramEnd"/>
      <w:r w:rsidRPr="00654AED">
        <w:rPr>
          <w:rFonts w:ascii="Times New Roman" w:hAnsi="Times New Roman" w:cs="Times New Roman"/>
          <w:lang w:val="en-GB"/>
        </w:rPr>
        <w:t xml:space="preserve"> transport connectivity AND food security AND Africa.</w:t>
      </w:r>
    </w:p>
    <w:p w14:paraId="1D8688B5" w14:textId="77777777" w:rsidR="00654AED" w:rsidRPr="00654AED" w:rsidRDefault="00654AED" w:rsidP="00654AED">
      <w:pPr>
        <w:numPr>
          <w:ilvl w:val="0"/>
          <w:numId w:val="8"/>
        </w:numPr>
        <w:spacing w:after="0" w:line="240" w:lineRule="auto"/>
        <w:rPr>
          <w:rFonts w:ascii="Times New Roman" w:hAnsi="Times New Roman" w:cs="Times New Roman"/>
          <w:lang w:val="en-GB"/>
        </w:rPr>
      </w:pPr>
      <w:r w:rsidRPr="00654AED">
        <w:rPr>
          <w:rFonts w:ascii="Times New Roman" w:hAnsi="Times New Roman" w:cs="Times New Roman"/>
          <w:b/>
          <w:bCs/>
          <w:lang w:val="en-GB"/>
        </w:rPr>
        <w:t>Brazil PNRS:</w:t>
      </w:r>
      <w:r w:rsidRPr="00654AED">
        <w:rPr>
          <w:rFonts w:ascii="Times New Roman" w:hAnsi="Times New Roman" w:cs="Times New Roman"/>
          <w:lang w:val="en-GB"/>
        </w:rPr>
        <w:t xml:space="preserve"> site</w:t>
      </w:r>
      <w:proofErr w:type="gramStart"/>
      <w:r w:rsidRPr="00654AED">
        <w:rPr>
          <w:rFonts w:ascii="Times New Roman" w:hAnsi="Times New Roman" w:cs="Times New Roman"/>
          <w:lang w:val="en-GB"/>
        </w:rPr>
        <w:t>:planalto.gov.br</w:t>
      </w:r>
      <w:proofErr w:type="gramEnd"/>
      <w:r w:rsidRPr="00654AED">
        <w:rPr>
          <w:rFonts w:ascii="Times New Roman" w:hAnsi="Times New Roman" w:cs="Times New Roman"/>
          <w:lang w:val="en-GB"/>
        </w:rPr>
        <w:t xml:space="preserve"> "Lei 12.305/2010" OR "</w:t>
      </w:r>
      <w:proofErr w:type="spellStart"/>
      <w:r w:rsidRPr="00654AED">
        <w:rPr>
          <w:rFonts w:ascii="Times New Roman" w:hAnsi="Times New Roman" w:cs="Times New Roman"/>
          <w:lang w:val="en-GB"/>
        </w:rPr>
        <w:t>Política</w:t>
      </w:r>
      <w:proofErr w:type="spellEnd"/>
      <w:r w:rsidRPr="00654AED">
        <w:rPr>
          <w:rFonts w:ascii="Times New Roman" w:hAnsi="Times New Roman" w:cs="Times New Roman"/>
          <w:lang w:val="en-GB"/>
        </w:rPr>
        <w:t xml:space="preserve"> Nacional de </w:t>
      </w:r>
      <w:proofErr w:type="spellStart"/>
      <w:r w:rsidRPr="00654AED">
        <w:rPr>
          <w:rFonts w:ascii="Times New Roman" w:hAnsi="Times New Roman" w:cs="Times New Roman"/>
          <w:lang w:val="en-GB"/>
        </w:rPr>
        <w:t>Resíduos</w:t>
      </w:r>
      <w:proofErr w:type="spellEnd"/>
      <w:r w:rsidRPr="00654AED">
        <w:rPr>
          <w:rFonts w:ascii="Times New Roman" w:hAnsi="Times New Roman" w:cs="Times New Roman"/>
          <w:lang w:val="en-GB"/>
        </w:rPr>
        <w:t xml:space="preserve"> </w:t>
      </w:r>
      <w:proofErr w:type="spellStart"/>
      <w:r w:rsidRPr="00654AED">
        <w:rPr>
          <w:rFonts w:ascii="Times New Roman" w:hAnsi="Times New Roman" w:cs="Times New Roman"/>
          <w:lang w:val="en-GB"/>
        </w:rPr>
        <w:t>Sólidos</w:t>
      </w:r>
      <w:proofErr w:type="spellEnd"/>
      <w:r w:rsidRPr="00654AED">
        <w:rPr>
          <w:rFonts w:ascii="Times New Roman" w:hAnsi="Times New Roman" w:cs="Times New Roman"/>
          <w:lang w:val="en-GB"/>
        </w:rPr>
        <w:t>".</w:t>
      </w:r>
    </w:p>
    <w:p w14:paraId="4D373A10" w14:textId="77777777" w:rsidR="00654AED" w:rsidRPr="00654AED" w:rsidRDefault="00654AED" w:rsidP="00654AED">
      <w:pPr>
        <w:numPr>
          <w:ilvl w:val="0"/>
          <w:numId w:val="8"/>
        </w:numPr>
        <w:spacing w:after="0" w:line="240" w:lineRule="auto"/>
        <w:rPr>
          <w:rFonts w:ascii="Times New Roman" w:hAnsi="Times New Roman" w:cs="Times New Roman"/>
        </w:rPr>
      </w:pPr>
      <w:r w:rsidRPr="00654AED">
        <w:rPr>
          <w:rFonts w:ascii="Times New Roman" w:hAnsi="Times New Roman" w:cs="Times New Roman"/>
          <w:b/>
          <w:bCs/>
          <w:lang w:val="en-GB"/>
        </w:rPr>
        <w:t>Market intelligence:</w:t>
      </w:r>
      <w:r w:rsidRPr="00654AED">
        <w:rPr>
          <w:rFonts w:ascii="Times New Roman" w:hAnsi="Times New Roman" w:cs="Times New Roman"/>
          <w:lang w:val="en-GB"/>
        </w:rPr>
        <w:t xml:space="preserve"> site</w:t>
      </w:r>
      <w:proofErr w:type="gramStart"/>
      <w:r w:rsidRPr="00654AED">
        <w:rPr>
          <w:rFonts w:ascii="Times New Roman" w:hAnsi="Times New Roman" w:cs="Times New Roman"/>
          <w:lang w:val="en-GB"/>
        </w:rPr>
        <w:t>:databridgemarketresearch.com</w:t>
      </w:r>
      <w:proofErr w:type="gramEnd"/>
      <w:r w:rsidRPr="00654AED">
        <w:rPr>
          <w:rFonts w:ascii="Times New Roman" w:hAnsi="Times New Roman" w:cs="Times New Roman"/>
          <w:lang w:val="en-GB"/>
        </w:rPr>
        <w:t xml:space="preserve"> </w:t>
      </w:r>
      <w:proofErr w:type="spellStart"/>
      <w:r w:rsidRPr="00654AED">
        <w:rPr>
          <w:rFonts w:ascii="Times New Roman" w:hAnsi="Times New Roman" w:cs="Times New Roman"/>
          <w:lang w:val="en-GB"/>
        </w:rPr>
        <w:t>organomineral</w:t>
      </w:r>
      <w:proofErr w:type="spellEnd"/>
      <w:r w:rsidRPr="00654AED">
        <w:rPr>
          <w:rFonts w:ascii="Times New Roman" w:hAnsi="Times New Roman" w:cs="Times New Roman"/>
          <w:lang w:val="en-GB"/>
        </w:rPr>
        <w:t xml:space="preserve"> fertilizer.</w:t>
      </w:r>
      <w:r w:rsidRPr="00654AED">
        <w:rPr>
          <w:rFonts w:ascii="Times New Roman" w:hAnsi="Times New Roman" w:cs="Times New Roman"/>
          <w:lang w:val="en-GB"/>
        </w:rPr>
        <w:br/>
      </w:r>
      <w:r w:rsidRPr="00654AED">
        <w:rPr>
          <w:rFonts w:ascii="Times New Roman" w:hAnsi="Times New Roman" w:cs="Times New Roman"/>
        </w:rPr>
        <w:t>Authoritative sources already cited in the manuscript were retained.</w:t>
      </w:r>
    </w:p>
    <w:p w14:paraId="5ABB5C1A" w14:textId="77777777" w:rsidR="00654AED" w:rsidRPr="00654AED" w:rsidRDefault="00654AED" w:rsidP="00654AED">
      <w:pPr>
        <w:spacing w:after="0" w:line="240" w:lineRule="auto"/>
        <w:rPr>
          <w:rFonts w:ascii="Times New Roman" w:hAnsi="Times New Roman" w:cs="Times New Roman"/>
          <w:b/>
          <w:bCs/>
        </w:rPr>
      </w:pPr>
      <w:r w:rsidRPr="00654AED">
        <w:rPr>
          <w:rFonts w:ascii="Times New Roman" w:hAnsi="Times New Roman" w:cs="Times New Roman"/>
          <w:b/>
          <w:bCs/>
        </w:rPr>
        <w:t>S1.4 Screening protocol</w:t>
      </w:r>
    </w:p>
    <w:p w14:paraId="60C94356"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Unit of screening:</w:t>
      </w:r>
      <w:r w:rsidRPr="00654AED">
        <w:rPr>
          <w:rFonts w:ascii="Times New Roman" w:hAnsi="Times New Roman" w:cs="Times New Roman"/>
          <w:lang w:val="en-GB"/>
        </w:rPr>
        <w:t xml:space="preserve"> title/abstract → full text.</w:t>
      </w:r>
    </w:p>
    <w:p w14:paraId="242917AE"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Reviewer:</w:t>
      </w:r>
      <w:r w:rsidRPr="00654AED">
        <w:rPr>
          <w:rFonts w:ascii="Times New Roman" w:hAnsi="Times New Roman" w:cs="Times New Roman"/>
          <w:lang w:val="en-GB"/>
        </w:rPr>
        <w:t xml:space="preserve"> single author; ambiguous records escalated to full text; reasons documented (Appendix S2).</w:t>
      </w:r>
    </w:p>
    <w:p w14:paraId="577E3518"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Deduplication:</w:t>
      </w:r>
      <w:r w:rsidRPr="00654AED">
        <w:rPr>
          <w:rFonts w:ascii="Times New Roman" w:hAnsi="Times New Roman" w:cs="Times New Roman"/>
          <w:lang w:val="en-GB"/>
        </w:rPr>
        <w:t xml:space="preserve"> database exports plus manual check.</w:t>
      </w:r>
    </w:p>
    <w:p w14:paraId="1FC7AD1E"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Eligibility (empirical):</w:t>
      </w:r>
      <w:r w:rsidRPr="00654AED">
        <w:rPr>
          <w:rFonts w:ascii="Times New Roman" w:hAnsi="Times New Roman" w:cs="Times New Roman"/>
          <w:lang w:val="en-GB"/>
        </w:rPr>
        <w:t xml:space="preserve"> field trials, greenhouse experiments, or LCAs reporting quantitative outcomes (yield; soil-health metrics; nitrate leaching or related nutrient-loss indicators; GHG including N₂O).</w:t>
      </w:r>
    </w:p>
    <w:p w14:paraId="4A4911BE"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Eligibility (grey literature):</w:t>
      </w:r>
      <w:r w:rsidRPr="00654AED">
        <w:rPr>
          <w:rFonts w:ascii="Times New Roman" w:hAnsi="Times New Roman" w:cs="Times New Roman"/>
          <w:lang w:val="en-GB"/>
        </w:rPr>
        <w:t xml:space="preserve"> authoritative bodies providing regional statistics or policy context.</w:t>
      </w:r>
    </w:p>
    <w:p w14:paraId="703A888D"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Exclusion reasons (full text):</w:t>
      </w:r>
      <w:r w:rsidRPr="00654AED">
        <w:rPr>
          <w:rFonts w:ascii="Times New Roman" w:hAnsi="Times New Roman" w:cs="Times New Roman"/>
          <w:lang w:val="en-GB"/>
        </w:rPr>
        <w:t xml:space="preserve"> non-empirical; insufficient data; irrelevant context (see Appendix S2).</w:t>
      </w:r>
    </w:p>
    <w:p w14:paraId="109583F5" w14:textId="77777777" w:rsidR="00654AED" w:rsidRPr="00654AED" w:rsidRDefault="00654AED" w:rsidP="00654AED">
      <w:pPr>
        <w:numPr>
          <w:ilvl w:val="0"/>
          <w:numId w:val="9"/>
        </w:numPr>
        <w:spacing w:after="0" w:line="240" w:lineRule="auto"/>
        <w:rPr>
          <w:rFonts w:ascii="Times New Roman" w:hAnsi="Times New Roman" w:cs="Times New Roman"/>
          <w:lang w:val="en-GB"/>
        </w:rPr>
      </w:pPr>
      <w:r w:rsidRPr="00654AED">
        <w:rPr>
          <w:rFonts w:ascii="Times New Roman" w:hAnsi="Times New Roman" w:cs="Times New Roman"/>
          <w:b/>
          <w:bCs/>
          <w:lang w:val="en-GB"/>
        </w:rPr>
        <w:t>Bias control:</w:t>
      </w:r>
      <w:r w:rsidRPr="00654AED">
        <w:rPr>
          <w:rFonts w:ascii="Times New Roman" w:hAnsi="Times New Roman" w:cs="Times New Roman"/>
          <w:lang w:val="en-GB"/>
        </w:rPr>
        <w:t xml:space="preserve"> acknowledgement of single-reviewer screening; heterogeneity and publication bias discussed in Methods/Results.</w:t>
      </w:r>
    </w:p>
    <w:p w14:paraId="52F415DC" w14:textId="77777777" w:rsidR="00654AED" w:rsidRPr="00654AED" w:rsidRDefault="00654AED" w:rsidP="00654AED">
      <w:pPr>
        <w:spacing w:after="0" w:line="240" w:lineRule="auto"/>
        <w:rPr>
          <w:rFonts w:ascii="Times New Roman" w:hAnsi="Times New Roman" w:cs="Times New Roman"/>
          <w:b/>
          <w:bCs/>
        </w:rPr>
      </w:pPr>
      <w:r w:rsidRPr="00654AED">
        <w:rPr>
          <w:rFonts w:ascii="Times New Roman" w:hAnsi="Times New Roman" w:cs="Times New Roman"/>
          <w:b/>
          <w:bCs/>
        </w:rPr>
        <w:t>S1.5 Data-extraction template</w:t>
      </w:r>
    </w:p>
    <w:tbl>
      <w:tblPr>
        <w:tblStyle w:val="PlainTable2"/>
        <w:tblW w:w="0" w:type="auto"/>
        <w:tblLook w:val="04A0" w:firstRow="1" w:lastRow="0" w:firstColumn="1" w:lastColumn="0" w:noHBand="0" w:noVBand="1"/>
      </w:tblPr>
      <w:tblGrid>
        <w:gridCol w:w="2078"/>
        <w:gridCol w:w="6994"/>
      </w:tblGrid>
      <w:tr w:rsidR="00654AED" w:rsidRPr="00654AED" w14:paraId="138F923C" w14:textId="77777777" w:rsidTr="00654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F77A2D"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Field</w:t>
            </w:r>
          </w:p>
        </w:tc>
        <w:tc>
          <w:tcPr>
            <w:tcW w:w="0" w:type="auto"/>
            <w:hideMark/>
          </w:tcPr>
          <w:p w14:paraId="491707B5"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54AED">
              <w:rPr>
                <w:rFonts w:ascii="Times New Roman" w:hAnsi="Times New Roman" w:cs="Times New Roman"/>
                <w:b w:val="0"/>
                <w:bCs w:val="0"/>
              </w:rPr>
              <w:t>Description</w:t>
            </w:r>
          </w:p>
        </w:tc>
      </w:tr>
      <w:tr w:rsidR="00654AED" w:rsidRPr="00654AED" w14:paraId="191A977A"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E9B55B"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Study ID</w:t>
            </w:r>
          </w:p>
        </w:tc>
        <w:tc>
          <w:tcPr>
            <w:tcW w:w="0" w:type="auto"/>
            <w:hideMark/>
          </w:tcPr>
          <w:p w14:paraId="71DF2851"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First author (Year)</w:t>
            </w:r>
          </w:p>
        </w:tc>
      </w:tr>
      <w:tr w:rsidR="00654AED" w:rsidRPr="00654AED" w14:paraId="10D7EAFC" w14:textId="77777777" w:rsidTr="00654AED">
        <w:tc>
          <w:tcPr>
            <w:cnfStyle w:val="001000000000" w:firstRow="0" w:lastRow="0" w:firstColumn="1" w:lastColumn="0" w:oddVBand="0" w:evenVBand="0" w:oddHBand="0" w:evenHBand="0" w:firstRowFirstColumn="0" w:firstRowLastColumn="0" w:lastRowFirstColumn="0" w:lastRowLastColumn="0"/>
            <w:tcW w:w="0" w:type="auto"/>
            <w:hideMark/>
          </w:tcPr>
          <w:p w14:paraId="2C31D41A"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Country/Region</w:t>
            </w:r>
          </w:p>
        </w:tc>
        <w:tc>
          <w:tcPr>
            <w:tcW w:w="0" w:type="auto"/>
            <w:hideMark/>
          </w:tcPr>
          <w:p w14:paraId="0EA2A67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Global North/Global South; specific country</w:t>
            </w:r>
          </w:p>
        </w:tc>
      </w:tr>
      <w:tr w:rsidR="00654AED" w:rsidRPr="00654AED" w14:paraId="7D84373B"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5E8649"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Crop/Soil</w:t>
            </w:r>
          </w:p>
        </w:tc>
        <w:tc>
          <w:tcPr>
            <w:tcW w:w="0" w:type="auto"/>
            <w:hideMark/>
          </w:tcPr>
          <w:p w14:paraId="335275F6"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Species; soil type</w:t>
            </w:r>
          </w:p>
        </w:tc>
      </w:tr>
      <w:tr w:rsidR="00654AED" w:rsidRPr="00654AED" w14:paraId="3A7D89DF" w14:textId="77777777" w:rsidTr="00654AED">
        <w:tc>
          <w:tcPr>
            <w:cnfStyle w:val="001000000000" w:firstRow="0" w:lastRow="0" w:firstColumn="1" w:lastColumn="0" w:oddVBand="0" w:evenVBand="0" w:oddHBand="0" w:evenHBand="0" w:firstRowFirstColumn="0" w:firstRowLastColumn="0" w:lastRowFirstColumn="0" w:lastRowLastColumn="0"/>
            <w:tcW w:w="0" w:type="auto"/>
            <w:hideMark/>
          </w:tcPr>
          <w:p w14:paraId="5447BC9B"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OMF formulation</w:t>
            </w:r>
          </w:p>
        </w:tc>
        <w:tc>
          <w:tcPr>
            <w:tcW w:w="0" w:type="auto"/>
            <w:hideMark/>
          </w:tcPr>
          <w:p w14:paraId="5F1B6EFB"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Compost- or biochar-based; struvite; nano-enabled; other</w:t>
            </w:r>
          </w:p>
        </w:tc>
      </w:tr>
      <w:tr w:rsidR="00654AED" w:rsidRPr="00654AED" w14:paraId="1183AAEF"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1EFF0F"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Trial type &amp; duration</w:t>
            </w:r>
          </w:p>
        </w:tc>
        <w:tc>
          <w:tcPr>
            <w:tcW w:w="0" w:type="auto"/>
            <w:hideMark/>
          </w:tcPr>
          <w:p w14:paraId="292BD47E"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Field/greenhouse/LCA; years/seasons</w:t>
            </w:r>
          </w:p>
        </w:tc>
      </w:tr>
      <w:tr w:rsidR="00654AED" w:rsidRPr="00654AED" w14:paraId="579329B4" w14:textId="77777777" w:rsidTr="00654AED">
        <w:tc>
          <w:tcPr>
            <w:cnfStyle w:val="001000000000" w:firstRow="0" w:lastRow="0" w:firstColumn="1" w:lastColumn="0" w:oddVBand="0" w:evenVBand="0" w:oddHBand="0" w:evenHBand="0" w:firstRowFirstColumn="0" w:firstRowLastColumn="0" w:lastRowFirstColumn="0" w:lastRowLastColumn="0"/>
            <w:tcW w:w="0" w:type="auto"/>
            <w:hideMark/>
          </w:tcPr>
          <w:p w14:paraId="03415F68"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Outcomes &amp; units</w:t>
            </w:r>
          </w:p>
        </w:tc>
        <w:tc>
          <w:tcPr>
            <w:tcW w:w="0" w:type="auto"/>
            <w:hideMark/>
          </w:tcPr>
          <w:p w14:paraId="7DF5BE5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lang w:val="en-GB"/>
              </w:rPr>
              <w:t xml:space="preserve">Yield; SOC and related soil properties; nitrate leaching or related loss indicators; GHG incl. </w:t>
            </w:r>
            <w:r w:rsidRPr="00654AED">
              <w:rPr>
                <w:rFonts w:ascii="Times New Roman" w:hAnsi="Times New Roman" w:cs="Times New Roman"/>
              </w:rPr>
              <w:t>N₂O</w:t>
            </w:r>
          </w:p>
        </w:tc>
      </w:tr>
      <w:tr w:rsidR="00654AED" w:rsidRPr="00654AED" w14:paraId="10498A46"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B3CE1C"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Comparator</w:t>
            </w:r>
          </w:p>
        </w:tc>
        <w:tc>
          <w:tcPr>
            <w:tcW w:w="0" w:type="auto"/>
            <w:hideMark/>
          </w:tcPr>
          <w:p w14:paraId="63F6DB5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Mineral only; organic only; baseline</w:t>
            </w:r>
          </w:p>
        </w:tc>
      </w:tr>
      <w:tr w:rsidR="00654AED" w:rsidRPr="00654AED" w14:paraId="4DC72861" w14:textId="77777777" w:rsidTr="00654AED">
        <w:tc>
          <w:tcPr>
            <w:cnfStyle w:val="001000000000" w:firstRow="0" w:lastRow="0" w:firstColumn="1" w:lastColumn="0" w:oddVBand="0" w:evenVBand="0" w:oddHBand="0" w:evenHBand="0" w:firstRowFirstColumn="0" w:firstRowLastColumn="0" w:lastRowFirstColumn="0" w:lastRowLastColumn="0"/>
            <w:tcW w:w="0" w:type="auto"/>
            <w:hideMark/>
          </w:tcPr>
          <w:p w14:paraId="704A67F5"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Key effect(s)</w:t>
            </w:r>
          </w:p>
        </w:tc>
        <w:tc>
          <w:tcPr>
            <w:tcW w:w="0" w:type="auto"/>
            <w:hideMark/>
          </w:tcPr>
          <w:p w14:paraId="71831B9C"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Δ value or % (specify)</w:t>
            </w:r>
          </w:p>
        </w:tc>
      </w:tr>
      <w:tr w:rsidR="00654AED" w:rsidRPr="00654AED" w14:paraId="128F40BE"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65030D"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Adoption context</w:t>
            </w:r>
          </w:p>
        </w:tc>
        <w:tc>
          <w:tcPr>
            <w:tcW w:w="0" w:type="auto"/>
            <w:hideMark/>
          </w:tcPr>
          <w:p w14:paraId="7A33068D"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Policy, infrastructure, finance, extension descriptors</w:t>
            </w:r>
          </w:p>
        </w:tc>
      </w:tr>
    </w:tbl>
    <w:p w14:paraId="1CB373B2" w14:textId="77777777" w:rsidR="00654AED" w:rsidRPr="00654AED" w:rsidRDefault="00654AED" w:rsidP="00654AED">
      <w:pPr>
        <w:spacing w:after="0" w:line="240" w:lineRule="auto"/>
        <w:rPr>
          <w:rFonts w:ascii="Times New Roman" w:hAnsi="Times New Roman" w:cs="Times New Roman"/>
          <w:b/>
          <w:bCs/>
        </w:rPr>
      </w:pPr>
      <w:r w:rsidRPr="00654AED">
        <w:rPr>
          <w:rFonts w:ascii="Times New Roman" w:hAnsi="Times New Roman" w:cs="Times New Roman"/>
          <w:b/>
          <w:bCs/>
        </w:rPr>
        <w:t>S1.6 PRISMA 2020 mapping</w:t>
      </w:r>
    </w:p>
    <w:p w14:paraId="2B6A2FC2" w14:textId="03D6E07E" w:rsidR="00654AED" w:rsidRPr="00654AED" w:rsidRDefault="00654AED" w:rsidP="00654AED">
      <w:pPr>
        <w:numPr>
          <w:ilvl w:val="0"/>
          <w:numId w:val="10"/>
        </w:numPr>
        <w:spacing w:after="0" w:line="240" w:lineRule="auto"/>
        <w:rPr>
          <w:rFonts w:ascii="Times New Roman" w:hAnsi="Times New Roman" w:cs="Times New Roman"/>
          <w:lang w:val="en-GB"/>
        </w:rPr>
      </w:pPr>
      <w:r w:rsidRPr="00654AED">
        <w:rPr>
          <w:rFonts w:ascii="Times New Roman" w:hAnsi="Times New Roman" w:cs="Times New Roman"/>
          <w:b/>
          <w:bCs/>
          <w:lang w:val="en-GB"/>
        </w:rPr>
        <w:t>Items 1</w:t>
      </w:r>
      <w:r w:rsidR="00DD3301">
        <w:rPr>
          <w:rFonts w:ascii="Times New Roman" w:hAnsi="Times New Roman" w:cs="Times New Roman"/>
          <w:b/>
          <w:bCs/>
          <w:lang w:val="en-GB"/>
        </w:rPr>
        <w:t>-</w:t>
      </w:r>
      <w:r w:rsidRPr="00654AED">
        <w:rPr>
          <w:rFonts w:ascii="Times New Roman" w:hAnsi="Times New Roman" w:cs="Times New Roman"/>
          <w:b/>
          <w:bCs/>
          <w:lang w:val="en-GB"/>
        </w:rPr>
        <w:t>2 (Title/Abstract):</w:t>
      </w:r>
      <w:r w:rsidRPr="00654AED">
        <w:rPr>
          <w:rFonts w:ascii="Times New Roman" w:hAnsi="Times New Roman" w:cs="Times New Roman"/>
          <w:lang w:val="en-GB"/>
        </w:rPr>
        <w:t xml:space="preserve"> Title; Abstract.</w:t>
      </w:r>
    </w:p>
    <w:p w14:paraId="23B6F2E1" w14:textId="6E30797F" w:rsidR="00654AED" w:rsidRPr="00654AED" w:rsidRDefault="00654AED" w:rsidP="00654AED">
      <w:pPr>
        <w:numPr>
          <w:ilvl w:val="0"/>
          <w:numId w:val="10"/>
        </w:numPr>
        <w:spacing w:after="0" w:line="240" w:lineRule="auto"/>
        <w:rPr>
          <w:rFonts w:ascii="Times New Roman" w:hAnsi="Times New Roman" w:cs="Times New Roman"/>
          <w:lang w:val="en-GB"/>
        </w:rPr>
      </w:pPr>
      <w:r w:rsidRPr="00654AED">
        <w:rPr>
          <w:rFonts w:ascii="Times New Roman" w:hAnsi="Times New Roman" w:cs="Times New Roman"/>
          <w:b/>
          <w:bCs/>
          <w:lang w:val="en-GB"/>
        </w:rPr>
        <w:t>Items 5</w:t>
      </w:r>
      <w:r w:rsidR="00DD3301">
        <w:rPr>
          <w:rFonts w:ascii="Times New Roman" w:hAnsi="Times New Roman" w:cs="Times New Roman"/>
          <w:b/>
          <w:bCs/>
          <w:lang w:val="en-GB"/>
        </w:rPr>
        <w:t>-</w:t>
      </w:r>
      <w:r w:rsidRPr="00654AED">
        <w:rPr>
          <w:rFonts w:ascii="Times New Roman" w:hAnsi="Times New Roman" w:cs="Times New Roman"/>
          <w:b/>
          <w:bCs/>
          <w:lang w:val="en-GB"/>
        </w:rPr>
        <w:t>7 (Information sources, search, eligibility):</w:t>
      </w:r>
      <w:r w:rsidRPr="00654AED">
        <w:rPr>
          <w:rFonts w:ascii="Times New Roman" w:hAnsi="Times New Roman" w:cs="Times New Roman"/>
          <w:lang w:val="en-GB"/>
        </w:rPr>
        <w:t xml:space="preserve"> Methods §2.2, §2.5; Appendix S1.</w:t>
      </w:r>
    </w:p>
    <w:p w14:paraId="3C906D91" w14:textId="478DCF9A" w:rsidR="00654AED" w:rsidRPr="00654AED" w:rsidRDefault="00654AED" w:rsidP="00654AED">
      <w:pPr>
        <w:numPr>
          <w:ilvl w:val="0"/>
          <w:numId w:val="10"/>
        </w:numPr>
        <w:spacing w:after="0" w:line="240" w:lineRule="auto"/>
        <w:rPr>
          <w:rFonts w:ascii="Times New Roman" w:hAnsi="Times New Roman" w:cs="Times New Roman"/>
          <w:lang w:val="en-GB"/>
        </w:rPr>
      </w:pPr>
      <w:r w:rsidRPr="00654AED">
        <w:rPr>
          <w:rFonts w:ascii="Times New Roman" w:hAnsi="Times New Roman" w:cs="Times New Roman"/>
          <w:b/>
          <w:bCs/>
          <w:lang w:val="en-GB"/>
        </w:rPr>
        <w:t>Item 8 (Selection process):</w:t>
      </w:r>
      <w:r w:rsidRPr="00654AED">
        <w:rPr>
          <w:rFonts w:ascii="Times New Roman" w:hAnsi="Times New Roman" w:cs="Times New Roman"/>
          <w:lang w:val="en-GB"/>
        </w:rPr>
        <w:t xml:space="preserve"> Methods §2.3</w:t>
      </w:r>
      <w:r w:rsidR="00DD3301">
        <w:rPr>
          <w:rFonts w:ascii="Times New Roman" w:hAnsi="Times New Roman" w:cs="Times New Roman"/>
          <w:lang w:val="en-GB"/>
        </w:rPr>
        <w:t>-</w:t>
      </w:r>
      <w:r w:rsidRPr="00654AED">
        <w:rPr>
          <w:rFonts w:ascii="Times New Roman" w:hAnsi="Times New Roman" w:cs="Times New Roman"/>
          <w:lang w:val="en-GB"/>
        </w:rPr>
        <w:t>2.4; Figure 1; Appendix S2.</w:t>
      </w:r>
    </w:p>
    <w:p w14:paraId="0BC826A0" w14:textId="1D6B3260" w:rsidR="00654AED" w:rsidRPr="00654AED" w:rsidRDefault="00654AED" w:rsidP="00654AED">
      <w:pPr>
        <w:numPr>
          <w:ilvl w:val="0"/>
          <w:numId w:val="10"/>
        </w:numPr>
        <w:spacing w:after="0" w:line="240" w:lineRule="auto"/>
        <w:rPr>
          <w:rFonts w:ascii="Times New Roman" w:hAnsi="Times New Roman" w:cs="Times New Roman"/>
          <w:lang w:val="en-GB"/>
        </w:rPr>
      </w:pPr>
      <w:r w:rsidRPr="00654AED">
        <w:rPr>
          <w:rFonts w:ascii="Times New Roman" w:hAnsi="Times New Roman" w:cs="Times New Roman"/>
          <w:b/>
          <w:bCs/>
          <w:lang w:val="en-GB"/>
        </w:rPr>
        <w:t>Items 9</w:t>
      </w:r>
      <w:r w:rsidR="00DD3301">
        <w:rPr>
          <w:rFonts w:ascii="Times New Roman" w:hAnsi="Times New Roman" w:cs="Times New Roman"/>
          <w:b/>
          <w:bCs/>
          <w:lang w:val="en-GB"/>
        </w:rPr>
        <w:t>-</w:t>
      </w:r>
      <w:r w:rsidRPr="00654AED">
        <w:rPr>
          <w:rFonts w:ascii="Times New Roman" w:hAnsi="Times New Roman" w:cs="Times New Roman"/>
          <w:b/>
          <w:bCs/>
          <w:lang w:val="en-GB"/>
        </w:rPr>
        <w:t>10 (Data items and collection):</w:t>
      </w:r>
      <w:r w:rsidRPr="00654AED">
        <w:rPr>
          <w:rFonts w:ascii="Times New Roman" w:hAnsi="Times New Roman" w:cs="Times New Roman"/>
          <w:lang w:val="en-GB"/>
        </w:rPr>
        <w:t xml:space="preserve"> Methods </w:t>
      </w:r>
      <w:r w:rsidR="00E20ED8">
        <w:rPr>
          <w:rFonts w:ascii="Times New Roman" w:hAnsi="Times New Roman" w:cs="Times New Roman"/>
          <w:lang w:val="en-GB"/>
        </w:rPr>
        <w:t>-</w:t>
      </w:r>
      <w:r w:rsidRPr="00654AED">
        <w:rPr>
          <w:rFonts w:ascii="Times New Roman" w:hAnsi="Times New Roman" w:cs="Times New Roman"/>
          <w:lang w:val="en-GB"/>
        </w:rPr>
        <w:t xml:space="preserve"> Data extraction and variables.</w:t>
      </w:r>
    </w:p>
    <w:p w14:paraId="187E7E87" w14:textId="067FD4E5" w:rsidR="00654AED" w:rsidRPr="00654AED" w:rsidRDefault="002F67B9" w:rsidP="00654AED">
      <w:pPr>
        <w:numPr>
          <w:ilvl w:val="0"/>
          <w:numId w:val="10"/>
        </w:numPr>
        <w:spacing w:after="0" w:line="240" w:lineRule="auto"/>
        <w:rPr>
          <w:rFonts w:ascii="Times New Roman" w:hAnsi="Times New Roman" w:cs="Times New Roman"/>
          <w:lang w:val="en-GB"/>
        </w:rPr>
      </w:pPr>
      <w:r w:rsidRPr="002F67B9">
        <w:rPr>
          <w:rFonts w:ascii="Times New Roman" w:hAnsi="Times New Roman" w:cs="Times New Roman"/>
          <w:b/>
          <w:bCs/>
          <w:lang w:val="en-GB"/>
        </w:rPr>
        <w:t xml:space="preserve">Item 13 (Synthesis methods/effect measures): </w:t>
      </w:r>
      <w:r w:rsidRPr="002F67B9">
        <w:rPr>
          <w:rFonts w:ascii="Times New Roman" w:hAnsi="Times New Roman" w:cs="Times New Roman"/>
          <w:lang w:val="en-GB"/>
        </w:rPr>
        <w:t>Methods §2.7; Supplementary Tables S3</w:t>
      </w:r>
      <w:r w:rsidR="00DD3301">
        <w:rPr>
          <w:rFonts w:ascii="Times New Roman" w:hAnsi="Times New Roman" w:cs="Times New Roman"/>
          <w:lang w:val="en-GB"/>
        </w:rPr>
        <w:t>-</w:t>
      </w:r>
      <w:r w:rsidRPr="002F67B9">
        <w:rPr>
          <w:rFonts w:ascii="Times New Roman" w:hAnsi="Times New Roman" w:cs="Times New Roman"/>
          <w:lang w:val="en-GB"/>
        </w:rPr>
        <w:t>S5</w:t>
      </w:r>
      <w:r w:rsidR="00654AED" w:rsidRPr="00654AED">
        <w:rPr>
          <w:rFonts w:ascii="Times New Roman" w:hAnsi="Times New Roman" w:cs="Times New Roman"/>
          <w:lang w:val="en-GB"/>
        </w:rPr>
        <w:t>.</w:t>
      </w:r>
    </w:p>
    <w:p w14:paraId="47C8AF93" w14:textId="77777777" w:rsidR="00654AED" w:rsidRPr="00654AED" w:rsidRDefault="00654AED" w:rsidP="00654AED">
      <w:pPr>
        <w:numPr>
          <w:ilvl w:val="0"/>
          <w:numId w:val="10"/>
        </w:numPr>
        <w:spacing w:after="0" w:line="240" w:lineRule="auto"/>
        <w:rPr>
          <w:rFonts w:ascii="Times New Roman" w:hAnsi="Times New Roman" w:cs="Times New Roman"/>
          <w:lang w:val="en-GB"/>
        </w:rPr>
      </w:pPr>
      <w:r w:rsidRPr="00654AED">
        <w:rPr>
          <w:rFonts w:ascii="Times New Roman" w:hAnsi="Times New Roman" w:cs="Times New Roman"/>
          <w:b/>
          <w:bCs/>
          <w:lang w:val="en-GB"/>
        </w:rPr>
        <w:t>Items 14 and 23 (Risk of bias/Limitations):</w:t>
      </w:r>
      <w:r w:rsidRPr="00654AED">
        <w:rPr>
          <w:rFonts w:ascii="Times New Roman" w:hAnsi="Times New Roman" w:cs="Times New Roman"/>
          <w:lang w:val="en-GB"/>
        </w:rPr>
        <w:t xml:space="preserve"> Methods §2.9; Limitations section.</w:t>
      </w:r>
    </w:p>
    <w:p w14:paraId="79046C85" w14:textId="0DD1FCC5" w:rsidR="00654AED" w:rsidRPr="00654AED" w:rsidRDefault="00654AED" w:rsidP="00654AED">
      <w:pPr>
        <w:spacing w:after="0" w:line="240" w:lineRule="auto"/>
        <w:rPr>
          <w:rFonts w:ascii="Times New Roman" w:hAnsi="Times New Roman" w:cs="Times New Roman"/>
          <w:b/>
          <w:bCs/>
          <w:lang w:val="en-GB"/>
        </w:rPr>
      </w:pPr>
      <w:r w:rsidRPr="00654AED">
        <w:rPr>
          <w:rFonts w:ascii="Times New Roman" w:hAnsi="Times New Roman" w:cs="Times New Roman"/>
          <w:b/>
          <w:bCs/>
          <w:lang w:val="en-GB"/>
        </w:rPr>
        <w:t>S1.7 Objectives</w:t>
      </w:r>
      <w:r w:rsidR="00DD3301" w:rsidRPr="00DD3301">
        <w:rPr>
          <w:rFonts w:ascii="Times New Roman" w:hAnsi="Times New Roman" w:cs="Times New Roman"/>
          <w:b/>
          <w:bCs/>
          <w:lang w:val="en-GB"/>
        </w:rPr>
        <w:t>-</w:t>
      </w:r>
      <w:r w:rsidRPr="00654AED">
        <w:rPr>
          <w:rFonts w:ascii="Times New Roman" w:hAnsi="Times New Roman" w:cs="Times New Roman"/>
          <w:b/>
          <w:bCs/>
          <w:lang w:val="en-GB"/>
        </w:rPr>
        <w:t>methods</w:t>
      </w:r>
      <w:r w:rsidR="00DD3301" w:rsidRPr="00DD3301">
        <w:rPr>
          <w:rFonts w:ascii="Times New Roman" w:hAnsi="Times New Roman" w:cs="Times New Roman"/>
          <w:b/>
          <w:bCs/>
          <w:lang w:val="en-GB"/>
        </w:rPr>
        <w:t>-</w:t>
      </w:r>
      <w:r w:rsidRPr="00654AED">
        <w:rPr>
          <w:rFonts w:ascii="Times New Roman" w:hAnsi="Times New Roman" w:cs="Times New Roman"/>
          <w:b/>
          <w:bCs/>
          <w:lang w:val="en-GB"/>
        </w:rPr>
        <w:t>sources mapping</w:t>
      </w:r>
    </w:p>
    <w:tbl>
      <w:tblPr>
        <w:tblStyle w:val="PlainTable2"/>
        <w:tblW w:w="0" w:type="auto"/>
        <w:tblLook w:val="04A0" w:firstRow="1" w:lastRow="0" w:firstColumn="1" w:lastColumn="0" w:noHBand="0" w:noVBand="1"/>
      </w:tblPr>
      <w:tblGrid>
        <w:gridCol w:w="2295"/>
        <w:gridCol w:w="2262"/>
        <w:gridCol w:w="2175"/>
        <w:gridCol w:w="2340"/>
      </w:tblGrid>
      <w:tr w:rsidR="00654AED" w:rsidRPr="00654AED" w14:paraId="4E247F3E" w14:textId="77777777" w:rsidTr="00654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C42D84"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Research objective</w:t>
            </w:r>
          </w:p>
        </w:tc>
        <w:tc>
          <w:tcPr>
            <w:tcW w:w="0" w:type="auto"/>
            <w:hideMark/>
          </w:tcPr>
          <w:p w14:paraId="3612FCE4"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54AED">
              <w:rPr>
                <w:rFonts w:ascii="Times New Roman" w:hAnsi="Times New Roman" w:cs="Times New Roman"/>
                <w:b w:val="0"/>
                <w:bCs w:val="0"/>
              </w:rPr>
              <w:t>Outcomes</w:t>
            </w:r>
          </w:p>
        </w:tc>
        <w:tc>
          <w:tcPr>
            <w:tcW w:w="0" w:type="auto"/>
            <w:hideMark/>
          </w:tcPr>
          <w:p w14:paraId="117C8BCD"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54AED">
              <w:rPr>
                <w:rFonts w:ascii="Times New Roman" w:hAnsi="Times New Roman" w:cs="Times New Roman"/>
                <w:b w:val="0"/>
                <w:bCs w:val="0"/>
              </w:rPr>
              <w:t>Methods</w:t>
            </w:r>
          </w:p>
        </w:tc>
        <w:tc>
          <w:tcPr>
            <w:tcW w:w="0" w:type="auto"/>
            <w:hideMark/>
          </w:tcPr>
          <w:p w14:paraId="720BEA32"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54AED">
              <w:rPr>
                <w:rFonts w:ascii="Times New Roman" w:hAnsi="Times New Roman" w:cs="Times New Roman"/>
                <w:b w:val="0"/>
                <w:bCs w:val="0"/>
              </w:rPr>
              <w:t>Primary sources used</w:t>
            </w:r>
          </w:p>
        </w:tc>
      </w:tr>
      <w:tr w:rsidR="00654AED" w:rsidRPr="00654AED" w14:paraId="6351E86E"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3249C2" w14:textId="77777777" w:rsidR="00654AED" w:rsidRPr="00654AED" w:rsidRDefault="00654AED" w:rsidP="00654AED">
            <w:pPr>
              <w:rPr>
                <w:rFonts w:ascii="Times New Roman" w:hAnsi="Times New Roman" w:cs="Times New Roman"/>
                <w:b w:val="0"/>
                <w:bCs w:val="0"/>
                <w:lang w:val="en-GB"/>
              </w:rPr>
            </w:pPr>
            <w:r w:rsidRPr="00654AED">
              <w:rPr>
                <w:rFonts w:ascii="Times New Roman" w:hAnsi="Times New Roman" w:cs="Times New Roman"/>
                <w:b w:val="0"/>
                <w:bCs w:val="0"/>
                <w:lang w:val="en-GB"/>
              </w:rPr>
              <w:t>Quantify agronomic effects of OMFs</w:t>
            </w:r>
          </w:p>
        </w:tc>
        <w:tc>
          <w:tcPr>
            <w:tcW w:w="0" w:type="auto"/>
            <w:hideMark/>
          </w:tcPr>
          <w:p w14:paraId="49448851"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Yield; water-use efficiency</w:t>
            </w:r>
          </w:p>
        </w:tc>
        <w:tc>
          <w:tcPr>
            <w:tcW w:w="0" w:type="auto"/>
            <w:hideMark/>
          </w:tcPr>
          <w:p w14:paraId="652E7A65"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Field and greenhouse trials; template S1.5</w:t>
            </w:r>
          </w:p>
        </w:tc>
        <w:tc>
          <w:tcPr>
            <w:tcW w:w="0" w:type="auto"/>
            <w:hideMark/>
          </w:tcPr>
          <w:p w14:paraId="431A4EE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Peer-reviewed empirical studies</w:t>
            </w:r>
          </w:p>
        </w:tc>
      </w:tr>
      <w:tr w:rsidR="00654AED" w:rsidRPr="00654AED" w14:paraId="2D42F460" w14:textId="77777777" w:rsidTr="00654AED">
        <w:tc>
          <w:tcPr>
            <w:cnfStyle w:val="001000000000" w:firstRow="0" w:lastRow="0" w:firstColumn="1" w:lastColumn="0" w:oddVBand="0" w:evenVBand="0" w:oddHBand="0" w:evenHBand="0" w:firstRowFirstColumn="0" w:firstRowLastColumn="0" w:lastRowFirstColumn="0" w:lastRowLastColumn="0"/>
            <w:tcW w:w="0" w:type="auto"/>
            <w:hideMark/>
          </w:tcPr>
          <w:p w14:paraId="584EAF1B"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Quantify environmental effects</w:t>
            </w:r>
          </w:p>
        </w:tc>
        <w:tc>
          <w:tcPr>
            <w:tcW w:w="0" w:type="auto"/>
            <w:hideMark/>
          </w:tcPr>
          <w:p w14:paraId="5DA09545"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Nitrate leaching; N₂O/GHG; SOC</w:t>
            </w:r>
          </w:p>
        </w:tc>
        <w:tc>
          <w:tcPr>
            <w:tcW w:w="0" w:type="auto"/>
            <w:hideMark/>
          </w:tcPr>
          <w:p w14:paraId="748B5892"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Field trials; LCAs where available</w:t>
            </w:r>
          </w:p>
        </w:tc>
        <w:tc>
          <w:tcPr>
            <w:tcW w:w="0" w:type="auto"/>
            <w:hideMark/>
          </w:tcPr>
          <w:p w14:paraId="20D1D772"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Empirical studies; LCAs</w:t>
            </w:r>
          </w:p>
        </w:tc>
      </w:tr>
      <w:tr w:rsidR="00654AED" w:rsidRPr="00654AED" w14:paraId="52C453DB"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A5D70B" w14:textId="77777777" w:rsidR="00654AED" w:rsidRPr="00654AED" w:rsidRDefault="00654AED" w:rsidP="00654AED">
            <w:pPr>
              <w:rPr>
                <w:rFonts w:ascii="Times New Roman" w:hAnsi="Times New Roman" w:cs="Times New Roman"/>
                <w:b w:val="0"/>
                <w:bCs w:val="0"/>
              </w:rPr>
            </w:pPr>
            <w:r w:rsidRPr="00654AED">
              <w:rPr>
                <w:rFonts w:ascii="Times New Roman" w:hAnsi="Times New Roman" w:cs="Times New Roman"/>
                <w:b w:val="0"/>
                <w:bCs w:val="0"/>
              </w:rPr>
              <w:t>Summarise economic signals</w:t>
            </w:r>
          </w:p>
        </w:tc>
        <w:tc>
          <w:tcPr>
            <w:tcW w:w="0" w:type="auto"/>
            <w:hideMark/>
          </w:tcPr>
          <w:p w14:paraId="0137CED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Yield-linked income indicators; input costs</w:t>
            </w:r>
          </w:p>
        </w:tc>
        <w:tc>
          <w:tcPr>
            <w:tcW w:w="0" w:type="auto"/>
            <w:hideMark/>
          </w:tcPr>
          <w:p w14:paraId="5506BBBC"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Abstraction from trials and programme reports</w:t>
            </w:r>
          </w:p>
        </w:tc>
        <w:tc>
          <w:tcPr>
            <w:tcW w:w="0" w:type="auto"/>
            <w:hideMark/>
          </w:tcPr>
          <w:p w14:paraId="7E5D0CE3"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Empirical papers; authoritative reports</w:t>
            </w:r>
          </w:p>
        </w:tc>
      </w:tr>
      <w:tr w:rsidR="00654AED" w:rsidRPr="00654AED" w14:paraId="7712564F" w14:textId="77777777" w:rsidTr="00654AED">
        <w:tc>
          <w:tcPr>
            <w:cnfStyle w:val="001000000000" w:firstRow="0" w:lastRow="0" w:firstColumn="1" w:lastColumn="0" w:oddVBand="0" w:evenVBand="0" w:oddHBand="0" w:evenHBand="0" w:firstRowFirstColumn="0" w:firstRowLastColumn="0" w:lastRowFirstColumn="0" w:lastRowLastColumn="0"/>
            <w:tcW w:w="0" w:type="auto"/>
            <w:hideMark/>
          </w:tcPr>
          <w:p w14:paraId="50D1C7E8" w14:textId="77777777" w:rsidR="00654AED" w:rsidRPr="00654AED" w:rsidRDefault="00654AED" w:rsidP="00654AED">
            <w:pPr>
              <w:rPr>
                <w:rFonts w:ascii="Times New Roman" w:hAnsi="Times New Roman" w:cs="Times New Roman"/>
                <w:b w:val="0"/>
                <w:bCs w:val="0"/>
                <w:lang w:val="en-GB"/>
              </w:rPr>
            </w:pPr>
            <w:r w:rsidRPr="00654AED">
              <w:rPr>
                <w:rFonts w:ascii="Times New Roman" w:hAnsi="Times New Roman" w:cs="Times New Roman"/>
                <w:b w:val="0"/>
                <w:bCs w:val="0"/>
                <w:lang w:val="en-GB"/>
              </w:rPr>
              <w:t>Describe policy and institutional drivers</w:t>
            </w:r>
          </w:p>
        </w:tc>
        <w:tc>
          <w:tcPr>
            <w:tcW w:w="0" w:type="auto"/>
            <w:hideMark/>
          </w:tcPr>
          <w:p w14:paraId="1AEEF6D6"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Regulations, standards, incentives</w:t>
            </w:r>
          </w:p>
        </w:tc>
        <w:tc>
          <w:tcPr>
            <w:tcW w:w="0" w:type="auto"/>
            <w:hideMark/>
          </w:tcPr>
          <w:p w14:paraId="5C802444"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Document review</w:t>
            </w:r>
          </w:p>
        </w:tc>
        <w:tc>
          <w:tcPr>
            <w:tcW w:w="0" w:type="auto"/>
            <w:hideMark/>
          </w:tcPr>
          <w:p w14:paraId="3AFC2B35"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FAO, EU/national policy texts, PNRS, WB reports</w:t>
            </w:r>
          </w:p>
        </w:tc>
      </w:tr>
      <w:tr w:rsidR="00654AED" w:rsidRPr="00654AED" w14:paraId="30C56E54" w14:textId="77777777" w:rsidTr="0065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860E89" w14:textId="77777777" w:rsidR="00654AED" w:rsidRPr="00654AED" w:rsidRDefault="00654AED" w:rsidP="00654AED">
            <w:pPr>
              <w:rPr>
                <w:rFonts w:ascii="Times New Roman" w:hAnsi="Times New Roman" w:cs="Times New Roman"/>
                <w:b w:val="0"/>
                <w:bCs w:val="0"/>
                <w:lang w:val="en-GB"/>
              </w:rPr>
            </w:pPr>
            <w:r w:rsidRPr="00654AED">
              <w:rPr>
                <w:rFonts w:ascii="Times New Roman" w:hAnsi="Times New Roman" w:cs="Times New Roman"/>
                <w:b w:val="0"/>
                <w:bCs w:val="0"/>
                <w:lang w:val="en-GB"/>
              </w:rPr>
              <w:t>Characterise adoption barriers and enablers</w:t>
            </w:r>
          </w:p>
        </w:tc>
        <w:tc>
          <w:tcPr>
            <w:tcW w:w="0" w:type="auto"/>
            <w:hideMark/>
          </w:tcPr>
          <w:p w14:paraId="52E85EBB"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Finance, infrastructure, extension</w:t>
            </w:r>
          </w:p>
        </w:tc>
        <w:tc>
          <w:tcPr>
            <w:tcW w:w="0" w:type="auto"/>
            <w:hideMark/>
          </w:tcPr>
          <w:p w14:paraId="3787184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4AED">
              <w:rPr>
                <w:rFonts w:ascii="Times New Roman" w:hAnsi="Times New Roman" w:cs="Times New Roman"/>
              </w:rPr>
              <w:t>Narrative synthesis</w:t>
            </w:r>
          </w:p>
        </w:tc>
        <w:tc>
          <w:tcPr>
            <w:tcW w:w="0" w:type="auto"/>
            <w:hideMark/>
          </w:tcPr>
          <w:p w14:paraId="54BB4EA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54AED">
              <w:rPr>
                <w:rFonts w:ascii="Times New Roman" w:hAnsi="Times New Roman" w:cs="Times New Roman"/>
                <w:lang w:val="en-GB"/>
              </w:rPr>
              <w:t>Empirical and grey literature already cited</w:t>
            </w:r>
          </w:p>
        </w:tc>
      </w:tr>
    </w:tbl>
    <w:p w14:paraId="21266A8E" w14:textId="77777777" w:rsidR="00654AED" w:rsidRPr="00654AED" w:rsidRDefault="00654AED" w:rsidP="00654AED">
      <w:pPr>
        <w:spacing w:after="0" w:line="240" w:lineRule="auto"/>
        <w:rPr>
          <w:rFonts w:ascii="Times New Roman" w:hAnsi="Times New Roman" w:cs="Times New Roman"/>
          <w:b/>
          <w:bCs/>
          <w:lang w:val="en-GB"/>
        </w:rPr>
      </w:pPr>
      <w:r w:rsidRPr="00654AED">
        <w:rPr>
          <w:rFonts w:ascii="Times New Roman" w:hAnsi="Times New Roman" w:cs="Times New Roman"/>
          <w:b/>
          <w:bCs/>
          <w:lang w:val="en-GB"/>
        </w:rPr>
        <w:t>S1.8 Regional balance and case-study selection</w:t>
      </w:r>
    </w:p>
    <w:p w14:paraId="58FD062A" w14:textId="77777777" w:rsidR="00947510"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lang w:val="en-GB"/>
        </w:rPr>
        <w:t>Case studies cover contrasting agro-ecological zones and policy settings in both Global North and Global South. Supplementary searches targeted regions with sparse coverage. No statistical weighting across regions was applied. Effect sizes are reported as study-level values or ranges; no meta-analytic pooling was performed because of heterogeneity in designs, soils, and metrics.</w:t>
      </w:r>
    </w:p>
    <w:p w14:paraId="0F116562" w14:textId="3BB2E4B7" w:rsidR="00E20ED8" w:rsidRDefault="00E20ED8" w:rsidP="00654AED">
      <w:pPr>
        <w:spacing w:after="0" w:line="240" w:lineRule="auto"/>
        <w:rPr>
          <w:rFonts w:ascii="Times New Roman" w:hAnsi="Times New Roman" w:cs="Times New Roman"/>
          <w:b/>
          <w:bCs/>
          <w:lang w:val="en-GB"/>
        </w:rPr>
        <w:sectPr w:rsidR="00E20ED8" w:rsidSect="00B72387">
          <w:type w:val="continuous"/>
          <w:pgSz w:w="11906" w:h="16838"/>
          <w:pgMar w:top="1417" w:right="1417" w:bottom="1417" w:left="1417" w:header="708" w:footer="708" w:gutter="0"/>
          <w:cols w:space="708"/>
          <w:docGrid w:linePitch="360"/>
        </w:sectPr>
      </w:pPr>
    </w:p>
    <w:p w14:paraId="5596DEBB" w14:textId="77777777" w:rsidR="00654AED" w:rsidRPr="00654AED" w:rsidRDefault="00654AED" w:rsidP="00654AED">
      <w:pPr>
        <w:spacing w:after="0" w:line="240" w:lineRule="auto"/>
        <w:rPr>
          <w:rFonts w:ascii="Times New Roman" w:hAnsi="Times New Roman" w:cs="Times New Roman"/>
          <w:b/>
          <w:bCs/>
          <w:lang w:val="en-GB"/>
        </w:rPr>
      </w:pPr>
      <w:r w:rsidRPr="00654AED">
        <w:rPr>
          <w:rFonts w:ascii="Times New Roman" w:hAnsi="Times New Roman" w:cs="Times New Roman"/>
          <w:b/>
          <w:bCs/>
          <w:lang w:val="en-GB"/>
        </w:rPr>
        <w:t>Appendix S2. Studies excluded at full text with reasons (PRISMA)</w:t>
      </w:r>
    </w:p>
    <w:p w14:paraId="17EB98A8" w14:textId="77777777" w:rsidR="00654AED" w:rsidRPr="00654AED" w:rsidRDefault="00654AED" w:rsidP="00654AED">
      <w:pPr>
        <w:spacing w:after="0" w:line="240" w:lineRule="auto"/>
        <w:rPr>
          <w:rFonts w:ascii="Times New Roman" w:hAnsi="Times New Roman" w:cs="Times New Roman"/>
          <w:lang w:val="en-GB"/>
        </w:rPr>
      </w:pPr>
      <w:r w:rsidRPr="00654AED">
        <w:rPr>
          <w:rFonts w:ascii="Times New Roman" w:hAnsi="Times New Roman" w:cs="Times New Roman"/>
          <w:b/>
          <w:bCs/>
          <w:lang w:val="en-GB"/>
        </w:rPr>
        <w:t>Summary of full-text exclusions (as in Figure 1):</w:t>
      </w:r>
      <w:r w:rsidRPr="00654AED">
        <w:rPr>
          <w:rFonts w:ascii="Times New Roman" w:hAnsi="Times New Roman" w:cs="Times New Roman"/>
          <w:lang w:val="en-GB"/>
        </w:rPr>
        <w:t xml:space="preserve"> Non-empirical n = 20; Insufficient data n = 15; Irrelevant context n = 10; </w:t>
      </w:r>
      <w:r w:rsidRPr="00654AED">
        <w:rPr>
          <w:rFonts w:ascii="Times New Roman" w:hAnsi="Times New Roman" w:cs="Times New Roman"/>
          <w:b/>
          <w:bCs/>
          <w:lang w:val="en-GB"/>
        </w:rPr>
        <w:t>Total n = 45.</w:t>
      </w:r>
      <w:r w:rsidRPr="00654AED">
        <w:rPr>
          <w:rFonts w:ascii="Times New Roman" w:hAnsi="Times New Roman" w:cs="Times New Roman"/>
          <w:lang w:val="en-GB"/>
        </w:rPr>
        <w:br/>
        <w:t>Items below are records from the reference list excluded from the empirical synthesis for the indicated reason. They may still be cited for background or policy context.</w:t>
      </w:r>
    </w:p>
    <w:tbl>
      <w:tblPr>
        <w:tblStyle w:val="PlainTable2"/>
        <w:tblW w:w="0" w:type="auto"/>
        <w:tblLayout w:type="fixed"/>
        <w:tblLook w:val="04A0" w:firstRow="1" w:lastRow="0" w:firstColumn="1" w:lastColumn="0" w:noHBand="0" w:noVBand="1"/>
      </w:tblPr>
      <w:tblGrid>
        <w:gridCol w:w="3331"/>
        <w:gridCol w:w="3331"/>
        <w:gridCol w:w="3331"/>
        <w:gridCol w:w="3332"/>
      </w:tblGrid>
      <w:tr w:rsidR="00654AED" w:rsidRPr="00E20ED8" w14:paraId="6FE211BB" w14:textId="77777777" w:rsidTr="00E20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444C2E03"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Author (Year)</w:t>
            </w:r>
          </w:p>
        </w:tc>
        <w:tc>
          <w:tcPr>
            <w:tcW w:w="3331" w:type="dxa"/>
            <w:hideMark/>
          </w:tcPr>
          <w:p w14:paraId="398DFFC8"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654AED">
              <w:rPr>
                <w:rFonts w:ascii="Times New Roman" w:hAnsi="Times New Roman" w:cs="Times New Roman"/>
                <w:b w:val="0"/>
                <w:bCs w:val="0"/>
                <w:sz w:val="20"/>
                <w:szCs w:val="20"/>
              </w:rPr>
              <w:t>Title (short)</w:t>
            </w:r>
          </w:p>
        </w:tc>
        <w:tc>
          <w:tcPr>
            <w:tcW w:w="3331" w:type="dxa"/>
            <w:hideMark/>
          </w:tcPr>
          <w:p w14:paraId="179A7B91"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654AED">
              <w:rPr>
                <w:rFonts w:ascii="Times New Roman" w:hAnsi="Times New Roman" w:cs="Times New Roman"/>
                <w:b w:val="0"/>
                <w:bCs w:val="0"/>
                <w:sz w:val="20"/>
                <w:szCs w:val="20"/>
              </w:rPr>
              <w:t>Reason for exclusion</w:t>
            </w:r>
          </w:p>
        </w:tc>
        <w:tc>
          <w:tcPr>
            <w:tcW w:w="3332" w:type="dxa"/>
            <w:hideMark/>
          </w:tcPr>
          <w:p w14:paraId="1C833056" w14:textId="77777777" w:rsidR="00654AED" w:rsidRPr="00654AED" w:rsidRDefault="00654AED" w:rsidP="00654AE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654AED">
              <w:rPr>
                <w:rFonts w:ascii="Times New Roman" w:hAnsi="Times New Roman" w:cs="Times New Roman"/>
                <w:b w:val="0"/>
                <w:bCs w:val="0"/>
                <w:sz w:val="20"/>
                <w:szCs w:val="20"/>
              </w:rPr>
              <w:t>DOI/Link</w:t>
            </w:r>
          </w:p>
        </w:tc>
      </w:tr>
      <w:tr w:rsidR="00654AED" w:rsidRPr="00E20ED8" w14:paraId="4DA008CC"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4ECF1F81"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Akiyama, H., Yan, X., &amp; Yagi, K. (2009)</w:t>
            </w:r>
          </w:p>
        </w:tc>
        <w:tc>
          <w:tcPr>
            <w:tcW w:w="3331" w:type="dxa"/>
            <w:hideMark/>
          </w:tcPr>
          <w:p w14:paraId="7AF8795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Enhanced-efficiency fertilisers and N₂O/NO (meta-analysis)</w:t>
            </w:r>
          </w:p>
        </w:tc>
        <w:tc>
          <w:tcPr>
            <w:tcW w:w="3331" w:type="dxa"/>
            <w:hideMark/>
          </w:tcPr>
          <w:p w14:paraId="29540ADF"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1831E80D"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10.1111/j.1365-2486.2009.02031.x</w:t>
            </w:r>
          </w:p>
        </w:tc>
      </w:tr>
      <w:tr w:rsidR="00654AED" w:rsidRPr="00E20ED8" w14:paraId="6CD495E0"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0F7E5E4B"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 xml:space="preserve">Allam, M., </w:t>
            </w:r>
            <w:proofErr w:type="spellStart"/>
            <w:r w:rsidRPr="00654AED">
              <w:rPr>
                <w:rFonts w:ascii="Times New Roman" w:hAnsi="Times New Roman" w:cs="Times New Roman"/>
                <w:b w:val="0"/>
                <w:bCs w:val="0"/>
                <w:sz w:val="20"/>
                <w:szCs w:val="20"/>
                <w:lang w:val="en-GB"/>
              </w:rPr>
              <w:t>Radicetti</w:t>
            </w:r>
            <w:proofErr w:type="spellEnd"/>
            <w:r w:rsidRPr="00654AED">
              <w:rPr>
                <w:rFonts w:ascii="Times New Roman" w:hAnsi="Times New Roman" w:cs="Times New Roman"/>
                <w:b w:val="0"/>
                <w:bCs w:val="0"/>
                <w:sz w:val="20"/>
                <w:szCs w:val="20"/>
                <w:lang w:val="en-GB"/>
              </w:rPr>
              <w:t xml:space="preserve">, E., &amp; </w:t>
            </w:r>
            <w:proofErr w:type="spellStart"/>
            <w:r w:rsidRPr="00654AED">
              <w:rPr>
                <w:rFonts w:ascii="Times New Roman" w:hAnsi="Times New Roman" w:cs="Times New Roman"/>
                <w:b w:val="0"/>
                <w:bCs w:val="0"/>
                <w:sz w:val="20"/>
                <w:szCs w:val="20"/>
                <w:lang w:val="en-GB"/>
              </w:rPr>
              <w:t>Mancinelli</w:t>
            </w:r>
            <w:proofErr w:type="spellEnd"/>
            <w:r w:rsidRPr="00654AED">
              <w:rPr>
                <w:rFonts w:ascii="Times New Roman" w:hAnsi="Times New Roman" w:cs="Times New Roman"/>
                <w:b w:val="0"/>
                <w:bCs w:val="0"/>
                <w:sz w:val="20"/>
                <w:szCs w:val="20"/>
                <w:lang w:val="en-GB"/>
              </w:rPr>
              <w:t>, R. (2022)</w:t>
            </w:r>
          </w:p>
        </w:tc>
        <w:tc>
          <w:tcPr>
            <w:tcW w:w="3331" w:type="dxa"/>
            <w:hideMark/>
          </w:tcPr>
          <w:p w14:paraId="7DF4111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Organic vs mineral fertilisers, SOC &amp; yield (meta-analysis)</w:t>
            </w:r>
          </w:p>
        </w:tc>
        <w:tc>
          <w:tcPr>
            <w:tcW w:w="3331" w:type="dxa"/>
            <w:hideMark/>
          </w:tcPr>
          <w:p w14:paraId="1740F295"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31A6F367"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10.3390/agronomy12040646</w:t>
            </w:r>
          </w:p>
        </w:tc>
      </w:tr>
      <w:tr w:rsidR="00654AED" w:rsidRPr="00E20ED8" w14:paraId="4033E45E"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32869BF3"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Assefa, S. (2019)</w:t>
            </w:r>
          </w:p>
        </w:tc>
        <w:tc>
          <w:tcPr>
            <w:tcW w:w="3331" w:type="dxa"/>
            <w:hideMark/>
          </w:tcPr>
          <w:p w14:paraId="71199091"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Organic fertiliser and soil productivity (review)</w:t>
            </w:r>
          </w:p>
        </w:tc>
        <w:tc>
          <w:tcPr>
            <w:tcW w:w="3331" w:type="dxa"/>
            <w:hideMark/>
          </w:tcPr>
          <w:p w14:paraId="7CCBFBF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388E2526"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10.19080/ARTOAJ.2019.22.556192</w:t>
            </w:r>
          </w:p>
        </w:tc>
      </w:tr>
      <w:tr w:rsidR="00654AED" w:rsidRPr="00E20ED8" w14:paraId="76BF5825"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21CCC184"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Biramo, G. (2018)</w:t>
            </w:r>
          </w:p>
        </w:tc>
        <w:tc>
          <w:tcPr>
            <w:tcW w:w="3331" w:type="dxa"/>
            <w:hideMark/>
          </w:tcPr>
          <w:p w14:paraId="4728B6DA"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Integrated nutrient management (review)</w:t>
            </w:r>
          </w:p>
        </w:tc>
        <w:tc>
          <w:tcPr>
            <w:tcW w:w="3331" w:type="dxa"/>
            <w:hideMark/>
          </w:tcPr>
          <w:p w14:paraId="7FFB911F"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70FB60D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10.31031/MCDA.2018.01.000515</w:t>
            </w:r>
          </w:p>
        </w:tc>
      </w:tr>
      <w:tr w:rsidR="00654AED" w:rsidRPr="00E20ED8" w14:paraId="35154E00"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25A57243"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Brasil (2010)</w:t>
            </w:r>
          </w:p>
        </w:tc>
        <w:tc>
          <w:tcPr>
            <w:tcW w:w="3331" w:type="dxa"/>
            <w:hideMark/>
          </w:tcPr>
          <w:p w14:paraId="571D40B1" w14:textId="372AC32F"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 xml:space="preserve">Lei nº 12.305/2010 </w:t>
            </w:r>
            <w:r w:rsidR="00E20ED8" w:rsidRPr="00E20ED8">
              <w:rPr>
                <w:rFonts w:ascii="Times New Roman" w:hAnsi="Times New Roman" w:cs="Times New Roman"/>
                <w:sz w:val="20"/>
                <w:szCs w:val="20"/>
              </w:rPr>
              <w:t>-</w:t>
            </w:r>
            <w:r w:rsidRPr="00654AED">
              <w:rPr>
                <w:rFonts w:ascii="Times New Roman" w:hAnsi="Times New Roman" w:cs="Times New Roman"/>
                <w:sz w:val="20"/>
                <w:szCs w:val="20"/>
              </w:rPr>
              <w:t xml:space="preserve"> PNRS</w:t>
            </w:r>
          </w:p>
        </w:tc>
        <w:tc>
          <w:tcPr>
            <w:tcW w:w="3331" w:type="dxa"/>
            <w:hideMark/>
          </w:tcPr>
          <w:p w14:paraId="1847A3AA"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0F5E70AD" w14:textId="77777777" w:rsidR="00654AED" w:rsidRPr="00654AED" w:rsidRDefault="00B72387"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5" w:history="1">
              <w:r w:rsidR="00654AED" w:rsidRPr="00654AED">
                <w:rPr>
                  <w:rStyle w:val="Hyperlink"/>
                  <w:rFonts w:ascii="Times New Roman" w:hAnsi="Times New Roman" w:cs="Times New Roman"/>
                  <w:color w:val="auto"/>
                  <w:sz w:val="20"/>
                  <w:szCs w:val="20"/>
                </w:rPr>
                <w:t>https://www.planalto.gov.br/ccivil_03/_ato2007-2010/2010/lei/l12305.htm</w:t>
              </w:r>
            </w:hyperlink>
          </w:p>
        </w:tc>
      </w:tr>
      <w:tr w:rsidR="00654AED" w:rsidRPr="00E20ED8" w14:paraId="101F0B9E"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0D5E35D6"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FAO Investment Centre &amp; FAO OCCBE (2023)</w:t>
            </w:r>
          </w:p>
        </w:tc>
        <w:tc>
          <w:tcPr>
            <w:tcW w:w="3331" w:type="dxa"/>
            <w:hideMark/>
          </w:tcPr>
          <w:p w14:paraId="7244126E"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Agrifood systems in the voluntary carbon market</w:t>
            </w:r>
          </w:p>
        </w:tc>
        <w:tc>
          <w:tcPr>
            <w:tcW w:w="3331" w:type="dxa"/>
            <w:hideMark/>
          </w:tcPr>
          <w:p w14:paraId="3883EEF0"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3872331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10.4060/cc4140en</w:t>
            </w:r>
          </w:p>
        </w:tc>
      </w:tr>
      <w:tr w:rsidR="00654AED" w:rsidRPr="00E20ED8" w14:paraId="1FC4FED9"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120D7575"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FAO (2022)</w:t>
            </w:r>
          </w:p>
        </w:tc>
        <w:tc>
          <w:tcPr>
            <w:tcW w:w="3331" w:type="dxa"/>
            <w:hideMark/>
          </w:tcPr>
          <w:p w14:paraId="295FC0CD"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World Fertiliser Trends and Outlook to 2022</w:t>
            </w:r>
          </w:p>
        </w:tc>
        <w:tc>
          <w:tcPr>
            <w:tcW w:w="3331" w:type="dxa"/>
            <w:hideMark/>
          </w:tcPr>
          <w:p w14:paraId="59745442"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5ED1555F" w14:textId="77777777" w:rsidR="00654AED" w:rsidRPr="00654AED" w:rsidRDefault="00B72387"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6" w:history="1">
              <w:r w:rsidR="00654AED" w:rsidRPr="00654AED">
                <w:rPr>
                  <w:rStyle w:val="Hyperlink"/>
                  <w:rFonts w:ascii="Times New Roman" w:hAnsi="Times New Roman" w:cs="Times New Roman"/>
                  <w:color w:val="auto"/>
                  <w:sz w:val="20"/>
                  <w:szCs w:val="20"/>
                </w:rPr>
                <w:t>https://www.fao.org</w:t>
              </w:r>
            </w:hyperlink>
          </w:p>
        </w:tc>
      </w:tr>
      <w:tr w:rsidR="00654AED" w:rsidRPr="00E20ED8" w14:paraId="2D792DF8"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63717C6F"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Wilton, B., et al. (2023)</w:t>
            </w:r>
          </w:p>
        </w:tc>
        <w:tc>
          <w:tcPr>
            <w:tcW w:w="3331" w:type="dxa"/>
            <w:hideMark/>
          </w:tcPr>
          <w:p w14:paraId="13BF919B" w14:textId="447E352C"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 xml:space="preserve">EU-Canada Agriculture Dialogue </w:t>
            </w:r>
            <w:r w:rsidR="00E20ED8" w:rsidRPr="00E20ED8">
              <w:rPr>
                <w:rFonts w:ascii="Times New Roman" w:hAnsi="Times New Roman" w:cs="Times New Roman"/>
                <w:sz w:val="20"/>
                <w:szCs w:val="20"/>
                <w:lang w:val="en-GB"/>
              </w:rPr>
              <w:t>-</w:t>
            </w:r>
            <w:r w:rsidRPr="00654AED">
              <w:rPr>
                <w:rFonts w:ascii="Times New Roman" w:hAnsi="Times New Roman" w:cs="Times New Roman"/>
                <w:sz w:val="20"/>
                <w:szCs w:val="20"/>
                <w:lang w:val="en-GB"/>
              </w:rPr>
              <w:t xml:space="preserve"> Sustainable fertilisers (report)</w:t>
            </w:r>
          </w:p>
        </w:tc>
        <w:tc>
          <w:tcPr>
            <w:tcW w:w="3331" w:type="dxa"/>
            <w:hideMark/>
          </w:tcPr>
          <w:p w14:paraId="3741B4A3"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6EBB9612" w14:textId="77777777" w:rsidR="00654AED" w:rsidRPr="00654AED" w:rsidRDefault="00B72387"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7" w:history="1">
              <w:r w:rsidR="00654AED" w:rsidRPr="00654AED">
                <w:rPr>
                  <w:rStyle w:val="Hyperlink"/>
                  <w:rFonts w:ascii="Times New Roman" w:hAnsi="Times New Roman" w:cs="Times New Roman"/>
                  <w:color w:val="auto"/>
                  <w:sz w:val="20"/>
                  <w:szCs w:val="20"/>
                </w:rPr>
                <w:t>https://agriculture.canada.ca</w:t>
              </w:r>
            </w:hyperlink>
          </w:p>
        </w:tc>
      </w:tr>
      <w:tr w:rsidR="00654AED" w:rsidRPr="00E20ED8" w14:paraId="6BF7A01A"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1CE55FA2"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World Bank (2021)</w:t>
            </w:r>
          </w:p>
        </w:tc>
        <w:tc>
          <w:tcPr>
            <w:tcW w:w="3331" w:type="dxa"/>
            <w:hideMark/>
          </w:tcPr>
          <w:p w14:paraId="269289D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Africa infrastructure outlook 2021</w:t>
            </w:r>
          </w:p>
        </w:tc>
        <w:tc>
          <w:tcPr>
            <w:tcW w:w="3331" w:type="dxa"/>
            <w:hideMark/>
          </w:tcPr>
          <w:p w14:paraId="5EBEDB9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5AFB0B91" w14:textId="529A2191" w:rsidR="00654AED" w:rsidRPr="00654AED" w:rsidRDefault="00E20ED8"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ED8">
              <w:rPr>
                <w:rFonts w:ascii="Times New Roman" w:hAnsi="Times New Roman" w:cs="Times New Roman"/>
                <w:sz w:val="20"/>
                <w:szCs w:val="20"/>
              </w:rPr>
              <w:t>-</w:t>
            </w:r>
          </w:p>
        </w:tc>
      </w:tr>
      <w:tr w:rsidR="00654AED" w:rsidRPr="00E20ED8" w14:paraId="7350FEE4"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15C5EAE7"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World Bank (2025)</w:t>
            </w:r>
          </w:p>
        </w:tc>
        <w:tc>
          <w:tcPr>
            <w:tcW w:w="3331" w:type="dxa"/>
            <w:hideMark/>
          </w:tcPr>
          <w:p w14:paraId="64D1514B"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Transport connectivity for food security in Africa</w:t>
            </w:r>
          </w:p>
        </w:tc>
        <w:tc>
          <w:tcPr>
            <w:tcW w:w="3331" w:type="dxa"/>
            <w:hideMark/>
          </w:tcPr>
          <w:p w14:paraId="4D289EFC"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2A68033D" w14:textId="77777777" w:rsidR="00654AED" w:rsidRPr="00654AED" w:rsidRDefault="00B72387"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hyperlink r:id="rId8" w:history="1">
              <w:r w:rsidR="00654AED" w:rsidRPr="00654AED">
                <w:rPr>
                  <w:rStyle w:val="Hyperlink"/>
                  <w:rFonts w:ascii="Times New Roman" w:hAnsi="Times New Roman" w:cs="Times New Roman"/>
                  <w:color w:val="auto"/>
                  <w:sz w:val="20"/>
                  <w:szCs w:val="20"/>
                </w:rPr>
                <w:t>https://hdl.handle.net/10986/43003</w:t>
              </w:r>
            </w:hyperlink>
          </w:p>
        </w:tc>
      </w:tr>
      <w:tr w:rsidR="00654AED" w:rsidRPr="00E20ED8" w14:paraId="064D9CE3"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054F78D4"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 xml:space="preserve">Ryan, J., Sommer, R., &amp; </w:t>
            </w:r>
            <w:proofErr w:type="spellStart"/>
            <w:r w:rsidRPr="00654AED">
              <w:rPr>
                <w:rFonts w:ascii="Times New Roman" w:hAnsi="Times New Roman" w:cs="Times New Roman"/>
                <w:b w:val="0"/>
                <w:bCs w:val="0"/>
                <w:sz w:val="20"/>
                <w:szCs w:val="20"/>
                <w:lang w:val="en-GB"/>
              </w:rPr>
              <w:t>Ibrikci</w:t>
            </w:r>
            <w:proofErr w:type="spellEnd"/>
            <w:r w:rsidRPr="00654AED">
              <w:rPr>
                <w:rFonts w:ascii="Times New Roman" w:hAnsi="Times New Roman" w:cs="Times New Roman"/>
                <w:b w:val="0"/>
                <w:bCs w:val="0"/>
                <w:sz w:val="20"/>
                <w:szCs w:val="20"/>
                <w:lang w:val="en-GB"/>
              </w:rPr>
              <w:t>, H. (2012)</w:t>
            </w:r>
          </w:p>
        </w:tc>
        <w:tc>
          <w:tcPr>
            <w:tcW w:w="3331" w:type="dxa"/>
            <w:hideMark/>
          </w:tcPr>
          <w:p w14:paraId="54DB0434"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Fertiliser Best Management Practices (WANA)</w:t>
            </w:r>
          </w:p>
        </w:tc>
        <w:tc>
          <w:tcPr>
            <w:tcW w:w="3331" w:type="dxa"/>
            <w:hideMark/>
          </w:tcPr>
          <w:p w14:paraId="713D18A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Non-empirical</w:t>
            </w:r>
          </w:p>
        </w:tc>
        <w:tc>
          <w:tcPr>
            <w:tcW w:w="3332" w:type="dxa"/>
            <w:hideMark/>
          </w:tcPr>
          <w:p w14:paraId="4FE7AFBC"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10.1111/j.1439-037X.2011.00492.x</w:t>
            </w:r>
          </w:p>
        </w:tc>
      </w:tr>
      <w:tr w:rsidR="00654AED" w:rsidRPr="00E20ED8" w14:paraId="4C6B7FBB"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6A885EEB"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Bezama, A. (2016)</w:t>
            </w:r>
          </w:p>
        </w:tc>
        <w:tc>
          <w:tcPr>
            <w:tcW w:w="3331" w:type="dxa"/>
            <w:hideMark/>
          </w:tcPr>
          <w:p w14:paraId="0CAE4EE4"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Cascading in circular/bioeconomy strategies</w:t>
            </w:r>
          </w:p>
        </w:tc>
        <w:tc>
          <w:tcPr>
            <w:tcW w:w="3331" w:type="dxa"/>
            <w:hideMark/>
          </w:tcPr>
          <w:p w14:paraId="16153B6D"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479579B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10.1177/0734242X16657973</w:t>
            </w:r>
          </w:p>
        </w:tc>
      </w:tr>
      <w:tr w:rsidR="00654AED" w:rsidRPr="00E20ED8" w14:paraId="34A2B580"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530FF463"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Aznar-Sánchez, J. A., et al. (2020)</w:t>
            </w:r>
          </w:p>
        </w:tc>
        <w:tc>
          <w:tcPr>
            <w:tcW w:w="3331" w:type="dxa"/>
            <w:hideMark/>
          </w:tcPr>
          <w:p w14:paraId="261F506F"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Circular economy indicators in agri-food</w:t>
            </w:r>
          </w:p>
        </w:tc>
        <w:tc>
          <w:tcPr>
            <w:tcW w:w="3331" w:type="dxa"/>
            <w:hideMark/>
          </w:tcPr>
          <w:p w14:paraId="1A5D7D54"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0F9DD28A"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10.1016/j.resconrec.2020.105028</w:t>
            </w:r>
          </w:p>
        </w:tc>
      </w:tr>
      <w:tr w:rsidR="00654AED" w:rsidRPr="00E20ED8" w14:paraId="22BDE414"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6119C045"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Velasco-Muñoz, J. F., et al. (2021)</w:t>
            </w:r>
          </w:p>
        </w:tc>
        <w:tc>
          <w:tcPr>
            <w:tcW w:w="3331" w:type="dxa"/>
            <w:hideMark/>
          </w:tcPr>
          <w:p w14:paraId="33F20FED"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Circular economy in agriculture</w:t>
            </w:r>
          </w:p>
        </w:tc>
        <w:tc>
          <w:tcPr>
            <w:tcW w:w="3331" w:type="dxa"/>
            <w:hideMark/>
          </w:tcPr>
          <w:p w14:paraId="6859D06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589D39C3"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10.1016/j.resconrec.2021.105618</w:t>
            </w:r>
          </w:p>
        </w:tc>
      </w:tr>
      <w:tr w:rsidR="00654AED" w:rsidRPr="00E20ED8" w14:paraId="7B5AA6A1"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69E39EDE"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Zink, T., &amp; Geyer, R. (2017)</w:t>
            </w:r>
          </w:p>
        </w:tc>
        <w:tc>
          <w:tcPr>
            <w:tcW w:w="3331" w:type="dxa"/>
            <w:hideMark/>
          </w:tcPr>
          <w:p w14:paraId="5C528F0D"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Circular Economy Rebound</w:t>
            </w:r>
          </w:p>
        </w:tc>
        <w:tc>
          <w:tcPr>
            <w:tcW w:w="3331" w:type="dxa"/>
            <w:hideMark/>
          </w:tcPr>
          <w:p w14:paraId="6646CED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457A2E9A"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10.1111/jiec.12545</w:t>
            </w:r>
          </w:p>
        </w:tc>
      </w:tr>
      <w:tr w:rsidR="00654AED" w:rsidRPr="00E20ED8" w14:paraId="3B59209B"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5FB762C6"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Karan, H., et al. (2019)</w:t>
            </w:r>
          </w:p>
        </w:tc>
        <w:tc>
          <w:tcPr>
            <w:tcW w:w="3331" w:type="dxa"/>
            <w:hideMark/>
          </w:tcPr>
          <w:p w14:paraId="1955428A"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Green bioplastics in a circular bioeconomy</w:t>
            </w:r>
          </w:p>
        </w:tc>
        <w:tc>
          <w:tcPr>
            <w:tcW w:w="3331" w:type="dxa"/>
            <w:hideMark/>
          </w:tcPr>
          <w:p w14:paraId="76E65E3A"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7EB9DCD0"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10.1016/j.tplants.2018.11.010</w:t>
            </w:r>
          </w:p>
        </w:tc>
      </w:tr>
      <w:tr w:rsidR="00654AED" w:rsidRPr="00E20ED8" w14:paraId="0D4693CA"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6544BCB0"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Handford, C., et al. (2015)</w:t>
            </w:r>
          </w:p>
        </w:tc>
        <w:tc>
          <w:tcPr>
            <w:tcW w:w="3331" w:type="dxa"/>
            <w:hideMark/>
          </w:tcPr>
          <w:p w14:paraId="190798BC"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Global pesticide legislation &amp; harmonisation</w:t>
            </w:r>
          </w:p>
        </w:tc>
        <w:tc>
          <w:tcPr>
            <w:tcW w:w="3331" w:type="dxa"/>
            <w:hideMark/>
          </w:tcPr>
          <w:p w14:paraId="537B343F"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38902775"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10.1002/ieam.1635</w:t>
            </w:r>
          </w:p>
        </w:tc>
      </w:tr>
      <w:tr w:rsidR="00654AED" w:rsidRPr="00E20ED8" w14:paraId="33A3E981"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67A06F84"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Jones, T. R., et al. (2016)</w:t>
            </w:r>
          </w:p>
        </w:tc>
        <w:tc>
          <w:tcPr>
            <w:tcW w:w="3331" w:type="dxa"/>
            <w:hideMark/>
          </w:tcPr>
          <w:p w14:paraId="10E3119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Southern Hemisphere climate variability</w:t>
            </w:r>
          </w:p>
        </w:tc>
        <w:tc>
          <w:tcPr>
            <w:tcW w:w="3331" w:type="dxa"/>
            <w:hideMark/>
          </w:tcPr>
          <w:p w14:paraId="7225AFC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2AD47547"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10.1038/nature18604</w:t>
            </w:r>
          </w:p>
        </w:tc>
      </w:tr>
      <w:tr w:rsidR="00654AED" w:rsidRPr="00E20ED8" w14:paraId="0EA3F55E"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3241C2FF"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Wang, K., et al. (2020)</w:t>
            </w:r>
          </w:p>
        </w:tc>
        <w:tc>
          <w:tcPr>
            <w:tcW w:w="3331" w:type="dxa"/>
            <w:hideMark/>
          </w:tcPr>
          <w:p w14:paraId="1FE26EE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Informal e-waste clustering &amp; pollution</w:t>
            </w:r>
          </w:p>
        </w:tc>
        <w:tc>
          <w:tcPr>
            <w:tcW w:w="3331" w:type="dxa"/>
            <w:hideMark/>
          </w:tcPr>
          <w:p w14:paraId="4CC56B95"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4CBD20E6"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10.3390/ijerph17103552</w:t>
            </w:r>
          </w:p>
        </w:tc>
      </w:tr>
      <w:tr w:rsidR="00654AED" w:rsidRPr="00E20ED8" w14:paraId="053A758E"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4308DA82"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Symul, L., et al. (2020)</w:t>
            </w:r>
          </w:p>
        </w:tc>
        <w:tc>
          <w:tcPr>
            <w:tcW w:w="3331" w:type="dxa"/>
            <w:hideMark/>
          </w:tcPr>
          <w:p w14:paraId="45B3926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Seasonal cycles in human fertility</w:t>
            </w:r>
          </w:p>
        </w:tc>
        <w:tc>
          <w:tcPr>
            <w:tcW w:w="3331" w:type="dxa"/>
            <w:hideMark/>
          </w:tcPr>
          <w:p w14:paraId="15037553"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40B89BB6"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10.1038/s41562-020-00980-8</w:t>
            </w:r>
          </w:p>
        </w:tc>
      </w:tr>
      <w:tr w:rsidR="00654AED" w:rsidRPr="00E20ED8" w14:paraId="209D9997"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2EBC734C" w14:textId="77777777" w:rsidR="00654AED" w:rsidRPr="00654AED" w:rsidRDefault="00654AED" w:rsidP="00654AED">
            <w:pPr>
              <w:rPr>
                <w:rFonts w:ascii="Times New Roman" w:hAnsi="Times New Roman" w:cs="Times New Roman"/>
                <w:b w:val="0"/>
                <w:bCs w:val="0"/>
                <w:sz w:val="20"/>
                <w:szCs w:val="20"/>
                <w:lang w:val="en-GB"/>
              </w:rPr>
            </w:pPr>
            <w:proofErr w:type="spellStart"/>
            <w:r w:rsidRPr="00654AED">
              <w:rPr>
                <w:rFonts w:ascii="Times New Roman" w:hAnsi="Times New Roman" w:cs="Times New Roman"/>
                <w:b w:val="0"/>
                <w:bCs w:val="0"/>
                <w:sz w:val="20"/>
                <w:szCs w:val="20"/>
                <w:lang w:val="en-GB"/>
              </w:rPr>
              <w:t>Chater</w:t>
            </w:r>
            <w:proofErr w:type="spellEnd"/>
            <w:r w:rsidRPr="00654AED">
              <w:rPr>
                <w:rFonts w:ascii="Times New Roman" w:hAnsi="Times New Roman" w:cs="Times New Roman"/>
                <w:b w:val="0"/>
                <w:bCs w:val="0"/>
                <w:sz w:val="20"/>
                <w:szCs w:val="20"/>
                <w:lang w:val="en-GB"/>
              </w:rPr>
              <w:t>, J. M., &amp; Garner, L. C. (2018)</w:t>
            </w:r>
          </w:p>
        </w:tc>
        <w:tc>
          <w:tcPr>
            <w:tcW w:w="3331" w:type="dxa"/>
            <w:hideMark/>
          </w:tcPr>
          <w:p w14:paraId="0E9FF29E"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Foliar nutrients in pomegranate</w:t>
            </w:r>
          </w:p>
        </w:tc>
        <w:tc>
          <w:tcPr>
            <w:tcW w:w="3331" w:type="dxa"/>
            <w:hideMark/>
          </w:tcPr>
          <w:p w14:paraId="292B603B"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00178031"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10.1016/j.scienta.2018.04.022</w:t>
            </w:r>
          </w:p>
        </w:tc>
      </w:tr>
      <w:tr w:rsidR="00654AED" w:rsidRPr="00E20ED8" w14:paraId="4F4CF9C5"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5919FBC4"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Bucagu, C., Mbonigaba, J. J. M., &amp; Uwumukiza, B. (2013/2021)</w:t>
            </w:r>
          </w:p>
        </w:tc>
        <w:tc>
          <w:tcPr>
            <w:tcW w:w="3331" w:type="dxa"/>
            <w:hideMark/>
          </w:tcPr>
          <w:p w14:paraId="54DC615F"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Organic/mineral fertilisers in smallholder farms (Rwanda)</w:t>
            </w:r>
          </w:p>
        </w:tc>
        <w:tc>
          <w:tcPr>
            <w:tcW w:w="3331" w:type="dxa"/>
            <w:hideMark/>
          </w:tcPr>
          <w:p w14:paraId="25906B2E"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306C8C3E"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10.4314/rj.v1i1</w:t>
            </w:r>
          </w:p>
        </w:tc>
      </w:tr>
      <w:tr w:rsidR="00654AED" w:rsidRPr="00E20ED8" w14:paraId="4CF89756"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5716CCD6"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Coly, I., et al. (2021)</w:t>
            </w:r>
          </w:p>
        </w:tc>
        <w:tc>
          <w:tcPr>
            <w:tcW w:w="3331" w:type="dxa"/>
            <w:hideMark/>
          </w:tcPr>
          <w:p w14:paraId="20BD1884" w14:textId="5D0F065D"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 xml:space="preserve">OMF rate </w:t>
            </w:r>
            <w:r w:rsidR="00E20ED8" w:rsidRPr="00E20ED8">
              <w:rPr>
                <w:rFonts w:ascii="Times New Roman" w:hAnsi="Times New Roman" w:cs="Times New Roman"/>
                <w:sz w:val="20"/>
                <w:szCs w:val="20"/>
                <w:lang w:val="en-GB"/>
              </w:rPr>
              <w:t>-</w:t>
            </w:r>
            <w:r w:rsidRPr="00654AED">
              <w:rPr>
                <w:rFonts w:ascii="Times New Roman" w:hAnsi="Times New Roman" w:cs="Times New Roman"/>
                <w:sz w:val="20"/>
                <w:szCs w:val="20"/>
                <w:lang w:val="en-GB"/>
              </w:rPr>
              <w:t xml:space="preserve"> </w:t>
            </w:r>
            <w:proofErr w:type="spellStart"/>
            <w:r w:rsidRPr="00654AED">
              <w:rPr>
                <w:rFonts w:ascii="Times New Roman" w:hAnsi="Times New Roman" w:cs="Times New Roman"/>
                <w:sz w:val="20"/>
                <w:szCs w:val="20"/>
                <w:lang w:val="en-GB"/>
              </w:rPr>
              <w:t>Sanio</w:t>
            </w:r>
            <w:proofErr w:type="spellEnd"/>
            <w:r w:rsidRPr="00654AED">
              <w:rPr>
                <w:rFonts w:ascii="Times New Roman" w:hAnsi="Times New Roman" w:cs="Times New Roman"/>
                <w:sz w:val="20"/>
                <w:szCs w:val="20"/>
                <w:lang w:val="en-GB"/>
              </w:rPr>
              <w:t xml:space="preserve"> millet (Senegal)</w:t>
            </w:r>
          </w:p>
        </w:tc>
        <w:tc>
          <w:tcPr>
            <w:tcW w:w="3331" w:type="dxa"/>
            <w:hideMark/>
          </w:tcPr>
          <w:p w14:paraId="11625394"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042CFD2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10.35410/ijaeb.2021.5693</w:t>
            </w:r>
          </w:p>
        </w:tc>
      </w:tr>
      <w:tr w:rsidR="00654AED" w:rsidRPr="00E20ED8" w14:paraId="33221F71"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77D293BB"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Coulibaly, K., et al. (2023)</w:t>
            </w:r>
          </w:p>
        </w:tc>
        <w:tc>
          <w:tcPr>
            <w:tcW w:w="3331" w:type="dxa"/>
            <w:hideMark/>
          </w:tcPr>
          <w:p w14:paraId="647A76CD"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Soil-fertility methods in Burkina Faso</w:t>
            </w:r>
          </w:p>
        </w:tc>
        <w:tc>
          <w:tcPr>
            <w:tcW w:w="3331" w:type="dxa"/>
            <w:hideMark/>
          </w:tcPr>
          <w:p w14:paraId="492C78B4"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4A1F7040"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10.4314/ijbcs.v17i1.19</w:t>
            </w:r>
          </w:p>
        </w:tc>
      </w:tr>
      <w:tr w:rsidR="00654AED" w:rsidRPr="00E20ED8" w14:paraId="6019BB5B"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3F1D03DF"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Cotta, S. P. M., et al. (2023)</w:t>
            </w:r>
          </w:p>
        </w:tc>
        <w:tc>
          <w:tcPr>
            <w:tcW w:w="3331" w:type="dxa"/>
            <w:hideMark/>
          </w:tcPr>
          <w:p w14:paraId="572A6956"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Thermo-resistant enzymes from composting</w:t>
            </w:r>
          </w:p>
        </w:tc>
        <w:tc>
          <w:tcPr>
            <w:tcW w:w="3331" w:type="dxa"/>
            <w:hideMark/>
          </w:tcPr>
          <w:p w14:paraId="1117F49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5F0F115B"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10.1590/1519-6984.244205</w:t>
            </w:r>
          </w:p>
        </w:tc>
      </w:tr>
      <w:tr w:rsidR="00654AED" w:rsidRPr="00E20ED8" w14:paraId="734A0C22"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56357018"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Mursyida, E., et al. (2015)</w:t>
            </w:r>
          </w:p>
        </w:tc>
        <w:tc>
          <w:tcPr>
            <w:tcW w:w="3331" w:type="dxa"/>
            <w:hideMark/>
          </w:tcPr>
          <w:p w14:paraId="5B1A20FC"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P- and K-solubilising bacteria near limestone mining</w:t>
            </w:r>
          </w:p>
        </w:tc>
        <w:tc>
          <w:tcPr>
            <w:tcW w:w="3331" w:type="dxa"/>
            <w:hideMark/>
          </w:tcPr>
          <w:p w14:paraId="14703C57"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30C79273"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10.3923/jm.2015.270.279</w:t>
            </w:r>
          </w:p>
        </w:tc>
      </w:tr>
      <w:tr w:rsidR="00654AED" w:rsidRPr="00E20ED8" w14:paraId="109A58E7"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7AC063B1"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Setiawati, T., et al. (2020)</w:t>
            </w:r>
          </w:p>
        </w:tc>
        <w:tc>
          <w:tcPr>
            <w:tcW w:w="3331" w:type="dxa"/>
            <w:hideMark/>
          </w:tcPr>
          <w:p w14:paraId="41BD7A82"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Bacillus/Pseudomonas capacity to solubilise P/K</w:t>
            </w:r>
          </w:p>
        </w:tc>
        <w:tc>
          <w:tcPr>
            <w:tcW w:w="3331" w:type="dxa"/>
            <w:hideMark/>
          </w:tcPr>
          <w:p w14:paraId="1D1194C9"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4685A867"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10.1088/1755-1315/583/1/012040</w:t>
            </w:r>
          </w:p>
        </w:tc>
      </w:tr>
      <w:tr w:rsidR="00654AED" w:rsidRPr="00E20ED8" w14:paraId="65804F90"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0C515576"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Fan, H., et al. (2020)</w:t>
            </w:r>
          </w:p>
        </w:tc>
        <w:tc>
          <w:tcPr>
            <w:tcW w:w="3331" w:type="dxa"/>
            <w:hideMark/>
          </w:tcPr>
          <w:p w14:paraId="2748448B"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Coal ashes &amp; fusion of biomass ash</w:t>
            </w:r>
          </w:p>
        </w:tc>
        <w:tc>
          <w:tcPr>
            <w:tcW w:w="3331" w:type="dxa"/>
            <w:hideMark/>
          </w:tcPr>
          <w:p w14:paraId="1A7A5693"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62580337"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10.1016/j.joei.2020.03.009</w:t>
            </w:r>
          </w:p>
        </w:tc>
      </w:tr>
      <w:tr w:rsidR="00654AED" w:rsidRPr="00E20ED8" w14:paraId="32B89B68"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06792773"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Li, M., et al. (2017)</w:t>
            </w:r>
          </w:p>
        </w:tc>
        <w:tc>
          <w:tcPr>
            <w:tcW w:w="3331" w:type="dxa"/>
            <w:hideMark/>
          </w:tcPr>
          <w:p w14:paraId="70EB1BF9"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Bio-organic fertiliser and P use efficiency</w:t>
            </w:r>
          </w:p>
        </w:tc>
        <w:tc>
          <w:tcPr>
            <w:tcW w:w="3331" w:type="dxa"/>
            <w:hideMark/>
          </w:tcPr>
          <w:p w14:paraId="069D1E51"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54A0AA7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10.1002/jpln.201600227</w:t>
            </w:r>
          </w:p>
        </w:tc>
      </w:tr>
      <w:tr w:rsidR="00654AED" w:rsidRPr="00E20ED8" w14:paraId="57A33875"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6F2EA824"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Li, C.-Z., et al. (2020)</w:t>
            </w:r>
          </w:p>
        </w:tc>
        <w:tc>
          <w:tcPr>
            <w:tcW w:w="3331" w:type="dxa"/>
            <w:hideMark/>
          </w:tcPr>
          <w:p w14:paraId="6BF5523B"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Biochar + N fertiliser; soil &amp; winter wheat (CN)</w:t>
            </w:r>
          </w:p>
        </w:tc>
        <w:tc>
          <w:tcPr>
            <w:tcW w:w="3331" w:type="dxa"/>
            <w:hideMark/>
          </w:tcPr>
          <w:p w14:paraId="3D6083AA"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3AA7EFB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10.13287/j.1001-9332.202010.028</w:t>
            </w:r>
          </w:p>
        </w:tc>
      </w:tr>
      <w:tr w:rsidR="00654AED" w:rsidRPr="00E20ED8" w14:paraId="53D54BB0"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2BB9D492"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Kasana, R. C., et al. (2017)</w:t>
            </w:r>
          </w:p>
        </w:tc>
        <w:tc>
          <w:tcPr>
            <w:tcW w:w="3331" w:type="dxa"/>
            <w:hideMark/>
          </w:tcPr>
          <w:p w14:paraId="131CA661"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Soil microbes and fertilisation responses</w:t>
            </w:r>
          </w:p>
        </w:tc>
        <w:tc>
          <w:tcPr>
            <w:tcW w:w="3331" w:type="dxa"/>
            <w:hideMark/>
          </w:tcPr>
          <w:p w14:paraId="4D2799B3"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0340464B"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10.20546/ijcmas.2017.603.201</w:t>
            </w:r>
          </w:p>
        </w:tc>
      </w:tr>
      <w:tr w:rsidR="00654AED" w:rsidRPr="00E20ED8" w14:paraId="25404E4A"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38C591BB" w14:textId="77777777" w:rsidR="00654AED" w:rsidRPr="00654AED" w:rsidRDefault="00654AED" w:rsidP="00654AED">
            <w:pPr>
              <w:rPr>
                <w:rFonts w:ascii="Times New Roman" w:hAnsi="Times New Roman" w:cs="Times New Roman"/>
                <w:b w:val="0"/>
                <w:bCs w:val="0"/>
                <w:sz w:val="20"/>
                <w:szCs w:val="20"/>
                <w:lang w:val="en-GB"/>
              </w:rPr>
            </w:pPr>
            <w:proofErr w:type="spellStart"/>
            <w:r w:rsidRPr="00654AED">
              <w:rPr>
                <w:rFonts w:ascii="Times New Roman" w:hAnsi="Times New Roman" w:cs="Times New Roman"/>
                <w:b w:val="0"/>
                <w:bCs w:val="0"/>
                <w:sz w:val="20"/>
                <w:szCs w:val="20"/>
                <w:lang w:val="en-GB"/>
              </w:rPr>
              <w:t>Morais</w:t>
            </w:r>
            <w:proofErr w:type="spellEnd"/>
            <w:r w:rsidRPr="00654AED">
              <w:rPr>
                <w:rFonts w:ascii="Times New Roman" w:hAnsi="Times New Roman" w:cs="Times New Roman"/>
                <w:b w:val="0"/>
                <w:bCs w:val="0"/>
                <w:sz w:val="20"/>
                <w:szCs w:val="20"/>
                <w:lang w:val="en-GB"/>
              </w:rPr>
              <w:t>, E. G., &amp; Silva, C. A. (2023)</w:t>
            </w:r>
          </w:p>
        </w:tc>
        <w:tc>
          <w:tcPr>
            <w:tcW w:w="3331" w:type="dxa"/>
            <w:hideMark/>
          </w:tcPr>
          <w:p w14:paraId="0E7487E8"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Slow-release NPK biochar-based fertilisers</w:t>
            </w:r>
          </w:p>
        </w:tc>
        <w:tc>
          <w:tcPr>
            <w:tcW w:w="3331" w:type="dxa"/>
            <w:hideMark/>
          </w:tcPr>
          <w:p w14:paraId="278E8202"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211E5F72"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10.1007/s42729-023-01494-y</w:t>
            </w:r>
          </w:p>
        </w:tc>
      </w:tr>
      <w:tr w:rsidR="00654AED" w:rsidRPr="00E20ED8" w14:paraId="175E042B"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2F08375D"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Mohammed, F., et al. (2018)</w:t>
            </w:r>
          </w:p>
        </w:tc>
        <w:tc>
          <w:tcPr>
            <w:tcW w:w="3331" w:type="dxa"/>
            <w:hideMark/>
          </w:tcPr>
          <w:p w14:paraId="6940B363" w14:textId="1461D396"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 xml:space="preserve">Phosphogypsum reuse </w:t>
            </w:r>
            <w:r w:rsidR="00E20ED8" w:rsidRPr="00E20ED8">
              <w:rPr>
                <w:rFonts w:ascii="Times New Roman" w:hAnsi="Times New Roman" w:cs="Times New Roman"/>
                <w:sz w:val="20"/>
                <w:szCs w:val="20"/>
              </w:rPr>
              <w:t>-</w:t>
            </w:r>
            <w:r w:rsidRPr="00654AED">
              <w:rPr>
                <w:rFonts w:ascii="Times New Roman" w:hAnsi="Times New Roman" w:cs="Times New Roman"/>
                <w:sz w:val="20"/>
                <w:szCs w:val="20"/>
              </w:rPr>
              <w:t xml:space="preserve"> sustainability</w:t>
            </w:r>
          </w:p>
        </w:tc>
        <w:tc>
          <w:tcPr>
            <w:tcW w:w="3331" w:type="dxa"/>
            <w:hideMark/>
          </w:tcPr>
          <w:p w14:paraId="722EDD8A"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0AF5EBA6"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10.1016/J.JCLEPRO.2018.03.309</w:t>
            </w:r>
          </w:p>
        </w:tc>
      </w:tr>
      <w:tr w:rsidR="00654AED" w:rsidRPr="00E20ED8" w14:paraId="663D3A74"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0CD29654"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Mamuye, M., et al. (2021)</w:t>
            </w:r>
          </w:p>
        </w:tc>
        <w:tc>
          <w:tcPr>
            <w:tcW w:w="3331" w:type="dxa"/>
            <w:hideMark/>
          </w:tcPr>
          <w:p w14:paraId="05DDCA8B" w14:textId="21059CD8"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Compost</w:t>
            </w:r>
            <w:r w:rsidR="00DD3301">
              <w:rPr>
                <w:rFonts w:ascii="Times New Roman" w:hAnsi="Times New Roman" w:cs="Times New Roman"/>
                <w:sz w:val="20"/>
                <w:szCs w:val="20"/>
                <w:lang w:val="en-GB"/>
              </w:rPr>
              <w:t>-</w:t>
            </w:r>
            <w:r w:rsidRPr="00654AED">
              <w:rPr>
                <w:rFonts w:ascii="Times New Roman" w:hAnsi="Times New Roman" w:cs="Times New Roman"/>
                <w:sz w:val="20"/>
                <w:szCs w:val="20"/>
                <w:lang w:val="en-GB"/>
              </w:rPr>
              <w:t>mineral combinations (short term)</w:t>
            </w:r>
          </w:p>
        </w:tc>
        <w:tc>
          <w:tcPr>
            <w:tcW w:w="3331" w:type="dxa"/>
            <w:hideMark/>
          </w:tcPr>
          <w:p w14:paraId="28AFE88D"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7F792995"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10.1007/s42106-021-00136-2</w:t>
            </w:r>
          </w:p>
        </w:tc>
      </w:tr>
      <w:tr w:rsidR="00654AED" w:rsidRPr="00E20ED8" w14:paraId="522A0F08"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55F861C2" w14:textId="77777777" w:rsidR="00654AED" w:rsidRPr="00654AED" w:rsidRDefault="00654AED" w:rsidP="00654AED">
            <w:pPr>
              <w:rPr>
                <w:rFonts w:ascii="Times New Roman" w:hAnsi="Times New Roman" w:cs="Times New Roman"/>
                <w:b w:val="0"/>
                <w:bCs w:val="0"/>
                <w:sz w:val="20"/>
                <w:szCs w:val="20"/>
                <w:lang w:val="en-GB"/>
              </w:rPr>
            </w:pPr>
            <w:proofErr w:type="spellStart"/>
            <w:r w:rsidRPr="00654AED">
              <w:rPr>
                <w:rFonts w:ascii="Times New Roman" w:hAnsi="Times New Roman" w:cs="Times New Roman"/>
                <w:b w:val="0"/>
                <w:bCs w:val="0"/>
                <w:sz w:val="20"/>
                <w:szCs w:val="20"/>
                <w:lang w:val="en-GB"/>
              </w:rPr>
              <w:t>Carciochi</w:t>
            </w:r>
            <w:proofErr w:type="spellEnd"/>
            <w:r w:rsidRPr="00654AED">
              <w:rPr>
                <w:rFonts w:ascii="Times New Roman" w:hAnsi="Times New Roman" w:cs="Times New Roman"/>
                <w:b w:val="0"/>
                <w:bCs w:val="0"/>
                <w:sz w:val="20"/>
                <w:szCs w:val="20"/>
                <w:lang w:val="en-GB"/>
              </w:rPr>
              <w:t>, W. D., et al. (2024)</w:t>
            </w:r>
          </w:p>
        </w:tc>
        <w:tc>
          <w:tcPr>
            <w:tcW w:w="3331" w:type="dxa"/>
            <w:hideMark/>
          </w:tcPr>
          <w:p w14:paraId="34CB45B7" w14:textId="58D22205"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 xml:space="preserve">Pelletised organo-mineral vs inorganic </w:t>
            </w:r>
            <w:r w:rsidR="00E20ED8" w:rsidRPr="00E20ED8">
              <w:rPr>
                <w:rFonts w:ascii="Times New Roman" w:hAnsi="Times New Roman" w:cs="Times New Roman"/>
                <w:sz w:val="20"/>
                <w:szCs w:val="20"/>
                <w:lang w:val="en-GB"/>
              </w:rPr>
              <w:t>-</w:t>
            </w:r>
            <w:r w:rsidRPr="00654AED">
              <w:rPr>
                <w:rFonts w:ascii="Times New Roman" w:hAnsi="Times New Roman" w:cs="Times New Roman"/>
                <w:sz w:val="20"/>
                <w:szCs w:val="20"/>
                <w:lang w:val="en-GB"/>
              </w:rPr>
              <w:t xml:space="preserve"> wheat</w:t>
            </w:r>
          </w:p>
        </w:tc>
        <w:tc>
          <w:tcPr>
            <w:tcW w:w="3331" w:type="dxa"/>
            <w:hideMark/>
          </w:tcPr>
          <w:p w14:paraId="753E4915"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71868F0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10.1007/s42729-024-02045-9</w:t>
            </w:r>
          </w:p>
        </w:tc>
      </w:tr>
      <w:tr w:rsidR="00654AED" w:rsidRPr="00E20ED8" w14:paraId="50FE251C"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328F79C1"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Bouhia, Y., et al. (2024)</w:t>
            </w:r>
          </w:p>
        </w:tc>
        <w:tc>
          <w:tcPr>
            <w:tcW w:w="3331" w:type="dxa"/>
            <w:hideMark/>
          </w:tcPr>
          <w:p w14:paraId="453E9E68"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Microbial intervention for semiliquid OMF</w:t>
            </w:r>
          </w:p>
        </w:tc>
        <w:tc>
          <w:tcPr>
            <w:tcW w:w="3331" w:type="dxa"/>
            <w:hideMark/>
          </w:tcPr>
          <w:p w14:paraId="0E4FC597"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255BE21C"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10.1016/j.jenvman.2024.120317</w:t>
            </w:r>
          </w:p>
        </w:tc>
      </w:tr>
      <w:tr w:rsidR="00654AED" w:rsidRPr="00E20ED8" w14:paraId="30CE36E8"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40E29450"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Asbai, Z., et al. (2024)</w:t>
            </w:r>
          </w:p>
        </w:tc>
        <w:tc>
          <w:tcPr>
            <w:tcW w:w="3331" w:type="dxa"/>
            <w:hideMark/>
          </w:tcPr>
          <w:p w14:paraId="4F60A58A"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Controlling nutrient release with phosphogypsum</w:t>
            </w:r>
          </w:p>
        </w:tc>
        <w:tc>
          <w:tcPr>
            <w:tcW w:w="3331" w:type="dxa"/>
            <w:hideMark/>
          </w:tcPr>
          <w:p w14:paraId="49BB8F3A"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3B7273B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10.1080/00207233.2024.2322882</w:t>
            </w:r>
          </w:p>
        </w:tc>
      </w:tr>
      <w:tr w:rsidR="00654AED" w:rsidRPr="00E20ED8" w14:paraId="33558EFF"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721D2CAF"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Chen, J., Wu, J., &amp; Young, C. (2007)</w:t>
            </w:r>
          </w:p>
        </w:tc>
        <w:tc>
          <w:tcPr>
            <w:tcW w:w="3331" w:type="dxa"/>
            <w:hideMark/>
          </w:tcPr>
          <w:p w14:paraId="64481D93"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Combined chemical/organic/bio-fertilisers (general)</w:t>
            </w:r>
          </w:p>
        </w:tc>
        <w:tc>
          <w:tcPr>
            <w:tcW w:w="3331" w:type="dxa"/>
            <w:hideMark/>
          </w:tcPr>
          <w:p w14:paraId="3DA36EBD"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41DC1670" w14:textId="33813315" w:rsidR="00654AED" w:rsidRPr="00654AED" w:rsidRDefault="00E20ED8"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ED8">
              <w:rPr>
                <w:rFonts w:ascii="Times New Roman" w:hAnsi="Times New Roman" w:cs="Times New Roman"/>
                <w:sz w:val="20"/>
                <w:szCs w:val="20"/>
              </w:rPr>
              <w:t>-</w:t>
            </w:r>
          </w:p>
        </w:tc>
      </w:tr>
      <w:tr w:rsidR="00654AED" w:rsidRPr="00E20ED8" w14:paraId="6916D7A3"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745B8AF9"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Zielonka, D., et al. (2018)</w:t>
            </w:r>
          </w:p>
        </w:tc>
        <w:tc>
          <w:tcPr>
            <w:tcW w:w="3331" w:type="dxa"/>
            <w:hideMark/>
          </w:tcPr>
          <w:p w14:paraId="76EF7774"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Cannabis sativa; sludge &amp; phosphogypsum</w:t>
            </w:r>
          </w:p>
        </w:tc>
        <w:tc>
          <w:tcPr>
            <w:tcW w:w="3331" w:type="dxa"/>
            <w:hideMark/>
          </w:tcPr>
          <w:p w14:paraId="5BC686DD"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6A30B183"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10.12775/EQ.2017.039</w:t>
            </w:r>
          </w:p>
        </w:tc>
      </w:tr>
      <w:tr w:rsidR="00654AED" w:rsidRPr="00E20ED8" w14:paraId="747F58D8"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2C5B7B62"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Shiyam, J. O., &amp; Ndaeyo, N. U. (2021)</w:t>
            </w:r>
          </w:p>
        </w:tc>
        <w:tc>
          <w:tcPr>
            <w:tcW w:w="3331" w:type="dxa"/>
            <w:hideMark/>
          </w:tcPr>
          <w:p w14:paraId="4C99190C" w14:textId="2D1D5B15"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 xml:space="preserve">Organic and mineral fertilisers </w:t>
            </w:r>
            <w:r w:rsidR="00E20ED8" w:rsidRPr="00E20ED8">
              <w:rPr>
                <w:rFonts w:ascii="Times New Roman" w:hAnsi="Times New Roman" w:cs="Times New Roman"/>
                <w:sz w:val="20"/>
                <w:szCs w:val="20"/>
                <w:lang w:val="en-GB"/>
              </w:rPr>
              <w:t>-</w:t>
            </w:r>
            <w:r w:rsidRPr="00654AED">
              <w:rPr>
                <w:rFonts w:ascii="Times New Roman" w:hAnsi="Times New Roman" w:cs="Times New Roman"/>
                <w:sz w:val="20"/>
                <w:szCs w:val="20"/>
                <w:lang w:val="en-GB"/>
              </w:rPr>
              <w:t xml:space="preserve"> maize</w:t>
            </w:r>
          </w:p>
        </w:tc>
        <w:tc>
          <w:tcPr>
            <w:tcW w:w="3331" w:type="dxa"/>
            <w:hideMark/>
          </w:tcPr>
          <w:p w14:paraId="2862AEE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Insufficient data</w:t>
            </w:r>
          </w:p>
        </w:tc>
        <w:tc>
          <w:tcPr>
            <w:tcW w:w="3332" w:type="dxa"/>
            <w:hideMark/>
          </w:tcPr>
          <w:p w14:paraId="6CDCFA68"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10.47612/0134-9759-2022-34-120-126</w:t>
            </w:r>
          </w:p>
        </w:tc>
      </w:tr>
      <w:tr w:rsidR="00654AED" w:rsidRPr="00E20ED8" w14:paraId="5A30A5D9"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54805A6B"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Odeh, L. E. (2023)</w:t>
            </w:r>
          </w:p>
        </w:tc>
        <w:tc>
          <w:tcPr>
            <w:tcW w:w="3331" w:type="dxa"/>
            <w:hideMark/>
          </w:tcPr>
          <w:p w14:paraId="5B198FC3"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Comparative analysis of GN/GS economies</w:t>
            </w:r>
          </w:p>
        </w:tc>
        <w:tc>
          <w:tcPr>
            <w:tcW w:w="3331" w:type="dxa"/>
            <w:hideMark/>
          </w:tcPr>
          <w:p w14:paraId="7EAD2452"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535760FD"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10.1016/j.jce.2023.03.002</w:t>
            </w:r>
          </w:p>
        </w:tc>
      </w:tr>
      <w:tr w:rsidR="00654AED" w:rsidRPr="00E20ED8" w14:paraId="0C53DF37"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17574ACE" w14:textId="77777777" w:rsidR="00654AED" w:rsidRPr="00654AED" w:rsidRDefault="00654AED" w:rsidP="00654AED">
            <w:pPr>
              <w:rPr>
                <w:rFonts w:ascii="Times New Roman" w:hAnsi="Times New Roman" w:cs="Times New Roman"/>
                <w:b w:val="0"/>
                <w:bCs w:val="0"/>
                <w:sz w:val="20"/>
                <w:szCs w:val="20"/>
              </w:rPr>
            </w:pPr>
            <w:r w:rsidRPr="00654AED">
              <w:rPr>
                <w:rFonts w:ascii="Times New Roman" w:hAnsi="Times New Roman" w:cs="Times New Roman"/>
                <w:b w:val="0"/>
                <w:bCs w:val="0"/>
                <w:sz w:val="20"/>
                <w:szCs w:val="20"/>
              </w:rPr>
              <w:t>Odeh, L. (2010)</w:t>
            </w:r>
          </w:p>
        </w:tc>
        <w:tc>
          <w:tcPr>
            <w:tcW w:w="3331" w:type="dxa"/>
            <w:hideMark/>
          </w:tcPr>
          <w:p w14:paraId="0ADD7391"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Global North/South relations</w:t>
            </w:r>
          </w:p>
        </w:tc>
        <w:tc>
          <w:tcPr>
            <w:tcW w:w="3331" w:type="dxa"/>
            <w:hideMark/>
          </w:tcPr>
          <w:p w14:paraId="6CA73406"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6583CCC7"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10.1257/jep.24.2.5</w:t>
            </w:r>
          </w:p>
        </w:tc>
      </w:tr>
      <w:tr w:rsidR="00654AED" w:rsidRPr="00E20ED8" w14:paraId="1209B3AB"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08A6EA32"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Corson, M. S., et al. (2022)</w:t>
            </w:r>
          </w:p>
        </w:tc>
        <w:tc>
          <w:tcPr>
            <w:tcW w:w="3331" w:type="dxa"/>
            <w:hideMark/>
          </w:tcPr>
          <w:p w14:paraId="06732FE6"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Agricultural rewilding</w:t>
            </w:r>
          </w:p>
        </w:tc>
        <w:tc>
          <w:tcPr>
            <w:tcW w:w="3331" w:type="dxa"/>
            <w:hideMark/>
          </w:tcPr>
          <w:p w14:paraId="0C0132B8"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25037E1C"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10.1016/j.agsy.2022.103410</w:t>
            </w:r>
          </w:p>
        </w:tc>
      </w:tr>
      <w:tr w:rsidR="00654AED" w:rsidRPr="00E20ED8" w14:paraId="3DEFBCAD" w14:textId="77777777" w:rsidTr="00E20ED8">
        <w:tc>
          <w:tcPr>
            <w:cnfStyle w:val="001000000000" w:firstRow="0" w:lastRow="0" w:firstColumn="1" w:lastColumn="0" w:oddVBand="0" w:evenVBand="0" w:oddHBand="0" w:evenHBand="0" w:firstRowFirstColumn="0" w:firstRowLastColumn="0" w:lastRowFirstColumn="0" w:lastRowLastColumn="0"/>
            <w:tcW w:w="3331" w:type="dxa"/>
            <w:hideMark/>
          </w:tcPr>
          <w:p w14:paraId="193E6324"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Ravindran, R., &amp; Jaiswal, A. K. (2016)</w:t>
            </w:r>
          </w:p>
        </w:tc>
        <w:tc>
          <w:tcPr>
            <w:tcW w:w="3331" w:type="dxa"/>
            <w:hideMark/>
          </w:tcPr>
          <w:p w14:paraId="096E2284"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Food-industry waste for high-value products</w:t>
            </w:r>
          </w:p>
        </w:tc>
        <w:tc>
          <w:tcPr>
            <w:tcW w:w="3331" w:type="dxa"/>
            <w:hideMark/>
          </w:tcPr>
          <w:p w14:paraId="612ECB89"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5B433FB4" w14:textId="77777777" w:rsidR="00654AED" w:rsidRPr="00654AED" w:rsidRDefault="00654AED" w:rsidP="00654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10.1016/j.tibtech.2015.09.010</w:t>
            </w:r>
          </w:p>
        </w:tc>
      </w:tr>
      <w:tr w:rsidR="00654AED" w:rsidRPr="00E20ED8" w14:paraId="678F7794" w14:textId="77777777" w:rsidTr="00E2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hideMark/>
          </w:tcPr>
          <w:p w14:paraId="3125FBFC" w14:textId="77777777" w:rsidR="00654AED" w:rsidRPr="00654AED" w:rsidRDefault="00654AED" w:rsidP="00654AED">
            <w:pPr>
              <w:rPr>
                <w:rFonts w:ascii="Times New Roman" w:hAnsi="Times New Roman" w:cs="Times New Roman"/>
                <w:b w:val="0"/>
                <w:bCs w:val="0"/>
                <w:sz w:val="20"/>
                <w:szCs w:val="20"/>
                <w:lang w:val="en-GB"/>
              </w:rPr>
            </w:pPr>
            <w:r w:rsidRPr="00654AED">
              <w:rPr>
                <w:rFonts w:ascii="Times New Roman" w:hAnsi="Times New Roman" w:cs="Times New Roman"/>
                <w:b w:val="0"/>
                <w:bCs w:val="0"/>
                <w:sz w:val="20"/>
                <w:szCs w:val="20"/>
                <w:lang w:val="en-GB"/>
              </w:rPr>
              <w:t xml:space="preserve">Harley, A. D., &amp; </w:t>
            </w:r>
            <w:proofErr w:type="spellStart"/>
            <w:r w:rsidRPr="00654AED">
              <w:rPr>
                <w:rFonts w:ascii="Times New Roman" w:hAnsi="Times New Roman" w:cs="Times New Roman"/>
                <w:b w:val="0"/>
                <w:bCs w:val="0"/>
                <w:sz w:val="20"/>
                <w:szCs w:val="20"/>
                <w:lang w:val="en-GB"/>
              </w:rPr>
              <w:t>Gilkes</w:t>
            </w:r>
            <w:proofErr w:type="spellEnd"/>
            <w:r w:rsidRPr="00654AED">
              <w:rPr>
                <w:rFonts w:ascii="Times New Roman" w:hAnsi="Times New Roman" w:cs="Times New Roman"/>
                <w:b w:val="0"/>
                <w:bCs w:val="0"/>
                <w:sz w:val="20"/>
                <w:szCs w:val="20"/>
                <w:lang w:val="en-GB"/>
              </w:rPr>
              <w:t>, R. J. (2000)</w:t>
            </w:r>
          </w:p>
        </w:tc>
        <w:tc>
          <w:tcPr>
            <w:tcW w:w="3331" w:type="dxa"/>
            <w:hideMark/>
          </w:tcPr>
          <w:p w14:paraId="1940C2CC"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54AED">
              <w:rPr>
                <w:rFonts w:ascii="Times New Roman" w:hAnsi="Times New Roman" w:cs="Times New Roman"/>
                <w:sz w:val="20"/>
                <w:szCs w:val="20"/>
                <w:lang w:val="en-GB"/>
              </w:rPr>
              <w:t>Nutrient release from silicate rock powders</w:t>
            </w:r>
          </w:p>
        </w:tc>
        <w:tc>
          <w:tcPr>
            <w:tcW w:w="3331" w:type="dxa"/>
            <w:hideMark/>
          </w:tcPr>
          <w:p w14:paraId="647DD430"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Irrelevant context</w:t>
            </w:r>
          </w:p>
        </w:tc>
        <w:tc>
          <w:tcPr>
            <w:tcW w:w="3332" w:type="dxa"/>
            <w:hideMark/>
          </w:tcPr>
          <w:p w14:paraId="4A422B99" w14:textId="77777777" w:rsidR="00654AED" w:rsidRPr="00654AED" w:rsidRDefault="00654AED" w:rsidP="00654A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4AED">
              <w:rPr>
                <w:rFonts w:ascii="Times New Roman" w:hAnsi="Times New Roman" w:cs="Times New Roman"/>
                <w:sz w:val="20"/>
                <w:szCs w:val="20"/>
              </w:rPr>
              <w:t>10.1023/A:1009859309453</w:t>
            </w:r>
          </w:p>
        </w:tc>
      </w:tr>
    </w:tbl>
    <w:p w14:paraId="04F9326F" w14:textId="77777777" w:rsidR="00654AED" w:rsidRPr="00654AED" w:rsidRDefault="00654AED" w:rsidP="00A669BF">
      <w:pPr>
        <w:spacing w:after="0" w:line="240" w:lineRule="auto"/>
        <w:rPr>
          <w:rFonts w:ascii="Times New Roman" w:hAnsi="Times New Roman" w:cs="Times New Roman"/>
          <w:lang w:val="en-GB"/>
        </w:rPr>
      </w:pPr>
    </w:p>
    <w:p w14:paraId="6E6A8B4E" w14:textId="77777777" w:rsidR="00E37C1C" w:rsidRDefault="00E37C1C">
      <w:pPr>
        <w:rPr>
          <w:rFonts w:ascii="Times New Roman" w:eastAsiaTheme="majorEastAsia" w:hAnsi="Times New Roman" w:cs="Times New Roman"/>
          <w:b/>
          <w:bCs/>
          <w:lang w:val="en-GB"/>
        </w:rPr>
      </w:pPr>
      <w:bookmarkStart w:id="1" w:name="Xe926fe3c57030ed985604b736236918ed2021f9"/>
      <w:r>
        <w:rPr>
          <w:rFonts w:ascii="Times New Roman" w:eastAsiaTheme="majorEastAsia" w:hAnsi="Times New Roman" w:cs="Times New Roman"/>
          <w:b/>
          <w:bCs/>
          <w:lang w:val="en-GB"/>
        </w:rPr>
        <w:br w:type="page"/>
      </w:r>
    </w:p>
    <w:p w14:paraId="1FF261ED" w14:textId="100D6F11" w:rsidR="00A669BF" w:rsidRPr="00654AED" w:rsidRDefault="00E20ED8" w:rsidP="00A669BF">
      <w:pPr>
        <w:pStyle w:val="FirstParagraph"/>
        <w:spacing w:before="0" w:after="0"/>
        <w:rPr>
          <w:rFonts w:ascii="Times New Roman" w:hAnsi="Times New Roman" w:cs="Times New Roman"/>
        </w:rPr>
      </w:pPr>
      <w:r w:rsidRPr="00E20ED8">
        <w:rPr>
          <w:rFonts w:ascii="Times New Roman" w:eastAsiaTheme="majorEastAsia" w:hAnsi="Times New Roman" w:cs="Times New Roman"/>
          <w:b/>
          <w:bCs/>
          <w:kern w:val="2"/>
          <w:lang w:val="en-GB"/>
          <w14:ligatures w14:val="standardContextual"/>
        </w:rPr>
        <w:t>Table S3. Country-/Case-Level Contextual Data for Comparative Analysis</w:t>
      </w:r>
      <w:r w:rsidRPr="00E20ED8">
        <w:rPr>
          <w:rFonts w:ascii="Times New Roman" w:eastAsiaTheme="majorEastAsia" w:hAnsi="Times New Roman" w:cs="Times New Roman"/>
          <w:b/>
          <w:bCs/>
          <w:kern w:val="2"/>
          <w:lang w:val="en-GB"/>
          <w14:ligatures w14:val="standardContextual"/>
        </w:rPr>
        <w:br/>
      </w:r>
      <w:r w:rsidRPr="00E20ED8">
        <w:rPr>
          <w:rFonts w:ascii="Times New Roman" w:eastAsiaTheme="majorEastAsia" w:hAnsi="Times New Roman" w:cs="Times New Roman"/>
          <w:kern w:val="2"/>
          <w:lang w:val="en-GB"/>
          <w14:ligatures w14:val="standardContextual"/>
        </w:rPr>
        <w:t>Country- and case-level quantitative metrics used in the comparative analysis (Section 4); complements the narrative for Germany, United States, Brazil, Senegal and Madagascar</w:t>
      </w:r>
      <w:r w:rsidR="00A669BF" w:rsidRPr="00E20ED8">
        <w:rPr>
          <w:rFonts w:ascii="Times New Roman" w:hAnsi="Times New Roman" w:cs="Times New Roman"/>
        </w:rPr>
        <w:t>.</w:t>
      </w:r>
    </w:p>
    <w:tbl>
      <w:tblPr>
        <w:tblStyle w:val="Table"/>
        <w:tblW w:w="0" w:type="auto"/>
        <w:tblLook w:val="0020" w:firstRow="1" w:lastRow="0" w:firstColumn="0" w:lastColumn="0" w:noHBand="0" w:noVBand="0"/>
      </w:tblPr>
      <w:tblGrid>
        <w:gridCol w:w="1609"/>
        <w:gridCol w:w="2847"/>
        <w:gridCol w:w="3649"/>
        <w:gridCol w:w="4088"/>
        <w:gridCol w:w="1811"/>
      </w:tblGrid>
      <w:tr w:rsidR="00654AED" w:rsidRPr="00654AED" w14:paraId="045AA5EE" w14:textId="77777777" w:rsidTr="00E225BF">
        <w:trPr>
          <w:cnfStyle w:val="100000000000" w:firstRow="1" w:lastRow="0" w:firstColumn="0" w:lastColumn="0" w:oddVBand="0" w:evenVBand="0" w:oddHBand="0" w:evenHBand="0" w:firstRowFirstColumn="0" w:firstRowLastColumn="0" w:lastRowFirstColumn="0" w:lastRowLastColumn="0"/>
          <w:tblHeader/>
        </w:trPr>
        <w:tc>
          <w:tcPr>
            <w:tcW w:w="0" w:type="auto"/>
          </w:tcPr>
          <w:p w14:paraId="30A37EEA" w14:textId="4DDB9336"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Country</w:t>
            </w:r>
            <w:r w:rsidR="00E20ED8">
              <w:rPr>
                <w:rFonts w:ascii="Times New Roman" w:hAnsi="Times New Roman" w:cs="Times New Roman"/>
                <w:b/>
                <w:bCs/>
              </w:rPr>
              <w:t>/</w:t>
            </w:r>
            <w:r w:rsidRPr="00654AED">
              <w:rPr>
                <w:rFonts w:ascii="Times New Roman" w:hAnsi="Times New Roman" w:cs="Times New Roman"/>
                <w:b/>
                <w:bCs/>
              </w:rPr>
              <w:t>Region</w:t>
            </w:r>
          </w:p>
        </w:tc>
        <w:tc>
          <w:tcPr>
            <w:tcW w:w="0" w:type="auto"/>
          </w:tcPr>
          <w:p w14:paraId="0B48AB3B"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Context (case focus)</w:t>
            </w:r>
          </w:p>
        </w:tc>
        <w:tc>
          <w:tcPr>
            <w:tcW w:w="0" w:type="auto"/>
          </w:tcPr>
          <w:p w14:paraId="7DDDB03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Key quantitative detail (extended data)</w:t>
            </w:r>
          </w:p>
        </w:tc>
        <w:tc>
          <w:tcPr>
            <w:tcW w:w="0" w:type="auto"/>
          </w:tcPr>
          <w:p w14:paraId="3CBD9674"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Interpretation/notes</w:t>
            </w:r>
          </w:p>
        </w:tc>
        <w:tc>
          <w:tcPr>
            <w:tcW w:w="0" w:type="auto"/>
          </w:tcPr>
          <w:p w14:paraId="5041B8C8"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Reference</w:t>
            </w:r>
          </w:p>
        </w:tc>
      </w:tr>
      <w:tr w:rsidR="00654AED" w:rsidRPr="00654AED" w14:paraId="3743D4F8" w14:textId="77777777" w:rsidTr="00E225BF">
        <w:tc>
          <w:tcPr>
            <w:tcW w:w="0" w:type="auto"/>
          </w:tcPr>
          <w:p w14:paraId="249C43B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Ethiopia</w:t>
            </w:r>
          </w:p>
        </w:tc>
        <w:tc>
          <w:tcPr>
            <w:tcW w:w="0" w:type="auto"/>
          </w:tcPr>
          <w:p w14:paraId="19DDF24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Maize-based OMF adoption; community-led composting</w:t>
            </w:r>
          </w:p>
        </w:tc>
        <w:tc>
          <w:tcPr>
            <w:tcW w:w="0" w:type="auto"/>
          </w:tcPr>
          <w:p w14:paraId="72A3ABB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Compost + half-rate mineral </w:t>
            </w:r>
            <w:proofErr w:type="spellStart"/>
            <w:r w:rsidRPr="00654AED">
              <w:rPr>
                <w:rFonts w:ascii="Times New Roman" w:hAnsi="Times New Roman" w:cs="Times New Roman"/>
              </w:rPr>
              <w:t>fertiliser</w:t>
            </w:r>
            <w:proofErr w:type="spellEnd"/>
            <w:r w:rsidRPr="00654AED">
              <w:rPr>
                <w:rFonts w:ascii="Times New Roman" w:hAnsi="Times New Roman" w:cs="Times New Roman"/>
              </w:rPr>
              <w:t>: SOC ↑ ~30%; maize yield ↑ ~40%; production cost ↓ ~20%.</w:t>
            </w:r>
          </w:p>
        </w:tc>
        <w:tc>
          <w:tcPr>
            <w:tcW w:w="0" w:type="auto"/>
          </w:tcPr>
          <w:p w14:paraId="0BFF47E0"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Cost reduction figure was omitted in main text; yield and SOC gains are discussed in Section 4.</w:t>
            </w:r>
          </w:p>
        </w:tc>
        <w:tc>
          <w:tcPr>
            <w:tcW w:w="0" w:type="auto"/>
          </w:tcPr>
          <w:p w14:paraId="5B751F6F"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Mamuye</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xml:space="preserve">, 2021; </w:t>
            </w:r>
            <w:proofErr w:type="spellStart"/>
            <w:r w:rsidRPr="00654AED">
              <w:rPr>
                <w:rFonts w:ascii="Times New Roman" w:hAnsi="Times New Roman" w:cs="Times New Roman"/>
              </w:rPr>
              <w:t>Zerssa</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2021</w:t>
            </w:r>
          </w:p>
        </w:tc>
      </w:tr>
      <w:tr w:rsidR="00654AED" w:rsidRPr="00654AED" w14:paraId="4E2B405E" w14:textId="77777777" w:rsidTr="00E225BF">
        <w:tc>
          <w:tcPr>
            <w:tcW w:w="0" w:type="auto"/>
          </w:tcPr>
          <w:p w14:paraId="404DFA4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Senegal</w:t>
            </w:r>
          </w:p>
        </w:tc>
        <w:tc>
          <w:tcPr>
            <w:tcW w:w="0" w:type="auto"/>
          </w:tcPr>
          <w:p w14:paraId="0A880509"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Biochar-enriched fertilisers in banana cropping (tropical clay soil)</w:t>
            </w:r>
          </w:p>
        </w:tc>
        <w:tc>
          <w:tcPr>
            <w:tcW w:w="0" w:type="auto"/>
          </w:tcPr>
          <w:p w14:paraId="1F35F26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Biochar OMF pilot: fruit yield ↑ ~35%; improved soil water retention and higher microbial activity observed.</w:t>
            </w:r>
          </w:p>
        </w:tc>
        <w:tc>
          <w:tcPr>
            <w:tcW w:w="0" w:type="auto"/>
          </w:tcPr>
          <w:p w14:paraId="73A2165D"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Crop-specific result (banana, clay soil) was abbreviated in main text; included here for precision.</w:t>
            </w:r>
          </w:p>
        </w:tc>
        <w:tc>
          <w:tcPr>
            <w:tcW w:w="0" w:type="auto"/>
          </w:tcPr>
          <w:p w14:paraId="2C40D4A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Ncube </w:t>
            </w:r>
            <w:r w:rsidRPr="00654AED">
              <w:rPr>
                <w:rFonts w:ascii="Times New Roman" w:hAnsi="Times New Roman" w:cs="Times New Roman"/>
                <w:i/>
                <w:iCs/>
              </w:rPr>
              <w:t>et al.</w:t>
            </w:r>
            <w:r w:rsidRPr="00654AED">
              <w:rPr>
                <w:rFonts w:ascii="Times New Roman" w:hAnsi="Times New Roman" w:cs="Times New Roman"/>
              </w:rPr>
              <w:t>, 2022</w:t>
            </w:r>
          </w:p>
        </w:tc>
      </w:tr>
      <w:tr w:rsidR="00654AED" w:rsidRPr="00654AED" w14:paraId="6BE38695" w14:textId="77777777" w:rsidTr="00E225BF">
        <w:tc>
          <w:tcPr>
            <w:tcW w:w="0" w:type="auto"/>
          </w:tcPr>
          <w:p w14:paraId="6C514258"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Kenya</w:t>
            </w:r>
          </w:p>
        </w:tc>
        <w:tc>
          <w:tcPr>
            <w:tcW w:w="0" w:type="auto"/>
          </w:tcPr>
          <w:p w14:paraId="046B0EE7" w14:textId="24F3CD2F"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Integrated compost</w:t>
            </w:r>
            <w:r w:rsidR="00DD3301">
              <w:rPr>
                <w:rFonts w:ascii="Times New Roman" w:hAnsi="Times New Roman" w:cs="Times New Roman"/>
              </w:rPr>
              <w:t>-</w:t>
            </w:r>
            <w:r w:rsidRPr="00654AED">
              <w:rPr>
                <w:rFonts w:ascii="Times New Roman" w:hAnsi="Times New Roman" w:cs="Times New Roman"/>
              </w:rPr>
              <w:t>mineral packages in maize (sandy loam, moderate rainfall)</w:t>
            </w:r>
          </w:p>
        </w:tc>
        <w:tc>
          <w:tcPr>
            <w:tcW w:w="0" w:type="auto"/>
          </w:tcPr>
          <w:p w14:paraId="1A275ACF"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Maize yield ↑ ~28% under specified soil and rainfall conditions (compared to mineral-only).</w:t>
            </w:r>
          </w:p>
        </w:tc>
        <w:tc>
          <w:tcPr>
            <w:tcW w:w="0" w:type="auto"/>
          </w:tcPr>
          <w:p w14:paraId="72D3751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Detailed soil texture and climate conditions were condensed in main text for brevity.</w:t>
            </w:r>
          </w:p>
        </w:tc>
        <w:tc>
          <w:tcPr>
            <w:tcW w:w="0" w:type="auto"/>
          </w:tcPr>
          <w:p w14:paraId="353FCE8B"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Mucheru-Muna</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2013</w:t>
            </w:r>
          </w:p>
        </w:tc>
      </w:tr>
      <w:tr w:rsidR="00654AED" w:rsidRPr="00654AED" w14:paraId="45AD5947" w14:textId="77777777" w:rsidTr="00E225BF">
        <w:tc>
          <w:tcPr>
            <w:tcW w:w="0" w:type="auto"/>
          </w:tcPr>
          <w:p w14:paraId="12AEE50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Brazil</w:t>
            </w:r>
          </w:p>
        </w:tc>
        <w:tc>
          <w:tcPr>
            <w:tcW w:w="0" w:type="auto"/>
          </w:tcPr>
          <w:p w14:paraId="5A955B1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Biochar-enriched OMFs (various crops)</w:t>
            </w:r>
          </w:p>
        </w:tc>
        <w:tc>
          <w:tcPr>
            <w:tcW w:w="0" w:type="auto"/>
          </w:tcPr>
          <w:p w14:paraId="2ED5675D"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Field trials: K⁺ leaching ↓ ~77%; crop yield ↑ ~30% with biochar-based OMF vs conventional K </w:t>
            </w:r>
            <w:proofErr w:type="spellStart"/>
            <w:r w:rsidRPr="00654AED">
              <w:rPr>
                <w:rFonts w:ascii="Times New Roman" w:hAnsi="Times New Roman" w:cs="Times New Roman"/>
              </w:rPr>
              <w:t>fertiliser</w:t>
            </w:r>
            <w:proofErr w:type="spellEnd"/>
            <w:r w:rsidRPr="00654AED">
              <w:rPr>
                <w:rFonts w:ascii="Times New Roman" w:hAnsi="Times New Roman" w:cs="Times New Roman"/>
              </w:rPr>
              <w:t>.</w:t>
            </w:r>
          </w:p>
        </w:tc>
        <w:tc>
          <w:tcPr>
            <w:tcW w:w="0" w:type="auto"/>
          </w:tcPr>
          <w:p w14:paraId="4BEB2FF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Issue of fragmented policy slowing scale-up noted in text; numeric benefits provided here for completeness.</w:t>
            </w:r>
          </w:p>
        </w:tc>
        <w:tc>
          <w:tcPr>
            <w:tcW w:w="0" w:type="auto"/>
          </w:tcPr>
          <w:p w14:paraId="189C77D1"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Fachini</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2021</w:t>
            </w:r>
          </w:p>
        </w:tc>
      </w:tr>
      <w:tr w:rsidR="00654AED" w:rsidRPr="00654AED" w14:paraId="667E3595" w14:textId="77777777" w:rsidTr="00E225BF">
        <w:tc>
          <w:tcPr>
            <w:tcW w:w="0" w:type="auto"/>
          </w:tcPr>
          <w:p w14:paraId="2646D628"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United Kingdom</w:t>
            </w:r>
          </w:p>
        </w:tc>
        <w:tc>
          <w:tcPr>
            <w:tcW w:w="0" w:type="auto"/>
          </w:tcPr>
          <w:p w14:paraId="06927C7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Sewage sludge OMFs in cereal systems</w:t>
            </w:r>
          </w:p>
        </w:tc>
        <w:tc>
          <w:tcPr>
            <w:tcW w:w="0" w:type="auto"/>
          </w:tcPr>
          <w:p w14:paraId="3CBCF8E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N runoff ↓ ~20% with sludge-derived OMF, while yields remained equivalent to mineral NPK.</w:t>
            </w:r>
          </w:p>
        </w:tc>
        <w:tc>
          <w:tcPr>
            <w:tcW w:w="0" w:type="auto"/>
          </w:tcPr>
          <w:p w14:paraId="38A6A24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Mechanistic explanation (improved N retention) is summarized in Section 4.</w:t>
            </w:r>
          </w:p>
        </w:tc>
        <w:tc>
          <w:tcPr>
            <w:tcW w:w="0" w:type="auto"/>
          </w:tcPr>
          <w:p w14:paraId="6BACFD4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Deeks </w:t>
            </w:r>
            <w:r w:rsidRPr="00654AED">
              <w:rPr>
                <w:rFonts w:ascii="Times New Roman" w:hAnsi="Times New Roman" w:cs="Times New Roman"/>
                <w:i/>
                <w:iCs/>
              </w:rPr>
              <w:t>et al.</w:t>
            </w:r>
            <w:r w:rsidRPr="00654AED">
              <w:rPr>
                <w:rFonts w:ascii="Times New Roman" w:hAnsi="Times New Roman" w:cs="Times New Roman"/>
              </w:rPr>
              <w:t>, 2013</w:t>
            </w:r>
          </w:p>
        </w:tc>
      </w:tr>
      <w:tr w:rsidR="00654AED" w:rsidRPr="00654AED" w14:paraId="31E73296" w14:textId="77777777" w:rsidTr="00E225BF">
        <w:tc>
          <w:tcPr>
            <w:tcW w:w="0" w:type="auto"/>
          </w:tcPr>
          <w:p w14:paraId="12DA8167"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NW Europe</w:t>
            </w:r>
          </w:p>
        </w:tc>
        <w:tc>
          <w:tcPr>
            <w:tcW w:w="0" w:type="auto"/>
          </w:tcPr>
          <w:p w14:paraId="63A311F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Precision placement + biochar OMF (temperate systems)</w:t>
            </w:r>
          </w:p>
        </w:tc>
        <w:tc>
          <w:tcPr>
            <w:tcW w:w="0" w:type="auto"/>
          </w:tcPr>
          <w:p w14:paraId="01F486B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Direct N₂O emissions ↓ ~15% (with targeted placement); soil CEC ↑ under biochar use.</w:t>
            </w:r>
          </w:p>
        </w:tc>
        <w:tc>
          <w:tcPr>
            <w:tcW w:w="0" w:type="auto"/>
          </w:tcPr>
          <w:p w14:paraId="1CE03854"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Derived from temperate European trials; details on CEC mechanism were shortened in main text.</w:t>
            </w:r>
          </w:p>
        </w:tc>
        <w:tc>
          <w:tcPr>
            <w:tcW w:w="0" w:type="auto"/>
          </w:tcPr>
          <w:p w14:paraId="60DDA3F1"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Akiyama </w:t>
            </w:r>
            <w:r w:rsidRPr="00654AED">
              <w:rPr>
                <w:rFonts w:ascii="Times New Roman" w:hAnsi="Times New Roman" w:cs="Times New Roman"/>
                <w:i/>
                <w:iCs/>
              </w:rPr>
              <w:t>et al.</w:t>
            </w:r>
            <w:r w:rsidRPr="00654AED">
              <w:rPr>
                <w:rFonts w:ascii="Times New Roman" w:hAnsi="Times New Roman" w:cs="Times New Roman"/>
              </w:rPr>
              <w:t xml:space="preserve">, 2009; Liang </w:t>
            </w:r>
            <w:r w:rsidRPr="00654AED">
              <w:rPr>
                <w:rFonts w:ascii="Times New Roman" w:hAnsi="Times New Roman" w:cs="Times New Roman"/>
                <w:i/>
                <w:iCs/>
              </w:rPr>
              <w:t>et al.</w:t>
            </w:r>
            <w:r w:rsidRPr="00654AED">
              <w:rPr>
                <w:rFonts w:ascii="Times New Roman" w:hAnsi="Times New Roman" w:cs="Times New Roman"/>
              </w:rPr>
              <w:t>, 2006</w:t>
            </w:r>
          </w:p>
        </w:tc>
      </w:tr>
    </w:tbl>
    <w:p w14:paraId="2C6B73B6" w14:textId="77777777" w:rsidR="00E37C1C" w:rsidRDefault="00E37C1C" w:rsidP="00A669BF">
      <w:pPr>
        <w:pStyle w:val="FirstParagraph"/>
        <w:spacing w:before="0" w:after="0"/>
        <w:rPr>
          <w:rFonts w:ascii="Times New Roman" w:eastAsiaTheme="majorEastAsia" w:hAnsi="Times New Roman" w:cs="Times New Roman"/>
          <w:b/>
          <w:bCs/>
          <w:kern w:val="2"/>
          <w:lang w:val="en-GB"/>
          <w14:ligatures w14:val="standardContextual"/>
        </w:rPr>
      </w:pPr>
      <w:bookmarkStart w:id="2" w:name="Xd1906ab83c32e9da399eab7c7a7f8e23fb30cbc"/>
      <w:bookmarkEnd w:id="1"/>
    </w:p>
    <w:p w14:paraId="6D24C7E0" w14:textId="77777777" w:rsidR="00E37C1C" w:rsidRDefault="00E37C1C">
      <w:pPr>
        <w:rPr>
          <w:rFonts w:ascii="Times New Roman" w:eastAsiaTheme="majorEastAsia" w:hAnsi="Times New Roman" w:cs="Times New Roman"/>
          <w:b/>
          <w:bCs/>
          <w:lang w:val="en-GB"/>
        </w:rPr>
      </w:pPr>
      <w:r>
        <w:rPr>
          <w:rFonts w:ascii="Times New Roman" w:eastAsiaTheme="majorEastAsia" w:hAnsi="Times New Roman" w:cs="Times New Roman"/>
          <w:b/>
          <w:bCs/>
          <w:lang w:val="en-GB"/>
        </w:rPr>
        <w:br w:type="page"/>
      </w:r>
    </w:p>
    <w:p w14:paraId="619AF744" w14:textId="3142DCFE" w:rsidR="00A669BF" w:rsidRPr="00E20ED8" w:rsidRDefault="00E20ED8" w:rsidP="00A669BF">
      <w:pPr>
        <w:pStyle w:val="FirstParagraph"/>
        <w:spacing w:before="0" w:after="0"/>
        <w:rPr>
          <w:rFonts w:ascii="Times New Roman" w:hAnsi="Times New Roman" w:cs="Times New Roman"/>
          <w:lang w:val="en-GB"/>
        </w:rPr>
      </w:pPr>
      <w:r w:rsidRPr="00E20ED8">
        <w:rPr>
          <w:rFonts w:ascii="Times New Roman" w:eastAsiaTheme="majorEastAsia" w:hAnsi="Times New Roman" w:cs="Times New Roman"/>
          <w:b/>
          <w:bCs/>
          <w:kern w:val="2"/>
          <w:lang w:val="en-GB"/>
          <w14:ligatures w14:val="standardContextual"/>
        </w:rPr>
        <w:t>Table S4. Policy and Implementation Details Underpinning Table 2 (Main Text</w:t>
      </w:r>
      <w:proofErr w:type="gramStart"/>
      <w:r w:rsidRPr="00E20ED8">
        <w:rPr>
          <w:rFonts w:ascii="Times New Roman" w:eastAsiaTheme="majorEastAsia" w:hAnsi="Times New Roman" w:cs="Times New Roman"/>
          <w:b/>
          <w:bCs/>
          <w:kern w:val="2"/>
          <w:lang w:val="en-GB"/>
          <w14:ligatures w14:val="standardContextual"/>
        </w:rPr>
        <w:t>)</w:t>
      </w:r>
      <w:proofErr w:type="gramEnd"/>
      <w:r w:rsidRPr="00E20ED8">
        <w:rPr>
          <w:rFonts w:ascii="Times New Roman" w:eastAsiaTheme="majorEastAsia" w:hAnsi="Times New Roman" w:cs="Times New Roman"/>
          <w:b/>
          <w:bCs/>
          <w:kern w:val="2"/>
          <w:lang w:val="en-GB"/>
          <w14:ligatures w14:val="standardContextual"/>
        </w:rPr>
        <w:br/>
      </w:r>
      <w:r w:rsidRPr="00E20ED8">
        <w:rPr>
          <w:rFonts w:ascii="Times New Roman" w:eastAsiaTheme="majorEastAsia" w:hAnsi="Times New Roman" w:cs="Times New Roman"/>
          <w:kern w:val="2"/>
          <w:lang w:val="en-GB"/>
          <w14:ligatures w14:val="standardContextual"/>
        </w:rPr>
        <w:t>Supplementary details aligned to each entry in main Table 2, including technical specifics, key quantitative values and risk/controls.</w:t>
      </w:r>
    </w:p>
    <w:tbl>
      <w:tblPr>
        <w:tblStyle w:val="Table"/>
        <w:tblW w:w="0" w:type="auto"/>
        <w:tblLook w:val="0020" w:firstRow="1" w:lastRow="0" w:firstColumn="0" w:lastColumn="0" w:noHBand="0" w:noVBand="0"/>
      </w:tblPr>
      <w:tblGrid>
        <w:gridCol w:w="1764"/>
        <w:gridCol w:w="2296"/>
        <w:gridCol w:w="3528"/>
        <w:gridCol w:w="2472"/>
        <w:gridCol w:w="2514"/>
        <w:gridCol w:w="1430"/>
      </w:tblGrid>
      <w:tr w:rsidR="00654AED" w:rsidRPr="00654AED" w14:paraId="34EC1621" w14:textId="77777777" w:rsidTr="00E225BF">
        <w:trPr>
          <w:cnfStyle w:val="100000000000" w:firstRow="1" w:lastRow="0" w:firstColumn="0" w:lastColumn="0" w:oddVBand="0" w:evenVBand="0" w:oddHBand="0" w:evenHBand="0" w:firstRowFirstColumn="0" w:firstRowLastColumn="0" w:lastRowFirstColumn="0" w:lastRowLastColumn="0"/>
          <w:tblHeader/>
        </w:trPr>
        <w:tc>
          <w:tcPr>
            <w:tcW w:w="0" w:type="auto"/>
          </w:tcPr>
          <w:p w14:paraId="110CCEE9"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Main Table 2 entry</w:t>
            </w:r>
          </w:p>
        </w:tc>
        <w:tc>
          <w:tcPr>
            <w:tcW w:w="0" w:type="auto"/>
          </w:tcPr>
          <w:p w14:paraId="336A8701" w14:textId="78FCE032"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Country</w:t>
            </w:r>
            <w:r w:rsidR="00E20ED8">
              <w:rPr>
                <w:rFonts w:ascii="Times New Roman" w:hAnsi="Times New Roman" w:cs="Times New Roman"/>
                <w:b/>
                <w:bCs/>
              </w:rPr>
              <w:t>/</w:t>
            </w:r>
            <w:r w:rsidRPr="00654AED">
              <w:rPr>
                <w:rFonts w:ascii="Times New Roman" w:hAnsi="Times New Roman" w:cs="Times New Roman"/>
                <w:b/>
                <w:bCs/>
              </w:rPr>
              <w:t>Technology</w:t>
            </w:r>
          </w:p>
        </w:tc>
        <w:tc>
          <w:tcPr>
            <w:tcW w:w="0" w:type="auto"/>
          </w:tcPr>
          <w:p w14:paraId="18C9FA59"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Detail from original case description</w:t>
            </w:r>
          </w:p>
        </w:tc>
        <w:tc>
          <w:tcPr>
            <w:tcW w:w="0" w:type="auto"/>
          </w:tcPr>
          <w:p w14:paraId="1795D8A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Key quantitative values</w:t>
            </w:r>
          </w:p>
        </w:tc>
        <w:tc>
          <w:tcPr>
            <w:tcW w:w="0" w:type="auto"/>
          </w:tcPr>
          <w:p w14:paraId="6AA5AB4D" w14:textId="4C82CA04"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Risk mitigations</w:t>
            </w:r>
            <w:r w:rsidR="00E20ED8">
              <w:rPr>
                <w:rFonts w:ascii="Times New Roman" w:hAnsi="Times New Roman" w:cs="Times New Roman"/>
                <w:b/>
                <w:bCs/>
              </w:rPr>
              <w:t>/</w:t>
            </w:r>
            <w:r w:rsidRPr="00654AED">
              <w:rPr>
                <w:rFonts w:ascii="Times New Roman" w:hAnsi="Times New Roman" w:cs="Times New Roman"/>
                <w:b/>
                <w:bCs/>
              </w:rPr>
              <w:t>controls</w:t>
            </w:r>
          </w:p>
        </w:tc>
        <w:tc>
          <w:tcPr>
            <w:tcW w:w="0" w:type="auto"/>
          </w:tcPr>
          <w:p w14:paraId="70A995F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Source</w:t>
            </w:r>
          </w:p>
        </w:tc>
      </w:tr>
      <w:tr w:rsidR="00654AED" w:rsidRPr="00654AED" w14:paraId="4C64D5CA" w14:textId="77777777" w:rsidTr="00E225BF">
        <w:tc>
          <w:tcPr>
            <w:tcW w:w="0" w:type="auto"/>
          </w:tcPr>
          <w:p w14:paraId="6019B658" w14:textId="59C1AEC8"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Poland </w:t>
            </w:r>
            <w:r w:rsidR="00DD3301">
              <w:rPr>
                <w:rFonts w:ascii="Times New Roman" w:hAnsi="Times New Roman" w:cs="Times New Roman"/>
                <w:b/>
                <w:bCs/>
              </w:rPr>
              <w:t>-</w:t>
            </w:r>
            <w:r w:rsidRPr="00654AED">
              <w:rPr>
                <w:rFonts w:ascii="Times New Roman" w:hAnsi="Times New Roman" w:cs="Times New Roman"/>
                <w:b/>
                <w:bCs/>
              </w:rPr>
              <w:t xml:space="preserve"> Sludge-ash OMF</w:t>
            </w:r>
            <w:r w:rsidRPr="00654AED">
              <w:rPr>
                <w:rFonts w:ascii="Times New Roman" w:hAnsi="Times New Roman" w:cs="Times New Roman"/>
              </w:rPr>
              <w:t xml:space="preserve"> </w:t>
            </w:r>
            <w:r w:rsidRPr="00654AED">
              <w:rPr>
                <w:rFonts w:ascii="Times New Roman" w:hAnsi="Times New Roman" w:cs="Times New Roman"/>
                <w:i/>
                <w:iCs/>
              </w:rPr>
              <w:t>(P source)</w:t>
            </w:r>
          </w:p>
        </w:tc>
        <w:tc>
          <w:tcPr>
            <w:tcW w:w="0" w:type="auto"/>
          </w:tcPr>
          <w:p w14:paraId="55753D50" w14:textId="20A35C4E"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Poland </w:t>
            </w:r>
            <w:r w:rsidR="00DD3301">
              <w:rPr>
                <w:rFonts w:ascii="Times New Roman" w:hAnsi="Times New Roman" w:cs="Times New Roman"/>
              </w:rPr>
              <w:t>-</w:t>
            </w:r>
            <w:r w:rsidRPr="00654AED">
              <w:rPr>
                <w:rFonts w:ascii="Times New Roman" w:hAnsi="Times New Roman" w:cs="Times New Roman"/>
              </w:rPr>
              <w:t xml:space="preserve"> sewage sludge + fly ash OMF</w:t>
            </w:r>
          </w:p>
        </w:tc>
        <w:tc>
          <w:tcPr>
            <w:tcW w:w="0" w:type="auto"/>
          </w:tcPr>
          <w:p w14:paraId="0DBDFCC2" w14:textId="75B778E1"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Recovered P in sludge</w:t>
            </w:r>
            <w:r w:rsidR="00DD3301">
              <w:rPr>
                <w:rFonts w:ascii="Times New Roman" w:hAnsi="Times New Roman" w:cs="Times New Roman"/>
              </w:rPr>
              <w:t>-</w:t>
            </w:r>
            <w:r w:rsidRPr="00654AED">
              <w:rPr>
                <w:rFonts w:ascii="Times New Roman" w:hAnsi="Times New Roman" w:cs="Times New Roman"/>
              </w:rPr>
              <w:t xml:space="preserve">ash granules is plant-available at a level comparable to superphosphate; heavy metal content remains below EU regulatory limits. Co-processing waste generates gate-fee revenues that improve economic viability. An LCA indicates the OMF’s GHG emissions are lower than those of equivalent mineral NPK </w:t>
            </w:r>
            <w:proofErr w:type="spellStart"/>
            <w:r w:rsidRPr="00654AED">
              <w:rPr>
                <w:rFonts w:ascii="Times New Roman" w:hAnsi="Times New Roman" w:cs="Times New Roman"/>
              </w:rPr>
              <w:t>fertiliser</w:t>
            </w:r>
            <w:proofErr w:type="spellEnd"/>
            <w:r w:rsidRPr="00654AED">
              <w:rPr>
                <w:rFonts w:ascii="Times New Roman" w:hAnsi="Times New Roman" w:cs="Times New Roman"/>
              </w:rPr>
              <w:t>.</w:t>
            </w:r>
          </w:p>
        </w:tc>
        <w:tc>
          <w:tcPr>
            <w:tcW w:w="0" w:type="auto"/>
          </w:tcPr>
          <w:p w14:paraId="4C96580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P availability:</w:t>
            </w:r>
            <w:r w:rsidRPr="00654AED">
              <w:rPr>
                <w:rFonts w:ascii="Times New Roman" w:hAnsi="Times New Roman" w:cs="Times New Roman"/>
              </w:rPr>
              <w:t xml:space="preserve"> comparable to mineral P; </w:t>
            </w:r>
            <w:r w:rsidRPr="00654AED">
              <w:rPr>
                <w:rFonts w:ascii="Times New Roman" w:hAnsi="Times New Roman" w:cs="Times New Roman"/>
                <w:i/>
                <w:iCs/>
              </w:rPr>
              <w:t>Metal content:</w:t>
            </w:r>
            <w:r w:rsidRPr="00654AED">
              <w:rPr>
                <w:rFonts w:ascii="Times New Roman" w:hAnsi="Times New Roman" w:cs="Times New Roman"/>
              </w:rPr>
              <w:t xml:space="preserve"> below EU limits; </w:t>
            </w:r>
            <w:r w:rsidRPr="00654AED">
              <w:rPr>
                <w:rFonts w:ascii="Times New Roman" w:hAnsi="Times New Roman" w:cs="Times New Roman"/>
                <w:i/>
                <w:iCs/>
              </w:rPr>
              <w:t>LCA:</w:t>
            </w:r>
            <w:r w:rsidRPr="00654AED">
              <w:rPr>
                <w:rFonts w:ascii="Times New Roman" w:hAnsi="Times New Roman" w:cs="Times New Roman"/>
              </w:rPr>
              <w:t xml:space="preserve"> lower GHG footprint vs mineral NPK.</w:t>
            </w:r>
          </w:p>
        </w:tc>
        <w:tc>
          <w:tcPr>
            <w:tcW w:w="0" w:type="auto"/>
          </w:tcPr>
          <w:p w14:paraId="3EBBA4D6" w14:textId="4D7B6423"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Standardi</w:t>
            </w:r>
            <w:r w:rsidR="00DD3301">
              <w:rPr>
                <w:rFonts w:ascii="Times New Roman" w:hAnsi="Times New Roman" w:cs="Times New Roman"/>
              </w:rPr>
              <w:t>s</w:t>
            </w:r>
            <w:r w:rsidRPr="00654AED">
              <w:rPr>
                <w:rFonts w:ascii="Times New Roman" w:hAnsi="Times New Roman" w:cs="Times New Roman"/>
              </w:rPr>
              <w:t>ed QA/QC protocols and product certification are in place to ensure safety and quality.</w:t>
            </w:r>
          </w:p>
        </w:tc>
        <w:tc>
          <w:tcPr>
            <w:tcW w:w="0" w:type="auto"/>
          </w:tcPr>
          <w:p w14:paraId="3FAF8A99"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Kominko</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2018</w:t>
            </w:r>
          </w:p>
        </w:tc>
      </w:tr>
      <w:tr w:rsidR="00654AED" w:rsidRPr="00654AED" w14:paraId="7234AD69" w14:textId="77777777" w:rsidTr="00E225BF">
        <w:tc>
          <w:tcPr>
            <w:tcW w:w="0" w:type="auto"/>
          </w:tcPr>
          <w:p w14:paraId="536A87CA" w14:textId="5309E185"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Morocco </w:t>
            </w:r>
            <w:r w:rsidR="00DD3301">
              <w:rPr>
                <w:rFonts w:ascii="Times New Roman" w:hAnsi="Times New Roman" w:cs="Times New Roman"/>
                <w:b/>
                <w:bCs/>
              </w:rPr>
              <w:t>-</w:t>
            </w:r>
            <w:r w:rsidRPr="00654AED">
              <w:rPr>
                <w:rFonts w:ascii="Times New Roman" w:hAnsi="Times New Roman" w:cs="Times New Roman"/>
                <w:b/>
                <w:bCs/>
              </w:rPr>
              <w:t xml:space="preserve"> Olive mill waste</w:t>
            </w:r>
            <w:r w:rsidRPr="00654AED">
              <w:rPr>
                <w:rFonts w:ascii="Times New Roman" w:hAnsi="Times New Roman" w:cs="Times New Roman"/>
              </w:rPr>
              <w:t xml:space="preserve"> </w:t>
            </w:r>
            <w:r w:rsidRPr="00654AED">
              <w:rPr>
                <w:rFonts w:ascii="Times New Roman" w:hAnsi="Times New Roman" w:cs="Times New Roman"/>
                <w:i/>
                <w:iCs/>
              </w:rPr>
              <w:t>(semi-liquid OMF)</w:t>
            </w:r>
          </w:p>
        </w:tc>
        <w:tc>
          <w:tcPr>
            <w:tcW w:w="0" w:type="auto"/>
          </w:tcPr>
          <w:p w14:paraId="38E82F51" w14:textId="338F5E6A"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Morocco </w:t>
            </w:r>
            <w:r w:rsidR="00DD3301">
              <w:rPr>
                <w:rFonts w:ascii="Times New Roman" w:hAnsi="Times New Roman" w:cs="Times New Roman"/>
              </w:rPr>
              <w:t>-</w:t>
            </w:r>
            <w:r w:rsidRPr="00654AED">
              <w:rPr>
                <w:rFonts w:ascii="Times New Roman" w:hAnsi="Times New Roman" w:cs="Times New Roman"/>
              </w:rPr>
              <w:t xml:space="preserve"> olive mill wastewater + rock phosphate (semi-liquid ferment)</w:t>
            </w:r>
          </w:p>
        </w:tc>
        <w:tc>
          <w:tcPr>
            <w:tcW w:w="0" w:type="auto"/>
          </w:tcPr>
          <w:p w14:paraId="3E6C1596" w14:textId="5B379C3E"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Fermentation with phosphate-solubili</w:t>
            </w:r>
            <w:r w:rsidR="00DD3301">
              <w:rPr>
                <w:rFonts w:ascii="Times New Roman" w:hAnsi="Times New Roman" w:cs="Times New Roman"/>
              </w:rPr>
              <w:t>s</w:t>
            </w:r>
            <w:r w:rsidRPr="00654AED">
              <w:rPr>
                <w:rFonts w:ascii="Times New Roman" w:hAnsi="Times New Roman" w:cs="Times New Roman"/>
              </w:rPr>
              <w:t>ing bacteria (PSB) detoxifies olive mill effluent while solubilising phosphorus. The process achieves ~92% reduction in phenolic compounds and increases plant-available P by ~35%.</w:t>
            </w:r>
          </w:p>
        </w:tc>
        <w:tc>
          <w:tcPr>
            <w:tcW w:w="0" w:type="auto"/>
          </w:tcPr>
          <w:p w14:paraId="5384E931"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Phenolic content:</w:t>
            </w:r>
            <w:r w:rsidRPr="00654AED">
              <w:rPr>
                <w:rFonts w:ascii="Times New Roman" w:hAnsi="Times New Roman" w:cs="Times New Roman"/>
              </w:rPr>
              <w:t xml:space="preserve"> ↓ ~92%; </w:t>
            </w:r>
            <w:r w:rsidRPr="00654AED">
              <w:rPr>
                <w:rFonts w:ascii="Times New Roman" w:hAnsi="Times New Roman" w:cs="Times New Roman"/>
                <w:i/>
                <w:iCs/>
              </w:rPr>
              <w:t>Available P:</w:t>
            </w:r>
            <w:r w:rsidRPr="00654AED">
              <w:rPr>
                <w:rFonts w:ascii="Times New Roman" w:hAnsi="Times New Roman" w:cs="Times New Roman"/>
              </w:rPr>
              <w:t xml:space="preserve"> ↑ ~35%.</w:t>
            </w:r>
          </w:p>
        </w:tc>
        <w:tc>
          <w:tcPr>
            <w:tcW w:w="0" w:type="auto"/>
          </w:tcPr>
          <w:p w14:paraId="2CF2E481"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Process control measures (e.g. limiting residual phenolics) are required to protect soil health.</w:t>
            </w:r>
          </w:p>
        </w:tc>
        <w:tc>
          <w:tcPr>
            <w:tcW w:w="0" w:type="auto"/>
          </w:tcPr>
          <w:p w14:paraId="7D34EB52"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Bouhia</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2024</w:t>
            </w:r>
          </w:p>
        </w:tc>
      </w:tr>
      <w:tr w:rsidR="00654AED" w:rsidRPr="00654AED" w14:paraId="309509EC" w14:textId="77777777" w:rsidTr="00E225BF">
        <w:tc>
          <w:tcPr>
            <w:tcW w:w="0" w:type="auto"/>
          </w:tcPr>
          <w:p w14:paraId="69ED8276" w14:textId="2EF05BED"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Brazil </w:t>
            </w:r>
            <w:r w:rsidR="00DD3301">
              <w:rPr>
                <w:rFonts w:ascii="Times New Roman" w:hAnsi="Times New Roman" w:cs="Times New Roman"/>
                <w:b/>
                <w:bCs/>
              </w:rPr>
              <w:t>-</w:t>
            </w:r>
            <w:r w:rsidRPr="00654AED">
              <w:rPr>
                <w:rFonts w:ascii="Times New Roman" w:hAnsi="Times New Roman" w:cs="Times New Roman"/>
                <w:b/>
                <w:bCs/>
              </w:rPr>
              <w:t xml:space="preserve"> K-enriched biochar</w:t>
            </w:r>
            <w:r w:rsidRPr="00654AED">
              <w:rPr>
                <w:rFonts w:ascii="Times New Roman" w:hAnsi="Times New Roman" w:cs="Times New Roman"/>
              </w:rPr>
              <w:t xml:space="preserve"> </w:t>
            </w:r>
            <w:r w:rsidRPr="00654AED">
              <w:rPr>
                <w:rFonts w:ascii="Times New Roman" w:hAnsi="Times New Roman" w:cs="Times New Roman"/>
                <w:i/>
                <w:iCs/>
              </w:rPr>
              <w:t>(slow-release K)</w:t>
            </w:r>
          </w:p>
        </w:tc>
        <w:tc>
          <w:tcPr>
            <w:tcW w:w="0" w:type="auto"/>
          </w:tcPr>
          <w:p w14:paraId="57B2E9AB" w14:textId="5C1DE8DE"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Brazil </w:t>
            </w:r>
            <w:r w:rsidR="00DD3301">
              <w:rPr>
                <w:rFonts w:ascii="Times New Roman" w:hAnsi="Times New Roman" w:cs="Times New Roman"/>
              </w:rPr>
              <w:t>-</w:t>
            </w:r>
            <w:r w:rsidRPr="00654AED">
              <w:rPr>
                <w:rFonts w:ascii="Times New Roman" w:hAnsi="Times New Roman" w:cs="Times New Roman"/>
              </w:rPr>
              <w:t xml:space="preserve"> potassium-enriched sludge biochar granules</w:t>
            </w:r>
          </w:p>
        </w:tc>
        <w:tc>
          <w:tcPr>
            <w:tcW w:w="0" w:type="auto"/>
          </w:tcPr>
          <w:p w14:paraId="05BB282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Slow-release K OMF granules reduce K leaching relative to muriate of potash (MOP). Field results show maintained crop yields with local production capturing value from waste streams.</w:t>
            </w:r>
          </w:p>
        </w:tc>
        <w:tc>
          <w:tcPr>
            <w:tcW w:w="0" w:type="auto"/>
          </w:tcPr>
          <w:p w14:paraId="78012521" w14:textId="7EAE7F4F" w:rsidR="00A669BF" w:rsidRPr="002F67B9" w:rsidRDefault="00A669BF" w:rsidP="00A669BF">
            <w:pPr>
              <w:pStyle w:val="Compact"/>
              <w:spacing w:before="0" w:after="0"/>
              <w:rPr>
                <w:rFonts w:ascii="Times New Roman" w:hAnsi="Times New Roman" w:cs="Times New Roman"/>
                <w:lang w:val="en-GB"/>
              </w:rPr>
            </w:pPr>
            <w:r w:rsidRPr="00654AED">
              <w:rPr>
                <w:rFonts w:ascii="Times New Roman" w:hAnsi="Times New Roman" w:cs="Times New Roman"/>
                <w:i/>
                <w:iCs/>
              </w:rPr>
              <w:t>Yield:</w:t>
            </w:r>
            <w:r w:rsidRPr="00654AED">
              <w:rPr>
                <w:rFonts w:ascii="Times New Roman" w:hAnsi="Times New Roman" w:cs="Times New Roman"/>
              </w:rPr>
              <w:t xml:space="preserve"> maintained (no loss vs MOP); </w:t>
            </w:r>
            <w:r w:rsidR="002F67B9" w:rsidRPr="002F67B9">
              <w:rPr>
                <w:rFonts w:ascii="Times New Roman" w:hAnsi="Times New Roman" w:cs="Times New Roman"/>
                <w:i/>
                <w:iCs/>
              </w:rPr>
              <w:t>K leaching ↓ ~77% vs MOP (field trials)</w:t>
            </w:r>
          </w:p>
        </w:tc>
        <w:tc>
          <w:tcPr>
            <w:tcW w:w="0" w:type="auto"/>
          </w:tcPr>
          <w:p w14:paraId="5EFA5A9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Employ strict SOPs for dust control; use sealed storage and proper grounding (earthing) to handle fine biochar safely.</w:t>
            </w:r>
          </w:p>
        </w:tc>
        <w:tc>
          <w:tcPr>
            <w:tcW w:w="0" w:type="auto"/>
          </w:tcPr>
          <w:p w14:paraId="45718F58"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Fachini</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2021</w:t>
            </w:r>
          </w:p>
        </w:tc>
      </w:tr>
      <w:tr w:rsidR="00654AED" w:rsidRPr="00654AED" w14:paraId="31D6793A" w14:textId="77777777" w:rsidTr="00E225BF">
        <w:tc>
          <w:tcPr>
            <w:tcW w:w="0" w:type="auto"/>
          </w:tcPr>
          <w:p w14:paraId="60AA6C3D" w14:textId="54EC2600"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Senegal </w:t>
            </w:r>
            <w:r w:rsidR="00DD3301">
              <w:rPr>
                <w:rFonts w:ascii="Times New Roman" w:hAnsi="Times New Roman" w:cs="Times New Roman"/>
                <w:b/>
                <w:bCs/>
              </w:rPr>
              <w:t>-</w:t>
            </w:r>
            <w:r w:rsidRPr="00654AED">
              <w:rPr>
                <w:rFonts w:ascii="Times New Roman" w:hAnsi="Times New Roman" w:cs="Times New Roman"/>
                <w:b/>
                <w:bCs/>
              </w:rPr>
              <w:t xml:space="preserve"> Compost blend</w:t>
            </w:r>
            <w:r w:rsidRPr="00654AED">
              <w:rPr>
                <w:rFonts w:ascii="Times New Roman" w:hAnsi="Times New Roman" w:cs="Times New Roman"/>
              </w:rPr>
              <w:t xml:space="preserve"> </w:t>
            </w:r>
            <w:r w:rsidRPr="00654AED">
              <w:rPr>
                <w:rFonts w:ascii="Times New Roman" w:hAnsi="Times New Roman" w:cs="Times New Roman"/>
                <w:i/>
                <w:iCs/>
              </w:rPr>
              <w:t>(acid-sulfate rice soil)</w:t>
            </w:r>
          </w:p>
        </w:tc>
        <w:tc>
          <w:tcPr>
            <w:tcW w:w="0" w:type="auto"/>
          </w:tcPr>
          <w:p w14:paraId="05074145" w14:textId="39460C19"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Senegal </w:t>
            </w:r>
            <w:r w:rsidR="00DD3301">
              <w:rPr>
                <w:rFonts w:ascii="Times New Roman" w:hAnsi="Times New Roman" w:cs="Times New Roman"/>
              </w:rPr>
              <w:t>-</w:t>
            </w:r>
            <w:r w:rsidRPr="00654AED">
              <w:rPr>
                <w:rFonts w:ascii="Times New Roman" w:hAnsi="Times New Roman" w:cs="Times New Roman"/>
              </w:rPr>
              <w:t xml:space="preserve"> compost + mineral </w:t>
            </w:r>
            <w:proofErr w:type="spellStart"/>
            <w:r w:rsidRPr="00654AED">
              <w:rPr>
                <w:rFonts w:ascii="Times New Roman" w:hAnsi="Times New Roman" w:cs="Times New Roman"/>
              </w:rPr>
              <w:t>fertiliser</w:t>
            </w:r>
            <w:proofErr w:type="spellEnd"/>
            <w:r w:rsidRPr="00654AED">
              <w:rPr>
                <w:rFonts w:ascii="Times New Roman" w:hAnsi="Times New Roman" w:cs="Times New Roman"/>
              </w:rPr>
              <w:t xml:space="preserve"> blend (rice systems)</w:t>
            </w:r>
          </w:p>
        </w:tc>
        <w:tc>
          <w:tcPr>
            <w:tcW w:w="0" w:type="auto"/>
          </w:tcPr>
          <w:p w14:paraId="025FB722"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Rice yield improvements and soil pH increase are driven by calcium-rich compost combined with mineral N/P/K. Farmers achieved ~25% higher rice yields and soil pH rose by ~0.5 on acid sulfate soils.</w:t>
            </w:r>
          </w:p>
        </w:tc>
        <w:tc>
          <w:tcPr>
            <w:tcW w:w="0" w:type="auto"/>
          </w:tcPr>
          <w:p w14:paraId="2D01364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Rice yield:</w:t>
            </w:r>
            <w:r w:rsidRPr="00654AED">
              <w:rPr>
                <w:rFonts w:ascii="Times New Roman" w:hAnsi="Times New Roman" w:cs="Times New Roman"/>
              </w:rPr>
              <w:t xml:space="preserve"> ↑ ~25%; </w:t>
            </w:r>
            <w:r w:rsidRPr="00654AED">
              <w:rPr>
                <w:rFonts w:ascii="Times New Roman" w:hAnsi="Times New Roman" w:cs="Times New Roman"/>
                <w:i/>
                <w:iCs/>
              </w:rPr>
              <w:t>Soil pH:</w:t>
            </w:r>
            <w:r w:rsidRPr="00654AED">
              <w:rPr>
                <w:rFonts w:ascii="Times New Roman" w:hAnsi="Times New Roman" w:cs="Times New Roman"/>
              </w:rPr>
              <w:t xml:space="preserve"> ↑ ~0.5 units.</w:t>
            </w:r>
          </w:p>
        </w:tc>
        <w:tc>
          <w:tcPr>
            <w:tcW w:w="0" w:type="auto"/>
          </w:tcPr>
          <w:p w14:paraId="228BC146" w14:textId="3395FD59"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Farmer-led training </w:t>
            </w:r>
            <w:r w:rsidR="00A137E2">
              <w:rPr>
                <w:rFonts w:ascii="Times New Roman" w:hAnsi="Times New Roman" w:cs="Times New Roman"/>
              </w:rPr>
              <w:t>programmes</w:t>
            </w:r>
            <w:r w:rsidRPr="00654AED">
              <w:rPr>
                <w:rFonts w:ascii="Times New Roman" w:hAnsi="Times New Roman" w:cs="Times New Roman"/>
              </w:rPr>
              <w:t xml:space="preserve"> instituted to prevent misapplication and ensure proper dosage on sensitive soils.</w:t>
            </w:r>
          </w:p>
        </w:tc>
        <w:tc>
          <w:tcPr>
            <w:tcW w:w="0" w:type="auto"/>
          </w:tcPr>
          <w:p w14:paraId="66825A7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Badiane </w:t>
            </w:r>
            <w:r w:rsidRPr="00654AED">
              <w:rPr>
                <w:rFonts w:ascii="Times New Roman" w:hAnsi="Times New Roman" w:cs="Times New Roman"/>
                <w:i/>
                <w:iCs/>
              </w:rPr>
              <w:t>et al.</w:t>
            </w:r>
            <w:r w:rsidRPr="00654AED">
              <w:rPr>
                <w:rFonts w:ascii="Times New Roman" w:hAnsi="Times New Roman" w:cs="Times New Roman"/>
              </w:rPr>
              <w:t>, 2023</w:t>
            </w:r>
          </w:p>
        </w:tc>
      </w:tr>
      <w:tr w:rsidR="00654AED" w:rsidRPr="00654AED" w14:paraId="0258515F" w14:textId="77777777" w:rsidTr="00E225BF">
        <w:tc>
          <w:tcPr>
            <w:tcW w:w="0" w:type="auto"/>
          </w:tcPr>
          <w:p w14:paraId="0BF57DAA" w14:textId="06614FEB"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Burkina Faso </w:t>
            </w:r>
            <w:r w:rsidR="00DD3301">
              <w:rPr>
                <w:rFonts w:ascii="Times New Roman" w:hAnsi="Times New Roman" w:cs="Times New Roman"/>
                <w:b/>
                <w:bCs/>
              </w:rPr>
              <w:t>-</w:t>
            </w:r>
            <w:r w:rsidRPr="00654AED">
              <w:rPr>
                <w:rFonts w:ascii="Times New Roman" w:hAnsi="Times New Roman" w:cs="Times New Roman"/>
                <w:b/>
                <w:bCs/>
              </w:rPr>
              <w:t xml:space="preserve"> Manure + urea</w:t>
            </w:r>
            <w:r w:rsidRPr="00654AED">
              <w:rPr>
                <w:rFonts w:ascii="Times New Roman" w:hAnsi="Times New Roman" w:cs="Times New Roman"/>
              </w:rPr>
              <w:t xml:space="preserve"> </w:t>
            </w:r>
            <w:r w:rsidRPr="00654AED">
              <w:rPr>
                <w:rFonts w:ascii="Times New Roman" w:hAnsi="Times New Roman" w:cs="Times New Roman"/>
                <w:i/>
                <w:iCs/>
              </w:rPr>
              <w:t xml:space="preserve">(integrated </w:t>
            </w:r>
            <w:proofErr w:type="spellStart"/>
            <w:r w:rsidRPr="00654AED">
              <w:rPr>
                <w:rFonts w:ascii="Times New Roman" w:hAnsi="Times New Roman" w:cs="Times New Roman"/>
                <w:i/>
                <w:iCs/>
              </w:rPr>
              <w:t>fertiliser</w:t>
            </w:r>
            <w:proofErr w:type="spellEnd"/>
            <w:r w:rsidRPr="00654AED">
              <w:rPr>
                <w:rFonts w:ascii="Times New Roman" w:hAnsi="Times New Roman" w:cs="Times New Roman"/>
                <w:i/>
                <w:iCs/>
              </w:rPr>
              <w:t>)</w:t>
            </w:r>
          </w:p>
        </w:tc>
        <w:tc>
          <w:tcPr>
            <w:tcW w:w="0" w:type="auto"/>
          </w:tcPr>
          <w:p w14:paraId="63E2A332" w14:textId="627E85D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Burkina Faso </w:t>
            </w:r>
            <w:r w:rsidR="00DD3301">
              <w:rPr>
                <w:rFonts w:ascii="Times New Roman" w:hAnsi="Times New Roman" w:cs="Times New Roman"/>
              </w:rPr>
              <w:t>-</w:t>
            </w:r>
            <w:r w:rsidRPr="00654AED">
              <w:rPr>
                <w:rFonts w:ascii="Times New Roman" w:hAnsi="Times New Roman" w:cs="Times New Roman"/>
              </w:rPr>
              <w:t xml:space="preserve"> poultry manure + urea OMF (blended on-farm)</w:t>
            </w:r>
          </w:p>
        </w:tc>
        <w:tc>
          <w:tcPr>
            <w:tcW w:w="0" w:type="auto"/>
          </w:tcPr>
          <w:p w14:paraId="089B9719" w14:textId="25107EE8"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Integrated organic</w:t>
            </w:r>
            <w:r w:rsidR="00DD3301">
              <w:rPr>
                <w:rFonts w:ascii="Times New Roman" w:hAnsi="Times New Roman" w:cs="Times New Roman"/>
              </w:rPr>
              <w:t>-</w:t>
            </w:r>
            <w:r w:rsidRPr="00654AED">
              <w:rPr>
                <w:rFonts w:ascii="Times New Roman" w:hAnsi="Times New Roman" w:cs="Times New Roman"/>
              </w:rPr>
              <w:t>mineral application improved upland rice grain yields by ~30% and significantly suppressed weed competition, lowering weeding labor.</w:t>
            </w:r>
          </w:p>
        </w:tc>
        <w:tc>
          <w:tcPr>
            <w:tcW w:w="0" w:type="auto"/>
          </w:tcPr>
          <w:p w14:paraId="54005D11"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Grain yield:</w:t>
            </w:r>
            <w:r w:rsidRPr="00654AED">
              <w:rPr>
                <w:rFonts w:ascii="Times New Roman" w:hAnsi="Times New Roman" w:cs="Times New Roman"/>
              </w:rPr>
              <w:t xml:space="preserve"> ↑ ~30%; </w:t>
            </w:r>
            <w:r w:rsidRPr="00654AED">
              <w:rPr>
                <w:rFonts w:ascii="Times New Roman" w:hAnsi="Times New Roman" w:cs="Times New Roman"/>
                <w:i/>
                <w:iCs/>
              </w:rPr>
              <w:t>Weed pressure:</w:t>
            </w:r>
            <w:r w:rsidRPr="00654AED">
              <w:rPr>
                <w:rFonts w:ascii="Times New Roman" w:hAnsi="Times New Roman" w:cs="Times New Roman"/>
              </w:rPr>
              <w:t xml:space="preserve"> ↓ (qualitative reduction).</w:t>
            </w:r>
          </w:p>
        </w:tc>
        <w:tc>
          <w:tcPr>
            <w:tcW w:w="0" w:type="auto"/>
          </w:tcPr>
          <w:p w14:paraId="2CFF3DD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Guidance provided on application timing and dose to maximise benefits and minimize nutrient losses.</w:t>
            </w:r>
          </w:p>
        </w:tc>
        <w:tc>
          <w:tcPr>
            <w:tcW w:w="0" w:type="auto"/>
          </w:tcPr>
          <w:p w14:paraId="56F4A484"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Sanou</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2023</w:t>
            </w:r>
          </w:p>
        </w:tc>
      </w:tr>
      <w:tr w:rsidR="00654AED" w:rsidRPr="00654AED" w14:paraId="08FD6640" w14:textId="77777777" w:rsidTr="00E225BF">
        <w:tc>
          <w:tcPr>
            <w:tcW w:w="0" w:type="auto"/>
          </w:tcPr>
          <w:p w14:paraId="11364ED4" w14:textId="50CBA47C"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Cross-regional </w:t>
            </w:r>
            <w:r w:rsidR="00DD3301">
              <w:rPr>
                <w:rFonts w:ascii="Times New Roman" w:hAnsi="Times New Roman" w:cs="Times New Roman"/>
                <w:b/>
                <w:bCs/>
              </w:rPr>
              <w:t>-</w:t>
            </w:r>
            <w:r w:rsidRPr="00654AED">
              <w:rPr>
                <w:rFonts w:ascii="Times New Roman" w:hAnsi="Times New Roman" w:cs="Times New Roman"/>
                <w:b/>
                <w:bCs/>
              </w:rPr>
              <w:t xml:space="preserve"> Standards</w:t>
            </w:r>
            <w:r w:rsidRPr="00654AED">
              <w:rPr>
                <w:rFonts w:ascii="Times New Roman" w:hAnsi="Times New Roman" w:cs="Times New Roman"/>
              </w:rPr>
              <w:t xml:space="preserve"> </w:t>
            </w:r>
            <w:r w:rsidRPr="00654AED">
              <w:rPr>
                <w:rFonts w:ascii="Times New Roman" w:hAnsi="Times New Roman" w:cs="Times New Roman"/>
                <w:i/>
                <w:iCs/>
              </w:rPr>
              <w:t>(regulatory frameworks)</w:t>
            </w:r>
          </w:p>
        </w:tc>
        <w:tc>
          <w:tcPr>
            <w:tcW w:w="0" w:type="auto"/>
          </w:tcPr>
          <w:p w14:paraId="6B7AE006" w14:textId="42B1FDFA"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Multiple countries </w:t>
            </w:r>
            <w:r w:rsidR="00DD3301">
              <w:rPr>
                <w:rFonts w:ascii="Times New Roman" w:hAnsi="Times New Roman" w:cs="Times New Roman"/>
              </w:rPr>
              <w:t>-</w:t>
            </w:r>
            <w:r w:rsidRPr="00654AED">
              <w:rPr>
                <w:rFonts w:ascii="Times New Roman" w:hAnsi="Times New Roman" w:cs="Times New Roman"/>
              </w:rPr>
              <w:t xml:space="preserve"> </w:t>
            </w:r>
            <w:proofErr w:type="spellStart"/>
            <w:r w:rsidRPr="00654AED">
              <w:rPr>
                <w:rFonts w:ascii="Times New Roman" w:hAnsi="Times New Roman" w:cs="Times New Roman"/>
              </w:rPr>
              <w:t>harmonising</w:t>
            </w:r>
            <w:proofErr w:type="spellEnd"/>
            <w:r w:rsidRPr="00654AED">
              <w:rPr>
                <w:rFonts w:ascii="Times New Roman" w:hAnsi="Times New Roman" w:cs="Times New Roman"/>
              </w:rPr>
              <w:t xml:space="preserve"> OMF standards</w:t>
            </w:r>
          </w:p>
        </w:tc>
        <w:tc>
          <w:tcPr>
            <w:tcW w:w="0" w:type="auto"/>
          </w:tcPr>
          <w:p w14:paraId="63F1422F"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Lack of uniform regulations and labelling for OMF products slows approval processes and undermines farmer trust.</w:t>
            </w:r>
          </w:p>
        </w:tc>
        <w:tc>
          <w:tcPr>
            <w:tcW w:w="0" w:type="auto"/>
          </w:tcPr>
          <w:p w14:paraId="3984F697"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(No numeric data applicable)</w:t>
            </w:r>
          </w:p>
        </w:tc>
        <w:tc>
          <w:tcPr>
            <w:tcW w:w="0" w:type="auto"/>
          </w:tcPr>
          <w:p w14:paraId="3CF4DFD0"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Development of national OMF standards and ISO-aligned QA/QC guidelines; clear labelling to build confidence.</w:t>
            </w:r>
          </w:p>
        </w:tc>
        <w:tc>
          <w:tcPr>
            <w:tcW w:w="0" w:type="auto"/>
          </w:tcPr>
          <w:p w14:paraId="193B0A0D"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Kominko</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xml:space="preserve">, 2018; </w:t>
            </w:r>
            <w:proofErr w:type="spellStart"/>
            <w:r w:rsidRPr="00654AED">
              <w:rPr>
                <w:rFonts w:ascii="Times New Roman" w:hAnsi="Times New Roman" w:cs="Times New Roman"/>
              </w:rPr>
              <w:t>Stubenrauch</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2018</w:t>
            </w:r>
          </w:p>
        </w:tc>
      </w:tr>
      <w:tr w:rsidR="00654AED" w:rsidRPr="00654AED" w14:paraId="16E11DBD" w14:textId="77777777" w:rsidTr="00E225BF">
        <w:tc>
          <w:tcPr>
            <w:tcW w:w="0" w:type="auto"/>
          </w:tcPr>
          <w:p w14:paraId="7C484A56" w14:textId="79DC1C56"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Global South </w:t>
            </w:r>
            <w:r w:rsidR="00DD3301">
              <w:rPr>
                <w:rFonts w:ascii="Times New Roman" w:hAnsi="Times New Roman" w:cs="Times New Roman"/>
                <w:b/>
                <w:bCs/>
              </w:rPr>
              <w:t>-</w:t>
            </w:r>
            <w:r w:rsidRPr="00654AED">
              <w:rPr>
                <w:rFonts w:ascii="Times New Roman" w:hAnsi="Times New Roman" w:cs="Times New Roman"/>
                <w:b/>
                <w:bCs/>
              </w:rPr>
              <w:t xml:space="preserve"> Extension</w:t>
            </w:r>
            <w:r w:rsidRPr="00654AED">
              <w:rPr>
                <w:rFonts w:ascii="Times New Roman" w:hAnsi="Times New Roman" w:cs="Times New Roman"/>
              </w:rPr>
              <w:t xml:space="preserve"> </w:t>
            </w:r>
            <w:r w:rsidRPr="00654AED">
              <w:rPr>
                <w:rFonts w:ascii="Times New Roman" w:hAnsi="Times New Roman" w:cs="Times New Roman"/>
                <w:i/>
                <w:iCs/>
              </w:rPr>
              <w:t>(service capacity)</w:t>
            </w:r>
          </w:p>
        </w:tc>
        <w:tc>
          <w:tcPr>
            <w:tcW w:w="0" w:type="auto"/>
          </w:tcPr>
          <w:p w14:paraId="7C58C212" w14:textId="5A935E2B"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Multiple (low-income regions) </w:t>
            </w:r>
            <w:r w:rsidR="00DD3301">
              <w:rPr>
                <w:rFonts w:ascii="Times New Roman" w:hAnsi="Times New Roman" w:cs="Times New Roman"/>
              </w:rPr>
              <w:t>-</w:t>
            </w:r>
            <w:r w:rsidRPr="00654AED">
              <w:rPr>
                <w:rFonts w:ascii="Times New Roman" w:hAnsi="Times New Roman" w:cs="Times New Roman"/>
              </w:rPr>
              <w:t xml:space="preserve"> advisory services</w:t>
            </w:r>
          </w:p>
        </w:tc>
        <w:tc>
          <w:tcPr>
            <w:tcW w:w="0" w:type="auto"/>
          </w:tcPr>
          <w:p w14:paraId="741A1E0D" w14:textId="3C331778"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Inadequate agricultural extension capacity leads to improper timing and dosing of OMF by farmers. Program</w:t>
            </w:r>
            <w:r w:rsidR="00DD3301">
              <w:rPr>
                <w:rFonts w:ascii="Times New Roman" w:hAnsi="Times New Roman" w:cs="Times New Roman"/>
              </w:rPr>
              <w:t>me</w:t>
            </w:r>
            <w:r w:rsidRPr="00654AED">
              <w:rPr>
                <w:rFonts w:ascii="Times New Roman" w:hAnsi="Times New Roman" w:cs="Times New Roman"/>
              </w:rPr>
              <w:t xml:space="preserve"> evaluations note qualitative evidence of inconsistent application.</w:t>
            </w:r>
          </w:p>
        </w:tc>
        <w:tc>
          <w:tcPr>
            <w:tcW w:w="0" w:type="auto"/>
          </w:tcPr>
          <w:p w14:paraId="28FFE01F" w14:textId="6BA96F8C"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w:t>
            </w:r>
            <w:proofErr w:type="spellStart"/>
            <w:r w:rsidR="00A137E2">
              <w:rPr>
                <w:rFonts w:ascii="Times New Roman" w:hAnsi="Times New Roman" w:cs="Times New Roman"/>
                <w:i/>
                <w:iCs/>
              </w:rPr>
              <w:t>Programme</w:t>
            </w:r>
            <w:r w:rsidRPr="00654AED">
              <w:rPr>
                <w:rFonts w:ascii="Times New Roman" w:hAnsi="Times New Roman" w:cs="Times New Roman"/>
                <w:i/>
                <w:iCs/>
              </w:rPr>
              <w:t>reports</w:t>
            </w:r>
            <w:proofErr w:type="spellEnd"/>
            <w:r w:rsidRPr="00654AED">
              <w:rPr>
                <w:rFonts w:ascii="Times New Roman" w:hAnsi="Times New Roman" w:cs="Times New Roman"/>
                <w:i/>
                <w:iCs/>
              </w:rPr>
              <w:t>, qualitative)</w:t>
            </w:r>
          </w:p>
        </w:tc>
        <w:tc>
          <w:tcPr>
            <w:tcW w:w="0" w:type="auto"/>
          </w:tcPr>
          <w:p w14:paraId="7B45C16D"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Expand public extension services; establish farmer field schools and mobile app platforms for guidance.</w:t>
            </w:r>
          </w:p>
        </w:tc>
        <w:tc>
          <w:tcPr>
            <w:tcW w:w="0" w:type="auto"/>
          </w:tcPr>
          <w:p w14:paraId="3E1A6D55"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Mamuye</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xml:space="preserve">, 2021; Raimi </w:t>
            </w:r>
            <w:r w:rsidRPr="00654AED">
              <w:rPr>
                <w:rFonts w:ascii="Times New Roman" w:hAnsi="Times New Roman" w:cs="Times New Roman"/>
                <w:i/>
                <w:iCs/>
              </w:rPr>
              <w:t>et al.</w:t>
            </w:r>
            <w:r w:rsidRPr="00654AED">
              <w:rPr>
                <w:rFonts w:ascii="Times New Roman" w:hAnsi="Times New Roman" w:cs="Times New Roman"/>
              </w:rPr>
              <w:t>, 2017</w:t>
            </w:r>
          </w:p>
        </w:tc>
      </w:tr>
      <w:tr w:rsidR="00654AED" w:rsidRPr="00654AED" w14:paraId="2D70C1F5" w14:textId="77777777" w:rsidTr="00E225BF">
        <w:tc>
          <w:tcPr>
            <w:tcW w:w="0" w:type="auto"/>
          </w:tcPr>
          <w:p w14:paraId="553E968E" w14:textId="5A213041"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Global South </w:t>
            </w:r>
            <w:r w:rsidR="00DD3301">
              <w:rPr>
                <w:rFonts w:ascii="Times New Roman" w:hAnsi="Times New Roman" w:cs="Times New Roman"/>
                <w:b/>
                <w:bCs/>
              </w:rPr>
              <w:t>-</w:t>
            </w:r>
            <w:r w:rsidRPr="00654AED">
              <w:rPr>
                <w:rFonts w:ascii="Times New Roman" w:hAnsi="Times New Roman" w:cs="Times New Roman"/>
                <w:b/>
                <w:bCs/>
              </w:rPr>
              <w:t xml:space="preserve"> Farmer education</w:t>
            </w:r>
            <w:r w:rsidRPr="00654AED">
              <w:rPr>
                <w:rFonts w:ascii="Times New Roman" w:hAnsi="Times New Roman" w:cs="Times New Roman"/>
              </w:rPr>
              <w:t xml:space="preserve"> </w:t>
            </w:r>
            <w:r w:rsidRPr="00654AED">
              <w:rPr>
                <w:rFonts w:ascii="Times New Roman" w:hAnsi="Times New Roman" w:cs="Times New Roman"/>
                <w:i/>
                <w:iCs/>
              </w:rPr>
              <w:t>(awareness &amp; safety)</w:t>
            </w:r>
          </w:p>
        </w:tc>
        <w:tc>
          <w:tcPr>
            <w:tcW w:w="0" w:type="auto"/>
          </w:tcPr>
          <w:p w14:paraId="5D229695" w14:textId="62A30EA5"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Multiple </w:t>
            </w:r>
            <w:r w:rsidR="00DD3301">
              <w:rPr>
                <w:rFonts w:ascii="Times New Roman" w:hAnsi="Times New Roman" w:cs="Times New Roman"/>
              </w:rPr>
              <w:t>-</w:t>
            </w:r>
            <w:r w:rsidRPr="00654AED">
              <w:rPr>
                <w:rFonts w:ascii="Times New Roman" w:hAnsi="Times New Roman" w:cs="Times New Roman"/>
              </w:rPr>
              <w:t xml:space="preserve"> training and safety awareness</w:t>
            </w:r>
          </w:p>
        </w:tc>
        <w:tc>
          <w:tcPr>
            <w:tcW w:w="0" w:type="auto"/>
          </w:tcPr>
          <w:p w14:paraId="12F7B988"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Low awareness of OMF benefits and safe handling practices in many communities.</w:t>
            </w:r>
          </w:p>
        </w:tc>
        <w:tc>
          <w:tcPr>
            <w:tcW w:w="0" w:type="auto"/>
          </w:tcPr>
          <w:p w14:paraId="4495635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(No direct quantitative data)</w:t>
            </w:r>
          </w:p>
        </w:tc>
        <w:tc>
          <w:tcPr>
            <w:tcW w:w="0" w:type="auto"/>
          </w:tcPr>
          <w:p w14:paraId="321188C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Conduct workshops and radio campaigns; peer mentor networks to improve knowledge and safety compliance.</w:t>
            </w:r>
          </w:p>
        </w:tc>
        <w:tc>
          <w:tcPr>
            <w:tcW w:w="0" w:type="auto"/>
          </w:tcPr>
          <w:p w14:paraId="65BA0C25"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Biramo</w:t>
            </w:r>
            <w:proofErr w:type="spellEnd"/>
            <w:r w:rsidRPr="00654AED">
              <w:rPr>
                <w:rFonts w:ascii="Times New Roman" w:hAnsi="Times New Roman" w:cs="Times New Roman"/>
              </w:rPr>
              <w:t xml:space="preserve">, 2018; Raimi </w:t>
            </w:r>
            <w:r w:rsidRPr="00654AED">
              <w:rPr>
                <w:rFonts w:ascii="Times New Roman" w:hAnsi="Times New Roman" w:cs="Times New Roman"/>
                <w:i/>
                <w:iCs/>
              </w:rPr>
              <w:t>et al.</w:t>
            </w:r>
            <w:r w:rsidRPr="00654AED">
              <w:rPr>
                <w:rFonts w:ascii="Times New Roman" w:hAnsi="Times New Roman" w:cs="Times New Roman"/>
              </w:rPr>
              <w:t>, 2017</w:t>
            </w:r>
          </w:p>
        </w:tc>
      </w:tr>
      <w:tr w:rsidR="00654AED" w:rsidRPr="00654AED" w14:paraId="2F6254C5" w14:textId="77777777" w:rsidTr="00E225BF">
        <w:tc>
          <w:tcPr>
            <w:tcW w:w="0" w:type="auto"/>
          </w:tcPr>
          <w:p w14:paraId="59CD97AA" w14:textId="54382A36"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Global South </w:t>
            </w:r>
            <w:r w:rsidR="00DD3301">
              <w:rPr>
                <w:rFonts w:ascii="Times New Roman" w:hAnsi="Times New Roman" w:cs="Times New Roman"/>
                <w:b/>
                <w:bCs/>
              </w:rPr>
              <w:t>-</w:t>
            </w:r>
            <w:r w:rsidRPr="00654AED">
              <w:rPr>
                <w:rFonts w:ascii="Times New Roman" w:hAnsi="Times New Roman" w:cs="Times New Roman"/>
                <w:b/>
                <w:bCs/>
              </w:rPr>
              <w:t xml:space="preserve"> Land tenure</w:t>
            </w:r>
            <w:r w:rsidRPr="00654AED">
              <w:rPr>
                <w:rFonts w:ascii="Times New Roman" w:hAnsi="Times New Roman" w:cs="Times New Roman"/>
              </w:rPr>
              <w:t xml:space="preserve"> </w:t>
            </w:r>
            <w:r w:rsidRPr="00654AED">
              <w:rPr>
                <w:rFonts w:ascii="Times New Roman" w:hAnsi="Times New Roman" w:cs="Times New Roman"/>
                <w:i/>
                <w:iCs/>
              </w:rPr>
              <w:t>(investment horizon)</w:t>
            </w:r>
          </w:p>
        </w:tc>
        <w:tc>
          <w:tcPr>
            <w:tcW w:w="0" w:type="auto"/>
          </w:tcPr>
          <w:p w14:paraId="3F402F6C" w14:textId="7B83B6B2"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Multiple </w:t>
            </w:r>
            <w:r w:rsidR="00DD3301">
              <w:rPr>
                <w:rFonts w:ascii="Times New Roman" w:hAnsi="Times New Roman" w:cs="Times New Roman"/>
              </w:rPr>
              <w:t>-</w:t>
            </w:r>
            <w:r w:rsidRPr="00654AED">
              <w:rPr>
                <w:rFonts w:ascii="Times New Roman" w:hAnsi="Times New Roman" w:cs="Times New Roman"/>
              </w:rPr>
              <w:t xml:space="preserve"> tenure security issues</w:t>
            </w:r>
          </w:p>
        </w:tc>
        <w:tc>
          <w:tcPr>
            <w:tcW w:w="0" w:type="auto"/>
          </w:tcPr>
          <w:p w14:paraId="1C6813D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Insecure land tenure discourages farmers from investing in soil improvements with multi-year payoffs (like OMF-driven soil fertility).</w:t>
            </w:r>
          </w:p>
        </w:tc>
        <w:tc>
          <w:tcPr>
            <w:tcW w:w="0" w:type="auto"/>
          </w:tcPr>
          <w:p w14:paraId="5FCDA4C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(No direct quantitative data)</w:t>
            </w:r>
          </w:p>
        </w:tc>
        <w:tc>
          <w:tcPr>
            <w:tcW w:w="0" w:type="auto"/>
          </w:tcPr>
          <w:p w14:paraId="6F381ED1"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Accelerate land title registration and provide legal support to strengthen farmers’ long-term land rights.</w:t>
            </w:r>
          </w:p>
        </w:tc>
        <w:tc>
          <w:tcPr>
            <w:tcW w:w="0" w:type="auto"/>
          </w:tcPr>
          <w:p w14:paraId="570329AA"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Biramo</w:t>
            </w:r>
            <w:proofErr w:type="spellEnd"/>
            <w:r w:rsidRPr="00654AED">
              <w:rPr>
                <w:rFonts w:ascii="Times New Roman" w:hAnsi="Times New Roman" w:cs="Times New Roman"/>
              </w:rPr>
              <w:t xml:space="preserve">, 2018; </w:t>
            </w:r>
            <w:proofErr w:type="spellStart"/>
            <w:r w:rsidRPr="00654AED">
              <w:rPr>
                <w:rFonts w:ascii="Times New Roman" w:hAnsi="Times New Roman" w:cs="Times New Roman"/>
              </w:rPr>
              <w:t>Assefa</w:t>
            </w:r>
            <w:proofErr w:type="spellEnd"/>
            <w:r w:rsidRPr="00654AED">
              <w:rPr>
                <w:rFonts w:ascii="Times New Roman" w:hAnsi="Times New Roman" w:cs="Times New Roman"/>
              </w:rPr>
              <w:t>, 2019</w:t>
            </w:r>
          </w:p>
        </w:tc>
      </w:tr>
      <w:tr w:rsidR="00654AED" w:rsidRPr="00654AED" w14:paraId="18FC040C" w14:textId="77777777" w:rsidTr="00E225BF">
        <w:tc>
          <w:tcPr>
            <w:tcW w:w="0" w:type="auto"/>
          </w:tcPr>
          <w:p w14:paraId="6A5AE6A0" w14:textId="5F8E0575"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 xml:space="preserve">Global South </w:t>
            </w:r>
            <w:r w:rsidR="00DD3301">
              <w:rPr>
                <w:rFonts w:ascii="Times New Roman" w:hAnsi="Times New Roman" w:cs="Times New Roman"/>
                <w:b/>
                <w:bCs/>
              </w:rPr>
              <w:t>-</w:t>
            </w:r>
            <w:r w:rsidRPr="00654AED">
              <w:rPr>
                <w:rFonts w:ascii="Times New Roman" w:hAnsi="Times New Roman" w:cs="Times New Roman"/>
                <w:b/>
                <w:bCs/>
              </w:rPr>
              <w:t xml:space="preserve"> Market access</w:t>
            </w:r>
            <w:r w:rsidRPr="00654AED">
              <w:rPr>
                <w:rFonts w:ascii="Times New Roman" w:hAnsi="Times New Roman" w:cs="Times New Roman"/>
              </w:rPr>
              <w:t xml:space="preserve"> </w:t>
            </w:r>
            <w:r w:rsidRPr="00654AED">
              <w:rPr>
                <w:rFonts w:ascii="Times New Roman" w:hAnsi="Times New Roman" w:cs="Times New Roman"/>
                <w:i/>
                <w:iCs/>
              </w:rPr>
              <w:t>(value chains)</w:t>
            </w:r>
          </w:p>
        </w:tc>
        <w:tc>
          <w:tcPr>
            <w:tcW w:w="0" w:type="auto"/>
          </w:tcPr>
          <w:p w14:paraId="3C4E78E5" w14:textId="161B838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Multiple </w:t>
            </w:r>
            <w:r w:rsidR="00DD3301">
              <w:rPr>
                <w:rFonts w:ascii="Times New Roman" w:hAnsi="Times New Roman" w:cs="Times New Roman"/>
              </w:rPr>
              <w:t>-</w:t>
            </w:r>
            <w:r w:rsidRPr="00654AED">
              <w:rPr>
                <w:rFonts w:ascii="Times New Roman" w:hAnsi="Times New Roman" w:cs="Times New Roman"/>
              </w:rPr>
              <w:t xml:space="preserve"> fragmented markets</w:t>
            </w:r>
          </w:p>
        </w:tc>
        <w:tc>
          <w:tcPr>
            <w:tcW w:w="0" w:type="auto"/>
          </w:tcPr>
          <w:p w14:paraId="2980AAD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Poor market linkages in remote areas lead to low farm-gate prices and limit reinvestment capacity, hindering OMF adoption.</w:t>
            </w:r>
          </w:p>
        </w:tc>
        <w:tc>
          <w:tcPr>
            <w:tcW w:w="0" w:type="auto"/>
          </w:tcPr>
          <w:p w14:paraId="4826655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i/>
                <w:iCs/>
              </w:rPr>
              <w:t>(Descriptive)</w:t>
            </w:r>
          </w:p>
        </w:tc>
        <w:tc>
          <w:tcPr>
            <w:tcW w:w="0" w:type="auto"/>
          </w:tcPr>
          <w:p w14:paraId="040AFB7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Form marketing co-ops; streamline regional trade policies to improve price </w:t>
            </w:r>
            <w:proofErr w:type="spellStart"/>
            <w:r w:rsidRPr="00654AED">
              <w:rPr>
                <w:rFonts w:ascii="Times New Roman" w:hAnsi="Times New Roman" w:cs="Times New Roman"/>
              </w:rPr>
              <w:t>realisation</w:t>
            </w:r>
            <w:proofErr w:type="spellEnd"/>
            <w:r w:rsidRPr="00654AED">
              <w:rPr>
                <w:rFonts w:ascii="Times New Roman" w:hAnsi="Times New Roman" w:cs="Times New Roman"/>
              </w:rPr>
              <w:t xml:space="preserve"> for farmers.</w:t>
            </w:r>
          </w:p>
        </w:tc>
        <w:tc>
          <w:tcPr>
            <w:tcW w:w="0" w:type="auto"/>
          </w:tcPr>
          <w:p w14:paraId="345E1944"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Ncube </w:t>
            </w:r>
            <w:r w:rsidRPr="00654AED">
              <w:rPr>
                <w:rFonts w:ascii="Times New Roman" w:hAnsi="Times New Roman" w:cs="Times New Roman"/>
                <w:i/>
                <w:iCs/>
              </w:rPr>
              <w:t>et al.</w:t>
            </w:r>
            <w:r w:rsidRPr="00654AED">
              <w:rPr>
                <w:rFonts w:ascii="Times New Roman" w:hAnsi="Times New Roman" w:cs="Times New Roman"/>
              </w:rPr>
              <w:t>, 2022; World Bank, 2025</w:t>
            </w:r>
          </w:p>
        </w:tc>
      </w:tr>
    </w:tbl>
    <w:p w14:paraId="32347B6B" w14:textId="77777777" w:rsidR="00E37C1C" w:rsidRDefault="00E37C1C" w:rsidP="00A669BF">
      <w:pPr>
        <w:pStyle w:val="FirstParagraph"/>
        <w:spacing w:before="0" w:after="0"/>
        <w:rPr>
          <w:rFonts w:ascii="Times New Roman" w:eastAsiaTheme="majorEastAsia" w:hAnsi="Times New Roman" w:cs="Times New Roman"/>
          <w:b/>
          <w:bCs/>
          <w:kern w:val="2"/>
          <w:lang w:val="en-GB"/>
          <w14:ligatures w14:val="standardContextual"/>
        </w:rPr>
      </w:pPr>
      <w:bookmarkStart w:id="3" w:name="X237ade65b0775df3eb9c721bd23810221536391"/>
      <w:bookmarkEnd w:id="2"/>
    </w:p>
    <w:p w14:paraId="2C4CEF44" w14:textId="77777777" w:rsidR="00E37C1C" w:rsidRDefault="00E37C1C">
      <w:pPr>
        <w:rPr>
          <w:rFonts w:ascii="Times New Roman" w:eastAsiaTheme="majorEastAsia" w:hAnsi="Times New Roman" w:cs="Times New Roman"/>
          <w:b/>
          <w:bCs/>
          <w:lang w:val="en-GB"/>
        </w:rPr>
      </w:pPr>
      <w:r>
        <w:rPr>
          <w:rFonts w:ascii="Times New Roman" w:eastAsiaTheme="majorEastAsia" w:hAnsi="Times New Roman" w:cs="Times New Roman"/>
          <w:b/>
          <w:bCs/>
          <w:lang w:val="en-GB"/>
        </w:rPr>
        <w:br w:type="page"/>
      </w:r>
    </w:p>
    <w:p w14:paraId="3FD62223" w14:textId="226F8BA5" w:rsidR="00A669BF" w:rsidRPr="00654AED" w:rsidRDefault="00E20ED8" w:rsidP="00A669BF">
      <w:pPr>
        <w:pStyle w:val="FirstParagraph"/>
        <w:spacing w:before="0" w:after="0"/>
        <w:rPr>
          <w:rFonts w:ascii="Times New Roman" w:hAnsi="Times New Roman" w:cs="Times New Roman"/>
        </w:rPr>
      </w:pPr>
      <w:r w:rsidRPr="00E20ED8">
        <w:rPr>
          <w:rFonts w:ascii="Times New Roman" w:eastAsiaTheme="majorEastAsia" w:hAnsi="Times New Roman" w:cs="Times New Roman"/>
          <w:b/>
          <w:bCs/>
          <w:kern w:val="2"/>
          <w:lang w:val="en-GB"/>
          <w14:ligatures w14:val="standardContextual"/>
        </w:rPr>
        <w:t>Table S5. National Notes on OMF Programmes and Constraints</w:t>
      </w:r>
      <w:r w:rsidRPr="00E20ED8">
        <w:rPr>
          <w:rFonts w:ascii="Times New Roman" w:eastAsiaTheme="majorEastAsia" w:hAnsi="Times New Roman" w:cs="Times New Roman"/>
          <w:b/>
          <w:bCs/>
          <w:kern w:val="2"/>
          <w:lang w:val="en-GB"/>
          <w14:ligatures w14:val="standardContextual"/>
        </w:rPr>
        <w:br/>
      </w:r>
      <w:r w:rsidRPr="00E20ED8">
        <w:rPr>
          <w:rFonts w:ascii="Times New Roman" w:eastAsiaTheme="majorEastAsia" w:hAnsi="Times New Roman" w:cs="Times New Roman"/>
          <w:kern w:val="2"/>
          <w:lang w:val="en-GB"/>
          <w14:ligatures w14:val="standardContextual"/>
        </w:rPr>
        <w:t>Country-specific notes on OMF initiatives and contextual constraints (supplement to Section 4.3); concise operational points relevant to adoption</w:t>
      </w:r>
      <w:r w:rsidR="00A669BF" w:rsidRPr="00E20ED8">
        <w:rPr>
          <w:rFonts w:ascii="Times New Roman" w:hAnsi="Times New Roman" w:cs="Times New Roman"/>
        </w:rPr>
        <w:t>.</w:t>
      </w:r>
    </w:p>
    <w:tbl>
      <w:tblPr>
        <w:tblStyle w:val="Table"/>
        <w:tblW w:w="0" w:type="auto"/>
        <w:tblLook w:val="0020" w:firstRow="1" w:lastRow="0" w:firstColumn="0" w:lastColumn="0" w:noHBand="0" w:noVBand="0"/>
      </w:tblPr>
      <w:tblGrid>
        <w:gridCol w:w="1795"/>
        <w:gridCol w:w="1577"/>
        <w:gridCol w:w="5288"/>
        <w:gridCol w:w="2997"/>
        <w:gridCol w:w="2347"/>
      </w:tblGrid>
      <w:tr w:rsidR="00654AED" w:rsidRPr="00654AED" w14:paraId="3E5D730A" w14:textId="77777777" w:rsidTr="00E225BF">
        <w:trPr>
          <w:cnfStyle w:val="100000000000" w:firstRow="1" w:lastRow="0" w:firstColumn="0" w:lastColumn="0" w:oddVBand="0" w:evenVBand="0" w:oddHBand="0" w:evenHBand="0" w:firstRowFirstColumn="0" w:firstRowLastColumn="0" w:lastRowFirstColumn="0" w:lastRowLastColumn="0"/>
          <w:tblHeader/>
        </w:trPr>
        <w:tc>
          <w:tcPr>
            <w:tcW w:w="0" w:type="auto"/>
          </w:tcPr>
          <w:p w14:paraId="14E876E7" w14:textId="493F246D"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Country</w:t>
            </w:r>
            <w:r w:rsidR="00E20ED8">
              <w:rPr>
                <w:rFonts w:ascii="Times New Roman" w:hAnsi="Times New Roman" w:cs="Times New Roman"/>
                <w:b/>
                <w:bCs/>
              </w:rPr>
              <w:t>/</w:t>
            </w:r>
            <w:r w:rsidRPr="00654AED">
              <w:rPr>
                <w:rFonts w:ascii="Times New Roman" w:hAnsi="Times New Roman" w:cs="Times New Roman"/>
                <w:b/>
                <w:bCs/>
              </w:rPr>
              <w:t>Region</w:t>
            </w:r>
          </w:p>
        </w:tc>
        <w:tc>
          <w:tcPr>
            <w:tcW w:w="0" w:type="auto"/>
          </w:tcPr>
          <w:p w14:paraId="35263BC2"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Highlighted Issue</w:t>
            </w:r>
          </w:p>
        </w:tc>
        <w:tc>
          <w:tcPr>
            <w:tcW w:w="0" w:type="auto"/>
          </w:tcPr>
          <w:p w14:paraId="16CF5207" w14:textId="4509FAAC"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Evidence</w:t>
            </w:r>
            <w:r w:rsidR="00E20ED8">
              <w:rPr>
                <w:rFonts w:ascii="Times New Roman" w:hAnsi="Times New Roman" w:cs="Times New Roman"/>
                <w:b/>
                <w:bCs/>
              </w:rPr>
              <w:t>/</w:t>
            </w:r>
            <w:r w:rsidRPr="00654AED">
              <w:rPr>
                <w:rFonts w:ascii="Times New Roman" w:hAnsi="Times New Roman" w:cs="Times New Roman"/>
                <w:b/>
                <w:bCs/>
              </w:rPr>
              <w:t>Insight (supplementary)</w:t>
            </w:r>
          </w:p>
        </w:tc>
        <w:tc>
          <w:tcPr>
            <w:tcW w:w="0" w:type="auto"/>
          </w:tcPr>
          <w:p w14:paraId="2A8A942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Key condition for uptake</w:t>
            </w:r>
          </w:p>
        </w:tc>
        <w:tc>
          <w:tcPr>
            <w:tcW w:w="0" w:type="auto"/>
          </w:tcPr>
          <w:p w14:paraId="2161C208"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Reference</w:t>
            </w:r>
          </w:p>
        </w:tc>
      </w:tr>
      <w:tr w:rsidR="00654AED" w:rsidRPr="00654AED" w14:paraId="0359F85B" w14:textId="77777777" w:rsidTr="00E225BF">
        <w:tc>
          <w:tcPr>
            <w:tcW w:w="0" w:type="auto"/>
          </w:tcPr>
          <w:p w14:paraId="22132113"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Kenya (smallholders)</w:t>
            </w:r>
          </w:p>
        </w:tc>
        <w:tc>
          <w:tcPr>
            <w:tcW w:w="0" w:type="auto"/>
          </w:tcPr>
          <w:p w14:paraId="52E89298"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Credit access &amp; yield impact</w:t>
            </w:r>
          </w:p>
        </w:tc>
        <w:tc>
          <w:tcPr>
            <w:tcW w:w="0" w:type="auto"/>
          </w:tcPr>
          <w:p w14:paraId="3F4CB001" w14:textId="42A4E683"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Only ~12% of smallholders have formal credit; however, microfinance and co-op loans are linked to higher OMF adoption. Farmers using modest mineral N with compost-based OMF saw +25</w:t>
            </w:r>
            <w:r w:rsidR="00DD3301">
              <w:rPr>
                <w:rFonts w:ascii="Times New Roman" w:hAnsi="Times New Roman" w:cs="Times New Roman"/>
              </w:rPr>
              <w:t>-</w:t>
            </w:r>
            <w:r w:rsidRPr="00654AED">
              <w:rPr>
                <w:rFonts w:ascii="Times New Roman" w:hAnsi="Times New Roman" w:cs="Times New Roman"/>
              </w:rPr>
              <w:t>40% maize yield gain</w:t>
            </w:r>
            <w:r w:rsidR="002F67B9">
              <w:rPr>
                <w:rFonts w:ascii="Times New Roman" w:hAnsi="Times New Roman" w:cs="Times New Roman"/>
              </w:rPr>
              <w:t>s</w:t>
            </w:r>
            <w:r w:rsidRPr="00654AED">
              <w:rPr>
                <w:rFonts w:ascii="Times New Roman" w:hAnsi="Times New Roman" w:cs="Times New Roman"/>
              </w:rPr>
              <w:t>.</w:t>
            </w:r>
          </w:p>
        </w:tc>
        <w:tc>
          <w:tcPr>
            <w:tcW w:w="0" w:type="auto"/>
          </w:tcPr>
          <w:p w14:paraId="7C08E79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Seasonal credit schemes and group lending, coupled with basic record-keeping and agronomic training, enable adoption.</w:t>
            </w:r>
          </w:p>
        </w:tc>
        <w:tc>
          <w:tcPr>
            <w:tcW w:w="0" w:type="auto"/>
          </w:tcPr>
          <w:p w14:paraId="7CA93B6E"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Mucheru-Muna</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2013</w:t>
            </w:r>
          </w:p>
        </w:tc>
      </w:tr>
      <w:tr w:rsidR="00654AED" w:rsidRPr="00654AED" w14:paraId="086FE755" w14:textId="77777777" w:rsidTr="00E225BF">
        <w:tc>
          <w:tcPr>
            <w:tcW w:w="0" w:type="auto"/>
          </w:tcPr>
          <w:p w14:paraId="2D99653F"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Kenya</w:t>
            </w:r>
          </w:p>
        </w:tc>
        <w:tc>
          <w:tcPr>
            <w:tcW w:w="0" w:type="auto"/>
          </w:tcPr>
          <w:p w14:paraId="70CDDF7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Local OMF </w:t>
            </w:r>
            <w:proofErr w:type="spellStart"/>
            <w:r w:rsidRPr="00654AED">
              <w:rPr>
                <w:rFonts w:ascii="Times New Roman" w:hAnsi="Times New Roman" w:cs="Times New Roman"/>
              </w:rPr>
              <w:t>pelletising</w:t>
            </w:r>
            <w:proofErr w:type="spellEnd"/>
          </w:p>
        </w:tc>
        <w:tc>
          <w:tcPr>
            <w:tcW w:w="0" w:type="auto"/>
          </w:tcPr>
          <w:p w14:paraId="25033100"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Locally produced biowaste </w:t>
            </w:r>
            <w:proofErr w:type="spellStart"/>
            <w:r w:rsidRPr="00654AED">
              <w:rPr>
                <w:rFonts w:ascii="Times New Roman" w:hAnsi="Times New Roman" w:cs="Times New Roman"/>
              </w:rPr>
              <w:t>fertiliser</w:t>
            </w:r>
            <w:proofErr w:type="spellEnd"/>
            <w:r w:rsidRPr="00654AED">
              <w:rPr>
                <w:rFonts w:ascii="Times New Roman" w:hAnsi="Times New Roman" w:cs="Times New Roman"/>
              </w:rPr>
              <w:t xml:space="preserve"> pellets (from regional feedstocks) improved household food security and aided land restoration in degraded areas.</w:t>
            </w:r>
          </w:p>
        </w:tc>
        <w:tc>
          <w:tcPr>
            <w:tcW w:w="0" w:type="auto"/>
          </w:tcPr>
          <w:p w14:paraId="067B933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Community-level blending facilities plus advisory support were crucial for success.</w:t>
            </w:r>
          </w:p>
        </w:tc>
        <w:tc>
          <w:tcPr>
            <w:tcW w:w="0" w:type="auto"/>
          </w:tcPr>
          <w:p w14:paraId="4DCB39A9"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Rodrigues, 2023</w:t>
            </w:r>
          </w:p>
        </w:tc>
      </w:tr>
      <w:tr w:rsidR="00654AED" w:rsidRPr="00654AED" w14:paraId="713FEA9B" w14:textId="77777777" w:rsidTr="00E225BF">
        <w:tc>
          <w:tcPr>
            <w:tcW w:w="0" w:type="auto"/>
          </w:tcPr>
          <w:p w14:paraId="480A60AD"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Malawi</w:t>
            </w:r>
          </w:p>
        </w:tc>
        <w:tc>
          <w:tcPr>
            <w:tcW w:w="0" w:type="auto"/>
          </w:tcPr>
          <w:p w14:paraId="512B9A8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Market networks &amp; training gaps</w:t>
            </w:r>
          </w:p>
        </w:tc>
        <w:tc>
          <w:tcPr>
            <w:tcW w:w="0" w:type="auto"/>
          </w:tcPr>
          <w:p w14:paraId="10D4D490"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Weak </w:t>
            </w:r>
            <w:proofErr w:type="spellStart"/>
            <w:r w:rsidRPr="00654AED">
              <w:rPr>
                <w:rFonts w:ascii="Times New Roman" w:hAnsi="Times New Roman" w:cs="Times New Roman"/>
              </w:rPr>
              <w:t>fertiliser</w:t>
            </w:r>
            <w:proofErr w:type="spellEnd"/>
            <w:r w:rsidRPr="00654AED">
              <w:rPr>
                <w:rFonts w:ascii="Times New Roman" w:hAnsi="Times New Roman" w:cs="Times New Roman"/>
              </w:rPr>
              <w:t xml:space="preserve"> distribution networks and limited farmer training constrain OMF access. Extension services are under-resourced, limiting farmers’ awareness.</w:t>
            </w:r>
          </w:p>
        </w:tc>
        <w:tc>
          <w:tcPr>
            <w:tcW w:w="0" w:type="auto"/>
          </w:tcPr>
          <w:p w14:paraId="4FEB5AC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Strengthen extension outreach and establish better linkages between producers and buyers (e.g. input fairs).</w:t>
            </w:r>
          </w:p>
        </w:tc>
        <w:tc>
          <w:tcPr>
            <w:tcW w:w="0" w:type="auto"/>
          </w:tcPr>
          <w:p w14:paraId="13063C31"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Sosola</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xml:space="preserve">, 2011; Chirwa </w:t>
            </w:r>
            <w:r w:rsidRPr="00654AED">
              <w:rPr>
                <w:rFonts w:ascii="Times New Roman" w:hAnsi="Times New Roman" w:cs="Times New Roman"/>
                <w:i/>
                <w:iCs/>
              </w:rPr>
              <w:t>et al.</w:t>
            </w:r>
            <w:r w:rsidRPr="00654AED">
              <w:rPr>
                <w:rFonts w:ascii="Times New Roman" w:hAnsi="Times New Roman" w:cs="Times New Roman"/>
              </w:rPr>
              <w:t>, 2020</w:t>
            </w:r>
          </w:p>
        </w:tc>
      </w:tr>
      <w:tr w:rsidR="00654AED" w:rsidRPr="00654AED" w14:paraId="10C57D09" w14:textId="77777777" w:rsidTr="00E225BF">
        <w:tc>
          <w:tcPr>
            <w:tcW w:w="0" w:type="auto"/>
          </w:tcPr>
          <w:p w14:paraId="3C182F19"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Ethiopia</w:t>
            </w:r>
          </w:p>
        </w:tc>
        <w:tc>
          <w:tcPr>
            <w:tcW w:w="0" w:type="auto"/>
          </w:tcPr>
          <w:p w14:paraId="06D3B66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Land tenure &amp; investment</w:t>
            </w:r>
          </w:p>
        </w:tc>
        <w:tc>
          <w:tcPr>
            <w:tcW w:w="0" w:type="auto"/>
          </w:tcPr>
          <w:p w14:paraId="0309BC4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Uncertain land tenure discourages long-term soil fertility investments (like composting and OMF application), as farmers fear losing land before benefits accrue.</w:t>
            </w:r>
          </w:p>
        </w:tc>
        <w:tc>
          <w:tcPr>
            <w:tcW w:w="0" w:type="auto"/>
          </w:tcPr>
          <w:p w14:paraId="2789ADDE"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Implement land registration and offer legal support to give farmers security for long-term improvements.</w:t>
            </w:r>
          </w:p>
        </w:tc>
        <w:tc>
          <w:tcPr>
            <w:tcW w:w="0" w:type="auto"/>
          </w:tcPr>
          <w:p w14:paraId="67DFD399"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Biramo</w:t>
            </w:r>
            <w:proofErr w:type="spellEnd"/>
            <w:r w:rsidRPr="00654AED">
              <w:rPr>
                <w:rFonts w:ascii="Times New Roman" w:hAnsi="Times New Roman" w:cs="Times New Roman"/>
              </w:rPr>
              <w:t>, 2018</w:t>
            </w:r>
          </w:p>
        </w:tc>
      </w:tr>
      <w:tr w:rsidR="00654AED" w:rsidRPr="00654AED" w14:paraId="67C2AEBA" w14:textId="77777777" w:rsidTr="00E225BF">
        <w:tc>
          <w:tcPr>
            <w:tcW w:w="0" w:type="auto"/>
          </w:tcPr>
          <w:p w14:paraId="035A7DB1"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Ethiopia (co-ops)</w:t>
            </w:r>
          </w:p>
        </w:tc>
        <w:tc>
          <w:tcPr>
            <w:tcW w:w="0" w:type="auto"/>
          </w:tcPr>
          <w:p w14:paraId="4194A45A"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Community composting outcomes</w:t>
            </w:r>
          </w:p>
        </w:tc>
        <w:tc>
          <w:tcPr>
            <w:tcW w:w="0" w:type="auto"/>
          </w:tcPr>
          <w:p w14:paraId="7E71DB3F" w14:textId="70585D28"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Cooperative composting </w:t>
            </w:r>
            <w:r w:rsidR="00A137E2">
              <w:rPr>
                <w:rFonts w:ascii="Times New Roman" w:hAnsi="Times New Roman" w:cs="Times New Roman"/>
              </w:rPr>
              <w:t>programmes</w:t>
            </w:r>
            <w:r w:rsidRPr="00654AED">
              <w:rPr>
                <w:rFonts w:ascii="Times New Roman" w:hAnsi="Times New Roman" w:cs="Times New Roman"/>
              </w:rPr>
              <w:t xml:space="preserve"> (with half-dose mineral </w:t>
            </w:r>
            <w:proofErr w:type="spellStart"/>
            <w:r w:rsidRPr="00654AED">
              <w:rPr>
                <w:rFonts w:ascii="Times New Roman" w:hAnsi="Times New Roman" w:cs="Times New Roman"/>
              </w:rPr>
              <w:t>fertiliser</w:t>
            </w:r>
            <w:proofErr w:type="spellEnd"/>
            <w:r w:rsidRPr="00654AED">
              <w:rPr>
                <w:rFonts w:ascii="Times New Roman" w:hAnsi="Times New Roman" w:cs="Times New Roman"/>
              </w:rPr>
              <w:t>) led to ~40% higher maize yields and +27% SOC over four years; also noted lower production costs for participants.</w:t>
            </w:r>
          </w:p>
        </w:tc>
        <w:tc>
          <w:tcPr>
            <w:tcW w:w="0" w:type="auto"/>
          </w:tcPr>
          <w:p w14:paraId="70F4F5D2"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Consistent training in compost quality control and timing of application is needed to sustain results.</w:t>
            </w:r>
          </w:p>
        </w:tc>
        <w:tc>
          <w:tcPr>
            <w:tcW w:w="0" w:type="auto"/>
          </w:tcPr>
          <w:p w14:paraId="008775E6"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Mamuye</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2021</w:t>
            </w:r>
          </w:p>
        </w:tc>
      </w:tr>
      <w:tr w:rsidR="00654AED" w:rsidRPr="00654AED" w14:paraId="7ED0120A" w14:textId="77777777" w:rsidTr="00E225BF">
        <w:tc>
          <w:tcPr>
            <w:tcW w:w="0" w:type="auto"/>
          </w:tcPr>
          <w:p w14:paraId="32B5FBED"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Brazil → Africa</w:t>
            </w:r>
          </w:p>
        </w:tc>
        <w:tc>
          <w:tcPr>
            <w:tcW w:w="0" w:type="auto"/>
          </w:tcPr>
          <w:p w14:paraId="0A8E76B0"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Technology transfer (biochar OMF)</w:t>
            </w:r>
          </w:p>
        </w:tc>
        <w:tc>
          <w:tcPr>
            <w:tcW w:w="0" w:type="auto"/>
          </w:tcPr>
          <w:p w14:paraId="166BEB4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Brazilian expertise in biochar OMF has been adapted for African farming systems to address nutrient deficiencies and improve soil structure.</w:t>
            </w:r>
          </w:p>
        </w:tc>
        <w:tc>
          <w:tcPr>
            <w:tcW w:w="0" w:type="auto"/>
          </w:tcPr>
          <w:p w14:paraId="452D8BC9"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Demonstration pilots, standard operating procedures (SOPs) for operators, and financing for small-scale units facilitate adoption.</w:t>
            </w:r>
          </w:p>
        </w:tc>
        <w:tc>
          <w:tcPr>
            <w:tcW w:w="0" w:type="auto"/>
          </w:tcPr>
          <w:p w14:paraId="7F587010"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Fachini</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2021</w:t>
            </w:r>
          </w:p>
        </w:tc>
      </w:tr>
      <w:tr w:rsidR="00654AED" w:rsidRPr="00654AED" w14:paraId="5C3E03A1" w14:textId="77777777" w:rsidTr="00E225BF">
        <w:tc>
          <w:tcPr>
            <w:tcW w:w="0" w:type="auto"/>
          </w:tcPr>
          <w:p w14:paraId="0F511022"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WANA region</w:t>
            </w:r>
          </w:p>
        </w:tc>
        <w:tc>
          <w:tcPr>
            <w:tcW w:w="0" w:type="auto"/>
          </w:tcPr>
          <w:p w14:paraId="33E49DA0"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Nutrient efficiency under arid climate</w:t>
            </w:r>
          </w:p>
        </w:tc>
        <w:tc>
          <w:tcPr>
            <w:tcW w:w="0" w:type="auto"/>
          </w:tcPr>
          <w:p w14:paraId="647FE295" w14:textId="544F5528"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In West Asia-North Africa, balanced NPK plus micronutrient fertilisation supports yields under erratic rainfall. Low N losses (via </w:t>
            </w:r>
            <w:proofErr w:type="spellStart"/>
            <w:r w:rsidR="00A137E2">
              <w:rPr>
                <w:rFonts w:ascii="Times New Roman" w:hAnsi="Times New Roman" w:cs="Times New Roman"/>
              </w:rPr>
              <w:t>volatilisation</w:t>
            </w:r>
            <w:proofErr w:type="spellEnd"/>
            <w:r w:rsidRPr="00654AED">
              <w:rPr>
                <w:rFonts w:ascii="Times New Roman" w:hAnsi="Times New Roman" w:cs="Times New Roman"/>
              </w:rPr>
              <w:t>/leaching) are typical in arid climates; nitrogen use efficiency (NUE) rises with better rainfall and crop rotation.</w:t>
            </w:r>
          </w:p>
        </w:tc>
        <w:tc>
          <w:tcPr>
            <w:tcW w:w="0" w:type="auto"/>
          </w:tcPr>
          <w:p w14:paraId="192457B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Careful rotation planning and split N applications timed to rainfall are needed to </w:t>
            </w:r>
            <w:proofErr w:type="spellStart"/>
            <w:r w:rsidRPr="00654AED">
              <w:rPr>
                <w:rFonts w:ascii="Times New Roman" w:hAnsi="Times New Roman" w:cs="Times New Roman"/>
              </w:rPr>
              <w:t>capitalise</w:t>
            </w:r>
            <w:proofErr w:type="spellEnd"/>
            <w:r w:rsidRPr="00654AED">
              <w:rPr>
                <w:rFonts w:ascii="Times New Roman" w:hAnsi="Times New Roman" w:cs="Times New Roman"/>
              </w:rPr>
              <w:t xml:space="preserve"> on NUE improvements.</w:t>
            </w:r>
          </w:p>
        </w:tc>
        <w:tc>
          <w:tcPr>
            <w:tcW w:w="0" w:type="auto"/>
          </w:tcPr>
          <w:p w14:paraId="22456B9C"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Ryan </w:t>
            </w:r>
            <w:r w:rsidRPr="00654AED">
              <w:rPr>
                <w:rFonts w:ascii="Times New Roman" w:hAnsi="Times New Roman" w:cs="Times New Roman"/>
                <w:i/>
                <w:iCs/>
              </w:rPr>
              <w:t>et al.</w:t>
            </w:r>
            <w:r w:rsidRPr="00654AED">
              <w:rPr>
                <w:rFonts w:ascii="Times New Roman" w:hAnsi="Times New Roman" w:cs="Times New Roman"/>
              </w:rPr>
              <w:t>, 2011</w:t>
            </w:r>
          </w:p>
        </w:tc>
      </w:tr>
      <w:tr w:rsidR="00654AED" w:rsidRPr="00654AED" w14:paraId="6401C8EF" w14:textId="77777777" w:rsidTr="00E225BF">
        <w:tc>
          <w:tcPr>
            <w:tcW w:w="0" w:type="auto"/>
          </w:tcPr>
          <w:p w14:paraId="521E2E0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Madagascar</w:t>
            </w:r>
          </w:p>
        </w:tc>
        <w:tc>
          <w:tcPr>
            <w:tcW w:w="0" w:type="auto"/>
          </w:tcPr>
          <w:p w14:paraId="6AD883A7"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Soil food web indicator</w:t>
            </w:r>
          </w:p>
        </w:tc>
        <w:tc>
          <w:tcPr>
            <w:tcW w:w="0" w:type="auto"/>
          </w:tcPr>
          <w:p w14:paraId="0F3F97F4" w14:textId="75191F9E"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Introduction of biochar-enriched OMF increased omnivorous nematode populations in soil </w:t>
            </w:r>
            <w:r w:rsidR="00DD3301">
              <w:rPr>
                <w:rFonts w:ascii="Times New Roman" w:hAnsi="Times New Roman" w:cs="Times New Roman"/>
              </w:rPr>
              <w:t>-</w:t>
            </w:r>
            <w:r w:rsidRPr="00654AED">
              <w:rPr>
                <w:rFonts w:ascii="Times New Roman" w:hAnsi="Times New Roman" w:cs="Times New Roman"/>
              </w:rPr>
              <w:t xml:space="preserve"> an indicator of a more complex and healthy soil food web.</w:t>
            </w:r>
          </w:p>
        </w:tc>
        <w:tc>
          <w:tcPr>
            <w:tcW w:w="0" w:type="auto"/>
          </w:tcPr>
          <w:p w14:paraId="15B52FE7"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Use of locally available organic inputs and light-touch soil monitoring can support ecosystem recovery.</w:t>
            </w:r>
          </w:p>
        </w:tc>
        <w:tc>
          <w:tcPr>
            <w:tcW w:w="0" w:type="auto"/>
          </w:tcPr>
          <w:p w14:paraId="62FB7699" w14:textId="77777777" w:rsidR="00A669BF" w:rsidRPr="00654AED" w:rsidRDefault="00A669BF" w:rsidP="00A669BF">
            <w:pPr>
              <w:pStyle w:val="Compact"/>
              <w:spacing w:before="0" w:after="0"/>
              <w:rPr>
                <w:rFonts w:ascii="Times New Roman" w:hAnsi="Times New Roman" w:cs="Times New Roman"/>
              </w:rPr>
            </w:pPr>
            <w:proofErr w:type="spellStart"/>
            <w:r w:rsidRPr="00654AED">
              <w:rPr>
                <w:rFonts w:ascii="Times New Roman" w:hAnsi="Times New Roman" w:cs="Times New Roman"/>
              </w:rPr>
              <w:t>Raharijaona</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2023</w:t>
            </w:r>
          </w:p>
        </w:tc>
      </w:tr>
      <w:tr w:rsidR="00654AED" w:rsidRPr="00654AED" w14:paraId="2BEBB902" w14:textId="77777777" w:rsidTr="00E225BF">
        <w:tc>
          <w:tcPr>
            <w:tcW w:w="0" w:type="auto"/>
          </w:tcPr>
          <w:p w14:paraId="3386749B"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North America</w:t>
            </w:r>
            <w:r w:rsidRPr="00654AED">
              <w:rPr>
                <w:rFonts w:ascii="Times New Roman" w:hAnsi="Times New Roman" w:cs="Times New Roman"/>
              </w:rPr>
              <w:t xml:space="preserve"> </w:t>
            </w:r>
            <w:r w:rsidRPr="00654AED">
              <w:rPr>
                <w:rFonts w:ascii="Times New Roman" w:hAnsi="Times New Roman" w:cs="Times New Roman"/>
                <w:i/>
                <w:iCs/>
              </w:rPr>
              <w:t>(USA/Canada)</w:t>
            </w:r>
          </w:p>
        </w:tc>
        <w:tc>
          <w:tcPr>
            <w:tcW w:w="0" w:type="auto"/>
          </w:tcPr>
          <w:p w14:paraId="48343AD8" w14:textId="167CF841" w:rsidR="00A669BF" w:rsidRPr="00654AED" w:rsidRDefault="00A137E2" w:rsidP="00A669BF">
            <w:pPr>
              <w:pStyle w:val="Compact"/>
              <w:spacing w:before="0" w:after="0"/>
              <w:rPr>
                <w:rFonts w:ascii="Times New Roman" w:hAnsi="Times New Roman" w:cs="Times New Roman"/>
              </w:rPr>
            </w:pPr>
            <w:r>
              <w:rPr>
                <w:rFonts w:ascii="Times New Roman" w:hAnsi="Times New Roman" w:cs="Times New Roman"/>
              </w:rPr>
              <w:t>Programmes</w:t>
            </w:r>
            <w:r w:rsidR="00A669BF" w:rsidRPr="00654AED">
              <w:rPr>
                <w:rFonts w:ascii="Times New Roman" w:hAnsi="Times New Roman" w:cs="Times New Roman"/>
              </w:rPr>
              <w:t xml:space="preserve"> &amp; precision tech</w:t>
            </w:r>
          </w:p>
        </w:tc>
        <w:tc>
          <w:tcPr>
            <w:tcW w:w="0" w:type="auto"/>
          </w:tcPr>
          <w:p w14:paraId="16C256D3" w14:textId="24A52F49" w:rsidR="00A669BF" w:rsidRPr="00654AED" w:rsidRDefault="00DD3301" w:rsidP="00A669BF">
            <w:pPr>
              <w:pStyle w:val="Compact"/>
              <w:spacing w:before="0" w:after="0"/>
              <w:rPr>
                <w:rFonts w:ascii="Times New Roman" w:hAnsi="Times New Roman" w:cs="Times New Roman"/>
              </w:rPr>
            </w:pPr>
            <w:r w:rsidRPr="00DD3301">
              <w:rPr>
                <w:rFonts w:ascii="Times New Roman" w:hAnsi="Times New Roman" w:cs="Times New Roman"/>
              </w:rPr>
              <w:t>Public</w:t>
            </w:r>
            <w:r>
              <w:rPr>
                <w:rFonts w:ascii="Times New Roman" w:hAnsi="Times New Roman" w:cs="Times New Roman"/>
              </w:rPr>
              <w:t>-</w:t>
            </w:r>
            <w:r w:rsidRPr="00DD3301">
              <w:rPr>
                <w:rFonts w:ascii="Times New Roman" w:hAnsi="Times New Roman" w:cs="Times New Roman"/>
              </w:rPr>
              <w:t>private programme</w:t>
            </w:r>
            <w:r>
              <w:rPr>
                <w:rFonts w:ascii="Times New Roman" w:hAnsi="Times New Roman" w:cs="Times New Roman"/>
              </w:rPr>
              <w:t xml:space="preserve"> </w:t>
            </w:r>
            <w:r w:rsidR="00A669BF" w:rsidRPr="00654AED">
              <w:rPr>
                <w:rFonts w:ascii="Times New Roman" w:hAnsi="Times New Roman" w:cs="Times New Roman"/>
              </w:rPr>
              <w:t xml:space="preserve">promote bio-based fertilisers; precision tools (GPS, sensors) help cut losses. Research priorities focus on optimising </w:t>
            </w:r>
            <w:proofErr w:type="spellStart"/>
            <w:r w:rsidR="00A669BF" w:rsidRPr="00654AED">
              <w:rPr>
                <w:rFonts w:ascii="Times New Roman" w:hAnsi="Times New Roman" w:cs="Times New Roman"/>
              </w:rPr>
              <w:t>fertiliser</w:t>
            </w:r>
            <w:proofErr w:type="spellEnd"/>
            <w:r w:rsidR="00A669BF" w:rsidRPr="00654AED">
              <w:rPr>
                <w:rFonts w:ascii="Times New Roman" w:hAnsi="Times New Roman" w:cs="Times New Roman"/>
              </w:rPr>
              <w:t xml:space="preserve"> formulations for different pH, mineralogy, and scaling residue-based OMFs.</w:t>
            </w:r>
          </w:p>
        </w:tc>
        <w:tc>
          <w:tcPr>
            <w:tcW w:w="0" w:type="auto"/>
          </w:tcPr>
          <w:p w14:paraId="388994C6"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Access to sensor technology, data analytics support, and multi-stakeholder partnerships are key enablers.</w:t>
            </w:r>
          </w:p>
        </w:tc>
        <w:tc>
          <w:tcPr>
            <w:tcW w:w="0" w:type="auto"/>
          </w:tcPr>
          <w:p w14:paraId="111D4BA5"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Aznar-Sánchez </w:t>
            </w:r>
            <w:r w:rsidRPr="00654AED">
              <w:rPr>
                <w:rFonts w:ascii="Times New Roman" w:hAnsi="Times New Roman" w:cs="Times New Roman"/>
                <w:i/>
                <w:iCs/>
              </w:rPr>
              <w:t>et al.</w:t>
            </w:r>
            <w:r w:rsidRPr="00654AED">
              <w:rPr>
                <w:rFonts w:ascii="Times New Roman" w:hAnsi="Times New Roman" w:cs="Times New Roman"/>
              </w:rPr>
              <w:t xml:space="preserve">, 2020; </w:t>
            </w:r>
            <w:proofErr w:type="spellStart"/>
            <w:r w:rsidRPr="00654AED">
              <w:rPr>
                <w:rFonts w:ascii="Times New Roman" w:hAnsi="Times New Roman" w:cs="Times New Roman"/>
              </w:rPr>
              <w:t>Chater</w:t>
            </w:r>
            <w:proofErr w:type="spellEnd"/>
            <w:r w:rsidRPr="00654AED">
              <w:rPr>
                <w:rFonts w:ascii="Times New Roman" w:hAnsi="Times New Roman" w:cs="Times New Roman"/>
              </w:rPr>
              <w:t xml:space="preserve"> &amp; Garner, 2018; Wilton </w:t>
            </w:r>
            <w:r w:rsidRPr="00654AED">
              <w:rPr>
                <w:rFonts w:ascii="Times New Roman" w:hAnsi="Times New Roman" w:cs="Times New Roman"/>
                <w:i/>
                <w:iCs/>
              </w:rPr>
              <w:t>et al.</w:t>
            </w:r>
            <w:r w:rsidRPr="00654AED">
              <w:rPr>
                <w:rFonts w:ascii="Times New Roman" w:hAnsi="Times New Roman" w:cs="Times New Roman"/>
              </w:rPr>
              <w:t xml:space="preserve">, 2023; Harley &amp; </w:t>
            </w:r>
            <w:proofErr w:type="spellStart"/>
            <w:r w:rsidRPr="00654AED">
              <w:rPr>
                <w:rFonts w:ascii="Times New Roman" w:hAnsi="Times New Roman" w:cs="Times New Roman"/>
              </w:rPr>
              <w:t>Gilkes</w:t>
            </w:r>
            <w:proofErr w:type="spellEnd"/>
            <w:r w:rsidRPr="00654AED">
              <w:rPr>
                <w:rFonts w:ascii="Times New Roman" w:hAnsi="Times New Roman" w:cs="Times New Roman"/>
              </w:rPr>
              <w:t>, 2000</w:t>
            </w:r>
          </w:p>
        </w:tc>
      </w:tr>
      <w:tr w:rsidR="00654AED" w:rsidRPr="00654AED" w14:paraId="0F22E8CC" w14:textId="77777777" w:rsidTr="00E225BF">
        <w:tc>
          <w:tcPr>
            <w:tcW w:w="0" w:type="auto"/>
          </w:tcPr>
          <w:p w14:paraId="0D2540D2"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b/>
                <w:bCs/>
              </w:rPr>
              <w:t>Europe (EU)</w:t>
            </w:r>
          </w:p>
        </w:tc>
        <w:tc>
          <w:tcPr>
            <w:tcW w:w="0" w:type="auto"/>
          </w:tcPr>
          <w:p w14:paraId="69346984"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Policy incentives (circular economy)</w:t>
            </w:r>
          </w:p>
        </w:tc>
        <w:tc>
          <w:tcPr>
            <w:tcW w:w="0" w:type="auto"/>
          </w:tcPr>
          <w:p w14:paraId="1AC0D3C2"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EU policies (e.g. circular economy package, nutrient directives) encourage biowaste recycling and precise </w:t>
            </w:r>
            <w:proofErr w:type="spellStart"/>
            <w:r w:rsidRPr="00654AED">
              <w:rPr>
                <w:rFonts w:ascii="Times New Roman" w:hAnsi="Times New Roman" w:cs="Times New Roman"/>
              </w:rPr>
              <w:t>fertiliser</w:t>
            </w:r>
            <w:proofErr w:type="spellEnd"/>
            <w:r w:rsidRPr="00654AED">
              <w:rPr>
                <w:rFonts w:ascii="Times New Roman" w:hAnsi="Times New Roman" w:cs="Times New Roman"/>
              </w:rPr>
              <w:t xml:space="preserve"> application. Documented outcomes include reduced nitrate leaching and progress toward circular economy goals.</w:t>
            </w:r>
          </w:p>
        </w:tc>
        <w:tc>
          <w:tcPr>
            <w:tcW w:w="0" w:type="auto"/>
          </w:tcPr>
          <w:p w14:paraId="7288750B" w14:textId="77777777"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Standardised reporting requirements and strict QA/QC enforcement underpin these policy-driven gains.</w:t>
            </w:r>
          </w:p>
        </w:tc>
        <w:tc>
          <w:tcPr>
            <w:tcW w:w="0" w:type="auto"/>
          </w:tcPr>
          <w:p w14:paraId="77FF1058" w14:textId="2514BEA2" w:rsidR="00A669BF" w:rsidRPr="00654AED" w:rsidRDefault="00A669BF" w:rsidP="00A669BF">
            <w:pPr>
              <w:pStyle w:val="Compact"/>
              <w:spacing w:before="0" w:after="0"/>
              <w:rPr>
                <w:rFonts w:ascii="Times New Roman" w:hAnsi="Times New Roman" w:cs="Times New Roman"/>
              </w:rPr>
            </w:pPr>
            <w:r w:rsidRPr="00654AED">
              <w:rPr>
                <w:rFonts w:ascii="Times New Roman" w:hAnsi="Times New Roman" w:cs="Times New Roman"/>
              </w:rPr>
              <w:t xml:space="preserve">van </w:t>
            </w:r>
            <w:proofErr w:type="spellStart"/>
            <w:r w:rsidRPr="00654AED">
              <w:rPr>
                <w:rFonts w:ascii="Times New Roman" w:hAnsi="Times New Roman" w:cs="Times New Roman"/>
              </w:rPr>
              <w:t>Grinsven</w:t>
            </w:r>
            <w:proofErr w:type="spellEnd"/>
            <w:r w:rsidRPr="00654AED">
              <w:rPr>
                <w:rFonts w:ascii="Times New Roman" w:hAnsi="Times New Roman" w:cs="Times New Roman"/>
              </w:rPr>
              <w:t xml:space="preserve"> </w:t>
            </w:r>
            <w:r w:rsidRPr="00654AED">
              <w:rPr>
                <w:rFonts w:ascii="Times New Roman" w:hAnsi="Times New Roman" w:cs="Times New Roman"/>
                <w:i/>
                <w:iCs/>
              </w:rPr>
              <w:t>et al.</w:t>
            </w:r>
            <w:r w:rsidRPr="00654AED">
              <w:rPr>
                <w:rFonts w:ascii="Times New Roman" w:hAnsi="Times New Roman" w:cs="Times New Roman"/>
              </w:rPr>
              <w:t xml:space="preserve">, 2012; Deeks </w:t>
            </w:r>
            <w:r w:rsidRPr="00654AED">
              <w:rPr>
                <w:rFonts w:ascii="Times New Roman" w:hAnsi="Times New Roman" w:cs="Times New Roman"/>
                <w:i/>
                <w:iCs/>
              </w:rPr>
              <w:t>et al.</w:t>
            </w:r>
            <w:r w:rsidRPr="00654AED">
              <w:rPr>
                <w:rFonts w:ascii="Times New Roman" w:hAnsi="Times New Roman" w:cs="Times New Roman"/>
              </w:rPr>
              <w:t>, 2013</w:t>
            </w:r>
          </w:p>
        </w:tc>
      </w:tr>
    </w:tbl>
    <w:p w14:paraId="56736F71" w14:textId="77777777" w:rsidR="00947510" w:rsidRDefault="00947510" w:rsidP="00A669BF">
      <w:pPr>
        <w:spacing w:after="0" w:line="240" w:lineRule="auto"/>
        <w:rPr>
          <w:rFonts w:ascii="Times New Roman" w:hAnsi="Times New Roman" w:cs="Times New Roman"/>
          <w:lang w:val="en-GB"/>
        </w:rPr>
      </w:pPr>
    </w:p>
    <w:bookmarkEnd w:id="3"/>
    <w:p w14:paraId="5E599415" w14:textId="4B1164DB" w:rsidR="00BD7AE7" w:rsidRPr="00654AED" w:rsidRDefault="00BD7AE7" w:rsidP="00A669BF">
      <w:pPr>
        <w:spacing w:after="0" w:line="240" w:lineRule="auto"/>
        <w:rPr>
          <w:rFonts w:ascii="Times New Roman" w:hAnsi="Times New Roman" w:cs="Times New Roman"/>
          <w:lang w:val="en"/>
        </w:rPr>
      </w:pPr>
    </w:p>
    <w:sectPr w:rsidR="00BD7AE7" w:rsidRPr="00654AED" w:rsidSect="00B72387">
      <w:type w:val="continuous"/>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36A85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B2F4C65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14EC4F13"/>
    <w:multiLevelType w:val="multilevel"/>
    <w:tmpl w:val="BB92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F6D61"/>
    <w:multiLevelType w:val="multilevel"/>
    <w:tmpl w:val="FC4A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25E45"/>
    <w:multiLevelType w:val="multilevel"/>
    <w:tmpl w:val="A53A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A0D28"/>
    <w:multiLevelType w:val="multilevel"/>
    <w:tmpl w:val="D292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D7863"/>
    <w:multiLevelType w:val="multilevel"/>
    <w:tmpl w:val="9CF8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9D0A76"/>
    <w:multiLevelType w:val="multilevel"/>
    <w:tmpl w:val="27EE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1123D2"/>
    <w:multiLevelType w:val="multilevel"/>
    <w:tmpl w:val="C550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7A424D"/>
    <w:multiLevelType w:val="multilevel"/>
    <w:tmpl w:val="849A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7"/>
  </w:num>
  <w:num w:numId="5">
    <w:abstractNumId w:val="1"/>
  </w:num>
  <w:num w:numId="6">
    <w:abstractNumId w:val="0"/>
  </w:num>
  <w:num w:numId="7">
    <w:abstractNumId w:val="9"/>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8DF"/>
    <w:rsid w:val="002F67B9"/>
    <w:rsid w:val="00421955"/>
    <w:rsid w:val="00426083"/>
    <w:rsid w:val="004C5BDE"/>
    <w:rsid w:val="005278DF"/>
    <w:rsid w:val="005928E7"/>
    <w:rsid w:val="005A6DAA"/>
    <w:rsid w:val="00654AED"/>
    <w:rsid w:val="007921E6"/>
    <w:rsid w:val="00872C61"/>
    <w:rsid w:val="00920201"/>
    <w:rsid w:val="00947510"/>
    <w:rsid w:val="00A052F2"/>
    <w:rsid w:val="00A12E41"/>
    <w:rsid w:val="00A137E2"/>
    <w:rsid w:val="00A669BF"/>
    <w:rsid w:val="00B64C54"/>
    <w:rsid w:val="00B72387"/>
    <w:rsid w:val="00BD7AE7"/>
    <w:rsid w:val="00BF1921"/>
    <w:rsid w:val="00C83AE7"/>
    <w:rsid w:val="00CD6CE2"/>
    <w:rsid w:val="00DD3301"/>
    <w:rsid w:val="00E20ED8"/>
    <w:rsid w:val="00E37C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40EB"/>
  <w15:chartTrackingRefBased/>
  <w15:docId w15:val="{82625104-81F3-4E39-8C55-BA150E01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7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8DF"/>
    <w:rPr>
      <w:rFonts w:eastAsiaTheme="majorEastAsia" w:cstheme="majorBidi"/>
      <w:color w:val="272727" w:themeColor="text1" w:themeTint="D8"/>
    </w:rPr>
  </w:style>
  <w:style w:type="paragraph" w:styleId="Title">
    <w:name w:val="Title"/>
    <w:basedOn w:val="Normal"/>
    <w:next w:val="Normal"/>
    <w:link w:val="TitleChar"/>
    <w:uiPriority w:val="10"/>
    <w:qFormat/>
    <w:rsid w:val="00527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8DF"/>
    <w:pPr>
      <w:spacing w:before="160"/>
      <w:jc w:val="center"/>
    </w:pPr>
    <w:rPr>
      <w:i/>
      <w:iCs/>
      <w:color w:val="404040" w:themeColor="text1" w:themeTint="BF"/>
    </w:rPr>
  </w:style>
  <w:style w:type="character" w:customStyle="1" w:styleId="QuoteChar">
    <w:name w:val="Quote Char"/>
    <w:basedOn w:val="DefaultParagraphFont"/>
    <w:link w:val="Quote"/>
    <w:uiPriority w:val="29"/>
    <w:rsid w:val="005278DF"/>
    <w:rPr>
      <w:i/>
      <w:iCs/>
      <w:color w:val="404040" w:themeColor="text1" w:themeTint="BF"/>
    </w:rPr>
  </w:style>
  <w:style w:type="paragraph" w:styleId="ListParagraph">
    <w:name w:val="List Paragraph"/>
    <w:basedOn w:val="Normal"/>
    <w:uiPriority w:val="34"/>
    <w:qFormat/>
    <w:rsid w:val="005278DF"/>
    <w:pPr>
      <w:ind w:left="720"/>
      <w:contextualSpacing/>
    </w:pPr>
  </w:style>
  <w:style w:type="character" w:styleId="IntenseEmphasis">
    <w:name w:val="Intense Emphasis"/>
    <w:basedOn w:val="DefaultParagraphFont"/>
    <w:uiPriority w:val="21"/>
    <w:qFormat/>
    <w:rsid w:val="005278DF"/>
    <w:rPr>
      <w:i/>
      <w:iCs/>
      <w:color w:val="0F4761" w:themeColor="accent1" w:themeShade="BF"/>
    </w:rPr>
  </w:style>
  <w:style w:type="paragraph" w:styleId="IntenseQuote">
    <w:name w:val="Intense Quote"/>
    <w:basedOn w:val="Normal"/>
    <w:next w:val="Normal"/>
    <w:link w:val="IntenseQuoteChar"/>
    <w:uiPriority w:val="30"/>
    <w:qFormat/>
    <w:rsid w:val="00527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8DF"/>
    <w:rPr>
      <w:i/>
      <w:iCs/>
      <w:color w:val="0F4761" w:themeColor="accent1" w:themeShade="BF"/>
    </w:rPr>
  </w:style>
  <w:style w:type="character" w:styleId="IntenseReference">
    <w:name w:val="Intense Reference"/>
    <w:basedOn w:val="DefaultParagraphFont"/>
    <w:uiPriority w:val="32"/>
    <w:qFormat/>
    <w:rsid w:val="005278DF"/>
    <w:rPr>
      <w:b/>
      <w:bCs/>
      <w:smallCaps/>
      <w:color w:val="0F4761" w:themeColor="accent1" w:themeShade="BF"/>
      <w:spacing w:val="5"/>
    </w:rPr>
  </w:style>
  <w:style w:type="character" w:styleId="Hyperlink">
    <w:name w:val="Hyperlink"/>
    <w:basedOn w:val="DefaultParagraphFont"/>
    <w:uiPriority w:val="99"/>
    <w:unhideWhenUsed/>
    <w:rsid w:val="005278DF"/>
    <w:rPr>
      <w:color w:val="467886" w:themeColor="hyperlink"/>
      <w:u w:val="single"/>
    </w:rPr>
  </w:style>
  <w:style w:type="character" w:customStyle="1" w:styleId="UnresolvedMention">
    <w:name w:val="Unresolved Mention"/>
    <w:basedOn w:val="DefaultParagraphFont"/>
    <w:uiPriority w:val="99"/>
    <w:semiHidden/>
    <w:unhideWhenUsed/>
    <w:rsid w:val="005278DF"/>
    <w:rPr>
      <w:color w:val="605E5C"/>
      <w:shd w:val="clear" w:color="auto" w:fill="E1DFDD"/>
    </w:rPr>
  </w:style>
  <w:style w:type="paragraph" w:customStyle="1" w:styleId="FirstParagraph">
    <w:name w:val="First Paragraph"/>
    <w:basedOn w:val="BodyText"/>
    <w:next w:val="BodyText"/>
    <w:qFormat/>
    <w:rsid w:val="00A669BF"/>
    <w:pPr>
      <w:spacing w:before="180" w:after="180" w:line="240" w:lineRule="auto"/>
    </w:pPr>
    <w:rPr>
      <w:kern w:val="0"/>
      <w:lang w:val="en"/>
      <w14:ligatures w14:val="none"/>
    </w:rPr>
  </w:style>
  <w:style w:type="paragraph" w:customStyle="1" w:styleId="Compact">
    <w:name w:val="Compact"/>
    <w:basedOn w:val="BodyText"/>
    <w:qFormat/>
    <w:rsid w:val="00A669BF"/>
    <w:pPr>
      <w:spacing w:before="36" w:after="36" w:line="240" w:lineRule="auto"/>
    </w:pPr>
    <w:rPr>
      <w:kern w:val="0"/>
      <w:lang w:val="en"/>
      <w14:ligatures w14:val="none"/>
    </w:rPr>
  </w:style>
  <w:style w:type="table" w:customStyle="1" w:styleId="Table">
    <w:name w:val="Table"/>
    <w:semiHidden/>
    <w:unhideWhenUsed/>
    <w:qFormat/>
    <w:rsid w:val="00A669BF"/>
    <w:pPr>
      <w:spacing w:after="200" w:line="240" w:lineRule="auto"/>
    </w:pPr>
    <w:rPr>
      <w:kern w:val="0"/>
      <w:sz w:val="20"/>
      <w:szCs w:val="20"/>
      <w:lang w:val="en" w:eastAsia="pl-PL"/>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A669BF"/>
    <w:pPr>
      <w:spacing w:after="120"/>
    </w:pPr>
  </w:style>
  <w:style w:type="character" w:customStyle="1" w:styleId="BodyTextChar">
    <w:name w:val="Body Text Char"/>
    <w:basedOn w:val="DefaultParagraphFont"/>
    <w:link w:val="BodyText"/>
    <w:uiPriority w:val="99"/>
    <w:semiHidden/>
    <w:rsid w:val="00A669BF"/>
  </w:style>
  <w:style w:type="table" w:styleId="PlainTable2">
    <w:name w:val="Plain Table 2"/>
    <w:basedOn w:val="TableNormal"/>
    <w:uiPriority w:val="42"/>
    <w:rsid w:val="00A12E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920201"/>
    <w:pPr>
      <w:numPr>
        <w:numId w:val="6"/>
      </w:numPr>
      <w:spacing w:after="200" w:line="276" w:lineRule="auto"/>
      <w:contextualSpacing/>
    </w:pPr>
    <w:rPr>
      <w:rFonts w:ascii="Times New Roman" w:eastAsia="Times New Roman" w:hAnsi="Times New Roman"/>
      <w:kern w:val="0"/>
      <w:szCs w:val="22"/>
      <w:lang w:val="en-US"/>
      <w14:ligatures w14:val="none"/>
    </w:rPr>
  </w:style>
  <w:style w:type="table" w:styleId="TableGrid">
    <w:name w:val="Table Grid"/>
    <w:basedOn w:val="TableNormal"/>
    <w:uiPriority w:val="59"/>
    <w:rsid w:val="00920201"/>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8419">
      <w:bodyDiv w:val="1"/>
      <w:marLeft w:val="0"/>
      <w:marRight w:val="0"/>
      <w:marTop w:val="0"/>
      <w:marBottom w:val="0"/>
      <w:divBdr>
        <w:top w:val="none" w:sz="0" w:space="0" w:color="auto"/>
        <w:left w:val="none" w:sz="0" w:space="0" w:color="auto"/>
        <w:bottom w:val="none" w:sz="0" w:space="0" w:color="auto"/>
        <w:right w:val="none" w:sz="0" w:space="0" w:color="auto"/>
      </w:divBdr>
      <w:divsChild>
        <w:div w:id="1689603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15193">
      <w:bodyDiv w:val="1"/>
      <w:marLeft w:val="0"/>
      <w:marRight w:val="0"/>
      <w:marTop w:val="0"/>
      <w:marBottom w:val="0"/>
      <w:divBdr>
        <w:top w:val="none" w:sz="0" w:space="0" w:color="auto"/>
        <w:left w:val="none" w:sz="0" w:space="0" w:color="auto"/>
        <w:bottom w:val="none" w:sz="0" w:space="0" w:color="auto"/>
        <w:right w:val="none" w:sz="0" w:space="0" w:color="auto"/>
      </w:divBdr>
      <w:divsChild>
        <w:div w:id="377776566">
          <w:marLeft w:val="0"/>
          <w:marRight w:val="0"/>
          <w:marTop w:val="0"/>
          <w:marBottom w:val="0"/>
          <w:divBdr>
            <w:top w:val="none" w:sz="0" w:space="0" w:color="auto"/>
            <w:left w:val="none" w:sz="0" w:space="0" w:color="auto"/>
            <w:bottom w:val="none" w:sz="0" w:space="0" w:color="auto"/>
            <w:right w:val="none" w:sz="0" w:space="0" w:color="auto"/>
          </w:divBdr>
          <w:divsChild>
            <w:div w:id="189380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7963">
      <w:bodyDiv w:val="1"/>
      <w:marLeft w:val="0"/>
      <w:marRight w:val="0"/>
      <w:marTop w:val="0"/>
      <w:marBottom w:val="0"/>
      <w:divBdr>
        <w:top w:val="none" w:sz="0" w:space="0" w:color="auto"/>
        <w:left w:val="none" w:sz="0" w:space="0" w:color="auto"/>
        <w:bottom w:val="none" w:sz="0" w:space="0" w:color="auto"/>
        <w:right w:val="none" w:sz="0" w:space="0" w:color="auto"/>
      </w:divBdr>
      <w:divsChild>
        <w:div w:id="842356459">
          <w:marLeft w:val="0"/>
          <w:marRight w:val="0"/>
          <w:marTop w:val="0"/>
          <w:marBottom w:val="0"/>
          <w:divBdr>
            <w:top w:val="none" w:sz="0" w:space="0" w:color="auto"/>
            <w:left w:val="none" w:sz="0" w:space="0" w:color="auto"/>
            <w:bottom w:val="none" w:sz="0" w:space="0" w:color="auto"/>
            <w:right w:val="none" w:sz="0" w:space="0" w:color="auto"/>
          </w:divBdr>
          <w:divsChild>
            <w:div w:id="21001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281">
      <w:bodyDiv w:val="1"/>
      <w:marLeft w:val="0"/>
      <w:marRight w:val="0"/>
      <w:marTop w:val="0"/>
      <w:marBottom w:val="0"/>
      <w:divBdr>
        <w:top w:val="none" w:sz="0" w:space="0" w:color="auto"/>
        <w:left w:val="none" w:sz="0" w:space="0" w:color="auto"/>
        <w:bottom w:val="none" w:sz="0" w:space="0" w:color="auto"/>
        <w:right w:val="none" w:sz="0" w:space="0" w:color="auto"/>
      </w:divBdr>
      <w:divsChild>
        <w:div w:id="1775785894">
          <w:marLeft w:val="0"/>
          <w:marRight w:val="0"/>
          <w:marTop w:val="0"/>
          <w:marBottom w:val="0"/>
          <w:divBdr>
            <w:top w:val="none" w:sz="0" w:space="0" w:color="auto"/>
            <w:left w:val="none" w:sz="0" w:space="0" w:color="auto"/>
            <w:bottom w:val="none" w:sz="0" w:space="0" w:color="auto"/>
            <w:right w:val="none" w:sz="0" w:space="0" w:color="auto"/>
          </w:divBdr>
          <w:divsChild>
            <w:div w:id="6915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4667">
      <w:bodyDiv w:val="1"/>
      <w:marLeft w:val="0"/>
      <w:marRight w:val="0"/>
      <w:marTop w:val="0"/>
      <w:marBottom w:val="0"/>
      <w:divBdr>
        <w:top w:val="none" w:sz="0" w:space="0" w:color="auto"/>
        <w:left w:val="none" w:sz="0" w:space="0" w:color="auto"/>
        <w:bottom w:val="none" w:sz="0" w:space="0" w:color="auto"/>
        <w:right w:val="none" w:sz="0" w:space="0" w:color="auto"/>
      </w:divBdr>
    </w:div>
    <w:div w:id="608707294">
      <w:bodyDiv w:val="1"/>
      <w:marLeft w:val="0"/>
      <w:marRight w:val="0"/>
      <w:marTop w:val="0"/>
      <w:marBottom w:val="0"/>
      <w:divBdr>
        <w:top w:val="none" w:sz="0" w:space="0" w:color="auto"/>
        <w:left w:val="none" w:sz="0" w:space="0" w:color="auto"/>
        <w:bottom w:val="none" w:sz="0" w:space="0" w:color="auto"/>
        <w:right w:val="none" w:sz="0" w:space="0" w:color="auto"/>
      </w:divBdr>
    </w:div>
    <w:div w:id="642542111">
      <w:bodyDiv w:val="1"/>
      <w:marLeft w:val="0"/>
      <w:marRight w:val="0"/>
      <w:marTop w:val="0"/>
      <w:marBottom w:val="0"/>
      <w:divBdr>
        <w:top w:val="none" w:sz="0" w:space="0" w:color="auto"/>
        <w:left w:val="none" w:sz="0" w:space="0" w:color="auto"/>
        <w:bottom w:val="none" w:sz="0" w:space="0" w:color="auto"/>
        <w:right w:val="none" w:sz="0" w:space="0" w:color="auto"/>
      </w:divBdr>
    </w:div>
    <w:div w:id="696589056">
      <w:bodyDiv w:val="1"/>
      <w:marLeft w:val="0"/>
      <w:marRight w:val="0"/>
      <w:marTop w:val="0"/>
      <w:marBottom w:val="0"/>
      <w:divBdr>
        <w:top w:val="none" w:sz="0" w:space="0" w:color="auto"/>
        <w:left w:val="none" w:sz="0" w:space="0" w:color="auto"/>
        <w:bottom w:val="none" w:sz="0" w:space="0" w:color="auto"/>
        <w:right w:val="none" w:sz="0" w:space="0" w:color="auto"/>
      </w:divBdr>
      <w:divsChild>
        <w:div w:id="522594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643204">
      <w:bodyDiv w:val="1"/>
      <w:marLeft w:val="0"/>
      <w:marRight w:val="0"/>
      <w:marTop w:val="0"/>
      <w:marBottom w:val="0"/>
      <w:divBdr>
        <w:top w:val="none" w:sz="0" w:space="0" w:color="auto"/>
        <w:left w:val="none" w:sz="0" w:space="0" w:color="auto"/>
        <w:bottom w:val="none" w:sz="0" w:space="0" w:color="auto"/>
        <w:right w:val="none" w:sz="0" w:space="0" w:color="auto"/>
      </w:divBdr>
      <w:divsChild>
        <w:div w:id="1927614680">
          <w:marLeft w:val="0"/>
          <w:marRight w:val="0"/>
          <w:marTop w:val="0"/>
          <w:marBottom w:val="0"/>
          <w:divBdr>
            <w:top w:val="none" w:sz="0" w:space="0" w:color="auto"/>
            <w:left w:val="none" w:sz="0" w:space="0" w:color="auto"/>
            <w:bottom w:val="none" w:sz="0" w:space="0" w:color="auto"/>
            <w:right w:val="none" w:sz="0" w:space="0" w:color="auto"/>
          </w:divBdr>
          <w:divsChild>
            <w:div w:id="39612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28445">
      <w:bodyDiv w:val="1"/>
      <w:marLeft w:val="0"/>
      <w:marRight w:val="0"/>
      <w:marTop w:val="0"/>
      <w:marBottom w:val="0"/>
      <w:divBdr>
        <w:top w:val="none" w:sz="0" w:space="0" w:color="auto"/>
        <w:left w:val="none" w:sz="0" w:space="0" w:color="auto"/>
        <w:bottom w:val="none" w:sz="0" w:space="0" w:color="auto"/>
        <w:right w:val="none" w:sz="0" w:space="0" w:color="auto"/>
      </w:divBdr>
    </w:div>
    <w:div w:id="896668415">
      <w:bodyDiv w:val="1"/>
      <w:marLeft w:val="0"/>
      <w:marRight w:val="0"/>
      <w:marTop w:val="0"/>
      <w:marBottom w:val="0"/>
      <w:divBdr>
        <w:top w:val="none" w:sz="0" w:space="0" w:color="auto"/>
        <w:left w:val="none" w:sz="0" w:space="0" w:color="auto"/>
        <w:bottom w:val="none" w:sz="0" w:space="0" w:color="auto"/>
        <w:right w:val="none" w:sz="0" w:space="0" w:color="auto"/>
      </w:divBdr>
      <w:divsChild>
        <w:div w:id="299844834">
          <w:marLeft w:val="0"/>
          <w:marRight w:val="0"/>
          <w:marTop w:val="0"/>
          <w:marBottom w:val="0"/>
          <w:divBdr>
            <w:top w:val="none" w:sz="0" w:space="0" w:color="auto"/>
            <w:left w:val="none" w:sz="0" w:space="0" w:color="auto"/>
            <w:bottom w:val="none" w:sz="0" w:space="0" w:color="auto"/>
            <w:right w:val="none" w:sz="0" w:space="0" w:color="auto"/>
          </w:divBdr>
          <w:divsChild>
            <w:div w:id="117101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95583">
      <w:bodyDiv w:val="1"/>
      <w:marLeft w:val="0"/>
      <w:marRight w:val="0"/>
      <w:marTop w:val="0"/>
      <w:marBottom w:val="0"/>
      <w:divBdr>
        <w:top w:val="none" w:sz="0" w:space="0" w:color="auto"/>
        <w:left w:val="none" w:sz="0" w:space="0" w:color="auto"/>
        <w:bottom w:val="none" w:sz="0" w:space="0" w:color="auto"/>
        <w:right w:val="none" w:sz="0" w:space="0" w:color="auto"/>
      </w:divBdr>
    </w:div>
    <w:div w:id="933977880">
      <w:bodyDiv w:val="1"/>
      <w:marLeft w:val="0"/>
      <w:marRight w:val="0"/>
      <w:marTop w:val="0"/>
      <w:marBottom w:val="0"/>
      <w:divBdr>
        <w:top w:val="none" w:sz="0" w:space="0" w:color="auto"/>
        <w:left w:val="none" w:sz="0" w:space="0" w:color="auto"/>
        <w:bottom w:val="none" w:sz="0" w:space="0" w:color="auto"/>
        <w:right w:val="none" w:sz="0" w:space="0" w:color="auto"/>
      </w:divBdr>
      <w:divsChild>
        <w:div w:id="218909309">
          <w:marLeft w:val="0"/>
          <w:marRight w:val="0"/>
          <w:marTop w:val="0"/>
          <w:marBottom w:val="0"/>
          <w:divBdr>
            <w:top w:val="none" w:sz="0" w:space="0" w:color="auto"/>
            <w:left w:val="none" w:sz="0" w:space="0" w:color="auto"/>
            <w:bottom w:val="none" w:sz="0" w:space="0" w:color="auto"/>
            <w:right w:val="none" w:sz="0" w:space="0" w:color="auto"/>
          </w:divBdr>
          <w:divsChild>
            <w:div w:id="112531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742420">
      <w:bodyDiv w:val="1"/>
      <w:marLeft w:val="0"/>
      <w:marRight w:val="0"/>
      <w:marTop w:val="0"/>
      <w:marBottom w:val="0"/>
      <w:divBdr>
        <w:top w:val="none" w:sz="0" w:space="0" w:color="auto"/>
        <w:left w:val="none" w:sz="0" w:space="0" w:color="auto"/>
        <w:bottom w:val="none" w:sz="0" w:space="0" w:color="auto"/>
        <w:right w:val="none" w:sz="0" w:space="0" w:color="auto"/>
      </w:divBdr>
      <w:divsChild>
        <w:div w:id="594098205">
          <w:marLeft w:val="0"/>
          <w:marRight w:val="0"/>
          <w:marTop w:val="0"/>
          <w:marBottom w:val="0"/>
          <w:divBdr>
            <w:top w:val="none" w:sz="0" w:space="0" w:color="auto"/>
            <w:left w:val="none" w:sz="0" w:space="0" w:color="auto"/>
            <w:bottom w:val="none" w:sz="0" w:space="0" w:color="auto"/>
            <w:right w:val="none" w:sz="0" w:space="0" w:color="auto"/>
          </w:divBdr>
          <w:divsChild>
            <w:div w:id="10142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41528">
      <w:bodyDiv w:val="1"/>
      <w:marLeft w:val="0"/>
      <w:marRight w:val="0"/>
      <w:marTop w:val="0"/>
      <w:marBottom w:val="0"/>
      <w:divBdr>
        <w:top w:val="none" w:sz="0" w:space="0" w:color="auto"/>
        <w:left w:val="none" w:sz="0" w:space="0" w:color="auto"/>
        <w:bottom w:val="none" w:sz="0" w:space="0" w:color="auto"/>
        <w:right w:val="none" w:sz="0" w:space="0" w:color="auto"/>
      </w:divBdr>
      <w:divsChild>
        <w:div w:id="299457661">
          <w:marLeft w:val="0"/>
          <w:marRight w:val="0"/>
          <w:marTop w:val="0"/>
          <w:marBottom w:val="0"/>
          <w:divBdr>
            <w:top w:val="none" w:sz="0" w:space="0" w:color="auto"/>
            <w:left w:val="none" w:sz="0" w:space="0" w:color="auto"/>
            <w:bottom w:val="none" w:sz="0" w:space="0" w:color="auto"/>
            <w:right w:val="none" w:sz="0" w:space="0" w:color="auto"/>
          </w:divBdr>
          <w:divsChild>
            <w:div w:id="15053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06451">
      <w:bodyDiv w:val="1"/>
      <w:marLeft w:val="0"/>
      <w:marRight w:val="0"/>
      <w:marTop w:val="0"/>
      <w:marBottom w:val="0"/>
      <w:divBdr>
        <w:top w:val="none" w:sz="0" w:space="0" w:color="auto"/>
        <w:left w:val="none" w:sz="0" w:space="0" w:color="auto"/>
        <w:bottom w:val="none" w:sz="0" w:space="0" w:color="auto"/>
        <w:right w:val="none" w:sz="0" w:space="0" w:color="auto"/>
      </w:divBdr>
    </w:div>
    <w:div w:id="1355616849">
      <w:bodyDiv w:val="1"/>
      <w:marLeft w:val="0"/>
      <w:marRight w:val="0"/>
      <w:marTop w:val="0"/>
      <w:marBottom w:val="0"/>
      <w:divBdr>
        <w:top w:val="none" w:sz="0" w:space="0" w:color="auto"/>
        <w:left w:val="none" w:sz="0" w:space="0" w:color="auto"/>
        <w:bottom w:val="none" w:sz="0" w:space="0" w:color="auto"/>
        <w:right w:val="none" w:sz="0" w:space="0" w:color="auto"/>
      </w:divBdr>
    </w:div>
    <w:div w:id="1384257659">
      <w:bodyDiv w:val="1"/>
      <w:marLeft w:val="0"/>
      <w:marRight w:val="0"/>
      <w:marTop w:val="0"/>
      <w:marBottom w:val="0"/>
      <w:divBdr>
        <w:top w:val="none" w:sz="0" w:space="0" w:color="auto"/>
        <w:left w:val="none" w:sz="0" w:space="0" w:color="auto"/>
        <w:bottom w:val="none" w:sz="0" w:space="0" w:color="auto"/>
        <w:right w:val="none" w:sz="0" w:space="0" w:color="auto"/>
      </w:divBdr>
      <w:divsChild>
        <w:div w:id="577666225">
          <w:marLeft w:val="0"/>
          <w:marRight w:val="0"/>
          <w:marTop w:val="0"/>
          <w:marBottom w:val="0"/>
          <w:divBdr>
            <w:top w:val="none" w:sz="0" w:space="0" w:color="auto"/>
            <w:left w:val="none" w:sz="0" w:space="0" w:color="auto"/>
            <w:bottom w:val="none" w:sz="0" w:space="0" w:color="auto"/>
            <w:right w:val="none" w:sz="0" w:space="0" w:color="auto"/>
          </w:divBdr>
          <w:divsChild>
            <w:div w:id="8342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43384">
      <w:bodyDiv w:val="1"/>
      <w:marLeft w:val="0"/>
      <w:marRight w:val="0"/>
      <w:marTop w:val="0"/>
      <w:marBottom w:val="0"/>
      <w:divBdr>
        <w:top w:val="none" w:sz="0" w:space="0" w:color="auto"/>
        <w:left w:val="none" w:sz="0" w:space="0" w:color="auto"/>
        <w:bottom w:val="none" w:sz="0" w:space="0" w:color="auto"/>
        <w:right w:val="none" w:sz="0" w:space="0" w:color="auto"/>
      </w:divBdr>
      <w:divsChild>
        <w:div w:id="982463711">
          <w:marLeft w:val="0"/>
          <w:marRight w:val="0"/>
          <w:marTop w:val="0"/>
          <w:marBottom w:val="0"/>
          <w:divBdr>
            <w:top w:val="none" w:sz="0" w:space="0" w:color="auto"/>
            <w:left w:val="none" w:sz="0" w:space="0" w:color="auto"/>
            <w:bottom w:val="none" w:sz="0" w:space="0" w:color="auto"/>
            <w:right w:val="none" w:sz="0" w:space="0" w:color="auto"/>
          </w:divBdr>
          <w:divsChild>
            <w:div w:id="9187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7743">
      <w:bodyDiv w:val="1"/>
      <w:marLeft w:val="0"/>
      <w:marRight w:val="0"/>
      <w:marTop w:val="0"/>
      <w:marBottom w:val="0"/>
      <w:divBdr>
        <w:top w:val="none" w:sz="0" w:space="0" w:color="auto"/>
        <w:left w:val="none" w:sz="0" w:space="0" w:color="auto"/>
        <w:bottom w:val="none" w:sz="0" w:space="0" w:color="auto"/>
        <w:right w:val="none" w:sz="0" w:space="0" w:color="auto"/>
      </w:divBdr>
    </w:div>
    <w:div w:id="1749694276">
      <w:bodyDiv w:val="1"/>
      <w:marLeft w:val="0"/>
      <w:marRight w:val="0"/>
      <w:marTop w:val="0"/>
      <w:marBottom w:val="0"/>
      <w:divBdr>
        <w:top w:val="none" w:sz="0" w:space="0" w:color="auto"/>
        <w:left w:val="none" w:sz="0" w:space="0" w:color="auto"/>
        <w:bottom w:val="none" w:sz="0" w:space="0" w:color="auto"/>
        <w:right w:val="none" w:sz="0" w:space="0" w:color="auto"/>
      </w:divBdr>
    </w:div>
    <w:div w:id="1833369985">
      <w:bodyDiv w:val="1"/>
      <w:marLeft w:val="0"/>
      <w:marRight w:val="0"/>
      <w:marTop w:val="0"/>
      <w:marBottom w:val="0"/>
      <w:divBdr>
        <w:top w:val="none" w:sz="0" w:space="0" w:color="auto"/>
        <w:left w:val="none" w:sz="0" w:space="0" w:color="auto"/>
        <w:bottom w:val="none" w:sz="0" w:space="0" w:color="auto"/>
        <w:right w:val="none" w:sz="0" w:space="0" w:color="auto"/>
      </w:divBdr>
      <w:divsChild>
        <w:div w:id="2052411771">
          <w:marLeft w:val="0"/>
          <w:marRight w:val="0"/>
          <w:marTop w:val="0"/>
          <w:marBottom w:val="0"/>
          <w:divBdr>
            <w:top w:val="none" w:sz="0" w:space="0" w:color="auto"/>
            <w:left w:val="none" w:sz="0" w:space="0" w:color="auto"/>
            <w:bottom w:val="none" w:sz="0" w:space="0" w:color="auto"/>
            <w:right w:val="none" w:sz="0" w:space="0" w:color="auto"/>
          </w:divBdr>
          <w:divsChild>
            <w:div w:id="8699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9782">
      <w:bodyDiv w:val="1"/>
      <w:marLeft w:val="0"/>
      <w:marRight w:val="0"/>
      <w:marTop w:val="0"/>
      <w:marBottom w:val="0"/>
      <w:divBdr>
        <w:top w:val="none" w:sz="0" w:space="0" w:color="auto"/>
        <w:left w:val="none" w:sz="0" w:space="0" w:color="auto"/>
        <w:bottom w:val="none" w:sz="0" w:space="0" w:color="auto"/>
        <w:right w:val="none" w:sz="0" w:space="0" w:color="auto"/>
      </w:divBdr>
      <w:divsChild>
        <w:div w:id="1571161555">
          <w:marLeft w:val="0"/>
          <w:marRight w:val="0"/>
          <w:marTop w:val="0"/>
          <w:marBottom w:val="0"/>
          <w:divBdr>
            <w:top w:val="none" w:sz="0" w:space="0" w:color="auto"/>
            <w:left w:val="none" w:sz="0" w:space="0" w:color="auto"/>
            <w:bottom w:val="none" w:sz="0" w:space="0" w:color="auto"/>
            <w:right w:val="none" w:sz="0" w:space="0" w:color="auto"/>
          </w:divBdr>
          <w:divsChild>
            <w:div w:id="10740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06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l.handle.net/10986/43003" TargetMode="External"/><Relationship Id="rId3" Type="http://schemas.openxmlformats.org/officeDocument/2006/relationships/settings" Target="settings.xml"/><Relationship Id="rId7" Type="http://schemas.openxmlformats.org/officeDocument/2006/relationships/hyperlink" Target="https://agriculture.canada.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o.org" TargetMode="External"/><Relationship Id="rId5" Type="http://schemas.openxmlformats.org/officeDocument/2006/relationships/hyperlink" Target="https://www.planalto.gov.br/ccivil_03/_ato2007-2010/2010/lei/l12305.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3305</Words>
  <Characters>18844</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katarzyna.chojnacka@pwr.edu.pl</dc:creator>
  <cp:keywords/>
  <dc:description/>
  <cp:lastModifiedBy>Rajalakshmi Thangaraj</cp:lastModifiedBy>
  <cp:revision>13</cp:revision>
  <dcterms:created xsi:type="dcterms:W3CDTF">2025-08-20T03:48:00Z</dcterms:created>
  <dcterms:modified xsi:type="dcterms:W3CDTF">2025-09-17T11:40:00Z</dcterms:modified>
</cp:coreProperties>
</file>