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8CC8C" w14:textId="77777777" w:rsidR="00011678" w:rsidRPr="00A07E40" w:rsidRDefault="00000000" w:rsidP="00A07E40">
      <w:pPr>
        <w:spacing w:beforeLines="100" w:before="312" w:line="360" w:lineRule="auto"/>
        <w:rPr>
          <w:rFonts w:ascii="Times New Roman" w:eastAsia="宋体" w:hAnsi="Times New Roman" w:cs="Times New Roman"/>
          <w:b/>
          <w:bCs/>
          <w:sz w:val="28"/>
          <w:szCs w:val="28"/>
        </w:rPr>
      </w:pPr>
      <w:r w:rsidRPr="00A07E40">
        <w:rPr>
          <w:rFonts w:ascii="Times New Roman" w:eastAsia="宋体" w:hAnsi="Times New Roman" w:cs="Times New Roman" w:hint="eastAsia"/>
          <w:b/>
          <w:bCs/>
          <w:sz w:val="28"/>
          <w:szCs w:val="28"/>
        </w:rPr>
        <w:t>Methods</w:t>
      </w:r>
    </w:p>
    <w:p w14:paraId="1A4BE935" w14:textId="7582C6D1" w:rsidR="00011678" w:rsidRDefault="00000000">
      <w:pPr>
        <w:spacing w:line="360" w:lineRule="auto"/>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Control method of pepper anther culture</w:t>
      </w:r>
    </w:p>
    <w:p w14:paraId="6D3E61A1" w14:textId="10B836DD" w:rsidR="00011678" w:rsidRDefault="00000000">
      <w:pPr>
        <w:spacing w:line="360" w:lineRule="auto"/>
        <w:rPr>
          <w:rFonts w:ascii="Times New Roman" w:eastAsia="宋体" w:hAnsi="Times New Roman" w:cs="Times New Roman"/>
          <w:sz w:val="20"/>
          <w:szCs w:val="20"/>
        </w:rPr>
      </w:pPr>
      <w:r>
        <w:rPr>
          <w:rFonts w:ascii="Times New Roman" w:eastAsia="宋体" w:hAnsi="Times New Roman" w:cs="Times New Roman" w:hint="eastAsia"/>
          <w:sz w:val="20"/>
          <w:szCs w:val="20"/>
        </w:rPr>
        <w:t xml:space="preserve">Anthers at the mid-pollen mitosis stage are first surface-sterilized with 70% ethanol for 30 s and 4 </w:t>
      </w:r>
      <w:r>
        <w:rPr>
          <w:rFonts w:ascii="Times New Roman" w:eastAsia="宋体" w:hAnsi="Times New Roman" w:cs="Times New Roman"/>
          <w:sz w:val="20"/>
          <w:szCs w:val="20"/>
        </w:rPr>
        <w:t>gL</w:t>
      </w:r>
      <w:r>
        <w:rPr>
          <w:rFonts w:ascii="Times New Roman" w:eastAsia="宋体" w:hAnsi="Times New Roman" w:cs="Times New Roman" w:hint="eastAsia"/>
          <w:sz w:val="20"/>
          <w:szCs w:val="20"/>
          <w:vertAlign w:val="superscript"/>
        </w:rPr>
        <w:t>-1</w:t>
      </w:r>
      <w:r>
        <w:rPr>
          <w:rFonts w:ascii="Times New Roman" w:eastAsia="宋体" w:hAnsi="Times New Roman" w:cs="Times New Roman" w:hint="eastAsia"/>
          <w:sz w:val="20"/>
          <w:szCs w:val="20"/>
        </w:rPr>
        <w:t xml:space="preserve"> sodium hypochlorite for 5 min, then rinsed three times with sterile water. After aseptic dissection, the anthers are cultured on induction medium (MS medium with 0.01 </w:t>
      </w:r>
      <w:r>
        <w:rPr>
          <w:rFonts w:ascii="Times New Roman" w:eastAsia="宋体" w:hAnsi="Times New Roman" w:cs="Times New Roman"/>
          <w:sz w:val="20"/>
          <w:szCs w:val="20"/>
        </w:rPr>
        <w:t>mgL</w:t>
      </w:r>
      <w:r>
        <w:rPr>
          <w:rFonts w:ascii="Times New Roman" w:eastAsia="宋体" w:hAnsi="Times New Roman" w:cs="Times New Roman" w:hint="eastAsia"/>
          <w:sz w:val="20"/>
          <w:szCs w:val="20"/>
          <w:vertAlign w:val="superscript"/>
        </w:rPr>
        <w:t>-1</w:t>
      </w:r>
      <w:r>
        <w:rPr>
          <w:rFonts w:ascii="Times New Roman" w:eastAsia="宋体" w:hAnsi="Times New Roman" w:cs="Times New Roman" w:hint="eastAsia"/>
          <w:sz w:val="20"/>
          <w:szCs w:val="20"/>
        </w:rPr>
        <w:t xml:space="preserve"> KT, 0.01 </w:t>
      </w:r>
      <w:r>
        <w:rPr>
          <w:rFonts w:ascii="Times New Roman" w:eastAsia="宋体" w:hAnsi="Times New Roman" w:cs="Times New Roman"/>
          <w:sz w:val="20"/>
          <w:szCs w:val="20"/>
        </w:rPr>
        <w:t>mgL</w:t>
      </w:r>
      <w:r>
        <w:rPr>
          <w:rFonts w:ascii="Times New Roman" w:eastAsia="宋体" w:hAnsi="Times New Roman" w:cs="Times New Roman" w:hint="eastAsia"/>
          <w:sz w:val="20"/>
          <w:szCs w:val="20"/>
          <w:vertAlign w:val="superscript"/>
        </w:rPr>
        <w:t>-1</w:t>
      </w:r>
      <w:r>
        <w:rPr>
          <w:rFonts w:ascii="Times New Roman" w:eastAsia="宋体" w:hAnsi="Times New Roman" w:cs="Times New Roman" w:hint="eastAsia"/>
          <w:sz w:val="20"/>
          <w:szCs w:val="20"/>
        </w:rPr>
        <w:t xml:space="preserve"> 2,4-D, 100 </w:t>
      </w:r>
      <w:r>
        <w:rPr>
          <w:rFonts w:ascii="Times New Roman" w:eastAsia="宋体" w:hAnsi="Times New Roman" w:cs="Times New Roman"/>
          <w:sz w:val="20"/>
          <w:szCs w:val="20"/>
        </w:rPr>
        <w:t>mgL</w:t>
      </w:r>
      <w:r>
        <w:rPr>
          <w:rFonts w:ascii="Times New Roman" w:eastAsia="宋体" w:hAnsi="Times New Roman" w:cs="Times New Roman" w:hint="eastAsia"/>
          <w:sz w:val="20"/>
          <w:szCs w:val="20"/>
          <w:vertAlign w:val="superscript"/>
        </w:rPr>
        <w:t>-1</w:t>
      </w:r>
      <w:r>
        <w:rPr>
          <w:rFonts w:ascii="Times New Roman" w:eastAsia="宋体" w:hAnsi="Times New Roman" w:cs="Times New Roman" w:hint="eastAsia"/>
          <w:sz w:val="20"/>
          <w:szCs w:val="20"/>
        </w:rPr>
        <w:t xml:space="preserve"> cefotaxime, pH 5.9) at 35</w:t>
      </w:r>
      <w:r>
        <w:rPr>
          <w:rFonts w:ascii="Times New Roman" w:eastAsia="宋体" w:hAnsi="Times New Roman" w:cs="Times New Roman"/>
          <w:sz w:val="20"/>
          <w:szCs w:val="20"/>
        </w:rPr>
        <w:t>°</w:t>
      </w:r>
      <w:r>
        <w:rPr>
          <w:rFonts w:ascii="Times New Roman" w:eastAsia="宋体" w:hAnsi="Times New Roman" w:cs="Times New Roman" w:hint="eastAsia"/>
          <w:sz w:val="20"/>
          <w:szCs w:val="20"/>
        </w:rPr>
        <w:t xml:space="preserve">C in the dark for 8 days. They are then transferred to a 25 </w:t>
      </w:r>
      <w:r>
        <w:rPr>
          <w:rFonts w:ascii="Times New Roman" w:eastAsia="宋体" w:hAnsi="Times New Roman" w:cs="Times New Roman"/>
          <w:sz w:val="20"/>
          <w:szCs w:val="20"/>
        </w:rPr>
        <w:t>°</w:t>
      </w:r>
      <w:r>
        <w:rPr>
          <w:rFonts w:ascii="Times New Roman" w:eastAsia="宋体" w:hAnsi="Times New Roman" w:cs="Times New Roman" w:hint="eastAsia"/>
          <w:sz w:val="20"/>
          <w:szCs w:val="20"/>
        </w:rPr>
        <w:t xml:space="preserve">C environment with a 12-h photoperiod for 4 days. On day 12, anthers are moved to regeneration medium (0.1 </w:t>
      </w:r>
      <w:r>
        <w:rPr>
          <w:rFonts w:ascii="Times New Roman" w:eastAsia="宋体" w:hAnsi="Times New Roman" w:cs="Times New Roman"/>
          <w:sz w:val="20"/>
          <w:szCs w:val="20"/>
        </w:rPr>
        <w:t>mgL</w:t>
      </w:r>
      <w:r>
        <w:rPr>
          <w:rFonts w:ascii="Times New Roman" w:eastAsia="宋体" w:hAnsi="Times New Roman" w:cs="Times New Roman" w:hint="eastAsia"/>
          <w:sz w:val="20"/>
          <w:szCs w:val="20"/>
          <w:vertAlign w:val="superscript"/>
        </w:rPr>
        <w:t>-1</w:t>
      </w:r>
      <w:r>
        <w:rPr>
          <w:rFonts w:ascii="Times New Roman" w:eastAsia="宋体" w:hAnsi="Times New Roman" w:cs="Times New Roman" w:hint="eastAsia"/>
          <w:sz w:val="20"/>
          <w:szCs w:val="20"/>
        </w:rPr>
        <w:t xml:space="preserve"> kinetin, 100 </w:t>
      </w:r>
      <w:r>
        <w:rPr>
          <w:rFonts w:ascii="Times New Roman" w:eastAsia="宋体" w:hAnsi="Times New Roman" w:cs="Times New Roman"/>
          <w:sz w:val="20"/>
          <w:szCs w:val="20"/>
        </w:rPr>
        <w:t>mgL</w:t>
      </w:r>
      <w:r>
        <w:rPr>
          <w:rFonts w:ascii="Times New Roman" w:eastAsia="宋体" w:hAnsi="Times New Roman" w:cs="Times New Roman" w:hint="eastAsia"/>
          <w:sz w:val="20"/>
          <w:szCs w:val="20"/>
          <w:vertAlign w:val="superscript"/>
        </w:rPr>
        <w:t>-1</w:t>
      </w:r>
      <w:r>
        <w:rPr>
          <w:rFonts w:ascii="Times New Roman" w:eastAsia="宋体" w:hAnsi="Times New Roman" w:cs="Times New Roman" w:hint="eastAsia"/>
          <w:sz w:val="20"/>
          <w:szCs w:val="20"/>
        </w:rPr>
        <w:t xml:space="preserve"> cefotaxime) and cultured at 25</w:t>
      </w:r>
      <w:r>
        <w:rPr>
          <w:rFonts w:ascii="Times New Roman" w:eastAsia="宋体" w:hAnsi="Times New Roman" w:cs="Times New Roman"/>
          <w:sz w:val="20"/>
          <w:szCs w:val="20"/>
        </w:rPr>
        <w:t>°</w:t>
      </w:r>
      <w:r>
        <w:rPr>
          <w:rFonts w:ascii="Times New Roman" w:eastAsia="宋体" w:hAnsi="Times New Roman" w:cs="Times New Roman" w:hint="eastAsia"/>
          <w:sz w:val="20"/>
          <w:szCs w:val="20"/>
        </w:rPr>
        <w:t xml:space="preserve">C with a 12-h photoperiod for 45 days. Finally, the callus is transferred to shoot induction medium (MS medium with 1 </w:t>
      </w:r>
      <w:r>
        <w:rPr>
          <w:rFonts w:ascii="Times New Roman" w:eastAsia="宋体" w:hAnsi="Times New Roman" w:cs="Times New Roman"/>
          <w:sz w:val="20"/>
          <w:szCs w:val="20"/>
        </w:rPr>
        <w:t>mgL</w:t>
      </w:r>
      <w:r>
        <w:rPr>
          <w:rFonts w:ascii="Times New Roman" w:eastAsia="宋体" w:hAnsi="Times New Roman" w:cs="Times New Roman" w:hint="eastAsia"/>
          <w:sz w:val="20"/>
          <w:szCs w:val="20"/>
          <w:vertAlign w:val="superscript"/>
        </w:rPr>
        <w:t>-1</w:t>
      </w:r>
      <w:r>
        <w:rPr>
          <w:rFonts w:ascii="Times New Roman" w:eastAsia="宋体" w:hAnsi="Times New Roman" w:cs="Times New Roman" w:hint="eastAsia"/>
          <w:sz w:val="20"/>
          <w:szCs w:val="20"/>
        </w:rPr>
        <w:t xml:space="preserve"> IAA, 1 </w:t>
      </w:r>
      <w:r>
        <w:rPr>
          <w:rFonts w:ascii="Times New Roman" w:eastAsia="宋体" w:hAnsi="Times New Roman" w:cs="Times New Roman"/>
          <w:sz w:val="20"/>
          <w:szCs w:val="20"/>
        </w:rPr>
        <w:t>mgL</w:t>
      </w:r>
      <w:r>
        <w:rPr>
          <w:rFonts w:ascii="Times New Roman" w:eastAsia="宋体" w:hAnsi="Times New Roman" w:cs="Times New Roman" w:hint="eastAsia"/>
          <w:sz w:val="20"/>
          <w:szCs w:val="20"/>
          <w:vertAlign w:val="superscript"/>
        </w:rPr>
        <w:t>-1</w:t>
      </w:r>
      <w:r>
        <w:rPr>
          <w:rFonts w:ascii="Times New Roman" w:eastAsia="宋体" w:hAnsi="Times New Roman" w:cs="Times New Roman" w:hint="eastAsia"/>
          <w:sz w:val="20"/>
          <w:szCs w:val="20"/>
        </w:rPr>
        <w:t xml:space="preserve"> GA3, and 1 </w:t>
      </w:r>
      <w:r>
        <w:rPr>
          <w:rFonts w:ascii="Times New Roman" w:eastAsia="宋体" w:hAnsi="Times New Roman" w:cs="Times New Roman"/>
          <w:sz w:val="20"/>
          <w:szCs w:val="20"/>
        </w:rPr>
        <w:t>mgL</w:t>
      </w:r>
      <w:r>
        <w:rPr>
          <w:rFonts w:ascii="Times New Roman" w:eastAsia="宋体" w:hAnsi="Times New Roman" w:cs="Times New Roman" w:hint="eastAsia"/>
          <w:sz w:val="20"/>
          <w:szCs w:val="20"/>
          <w:vertAlign w:val="superscript"/>
        </w:rPr>
        <w:t>-1</w:t>
      </w:r>
      <w:r>
        <w:rPr>
          <w:rFonts w:ascii="Times New Roman" w:eastAsia="宋体" w:hAnsi="Times New Roman" w:cs="Times New Roman" w:hint="eastAsia"/>
          <w:sz w:val="20"/>
          <w:szCs w:val="20"/>
        </w:rPr>
        <w:t xml:space="preserve"> citric acid) and cultured at 25 </w:t>
      </w:r>
      <w:r>
        <w:rPr>
          <w:rFonts w:ascii="Times New Roman" w:eastAsia="宋体" w:hAnsi="Times New Roman" w:cs="Times New Roman"/>
          <w:sz w:val="20"/>
          <w:szCs w:val="20"/>
        </w:rPr>
        <w:t>°</w:t>
      </w:r>
      <w:r>
        <w:rPr>
          <w:rFonts w:ascii="Times New Roman" w:eastAsia="宋体" w:hAnsi="Times New Roman" w:cs="Times New Roman" w:hint="eastAsia"/>
          <w:sz w:val="20"/>
          <w:szCs w:val="20"/>
        </w:rPr>
        <w:t>C with a 12-h photoperiod until shoot formation.</w:t>
      </w:r>
    </w:p>
    <w:p w14:paraId="0D34535B" w14:textId="47DA1425" w:rsidR="00011678" w:rsidRDefault="00000000">
      <w:pPr>
        <w:spacing w:line="360" w:lineRule="auto"/>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Colchicine induced chromosome duplication</w:t>
      </w:r>
    </w:p>
    <w:p w14:paraId="2B6E72E5" w14:textId="77777777" w:rsidR="00011678" w:rsidRDefault="00000000">
      <w:pPr>
        <w:spacing w:line="360" w:lineRule="auto"/>
        <w:rPr>
          <w:rFonts w:ascii="Times New Roman" w:eastAsia="宋体" w:hAnsi="Times New Roman" w:cs="Times New Roman"/>
          <w:sz w:val="20"/>
          <w:szCs w:val="20"/>
        </w:rPr>
      </w:pPr>
      <w:r>
        <w:rPr>
          <w:rFonts w:ascii="Times New Roman" w:eastAsia="宋体" w:hAnsi="Times New Roman" w:cs="Times New Roman"/>
          <w:sz w:val="20"/>
          <w:szCs w:val="20"/>
        </w:rPr>
        <w:t xml:space="preserve">One thousand pepper seeds </w:t>
      </w:r>
      <w:r>
        <w:rPr>
          <w:rFonts w:ascii="Times New Roman" w:eastAsia="宋体" w:hAnsi="Times New Roman" w:cs="Times New Roman" w:hint="eastAsia"/>
          <w:sz w:val="20"/>
          <w:szCs w:val="20"/>
        </w:rPr>
        <w:t>(</w:t>
      </w:r>
      <w:r>
        <w:rPr>
          <w:rFonts w:ascii="Times New Roman" w:eastAsia="宋体" w:hAnsi="Times New Roman" w:cs="Times New Roman" w:hint="eastAsia"/>
          <w:i/>
          <w:iCs/>
          <w:sz w:val="20"/>
          <w:szCs w:val="20"/>
        </w:rPr>
        <w:t>C. annuum</w:t>
      </w:r>
      <w:r>
        <w:rPr>
          <w:rFonts w:ascii="Times New Roman" w:eastAsia="宋体" w:hAnsi="Times New Roman" w:cs="Times New Roman" w:hint="eastAsia"/>
          <w:sz w:val="20"/>
          <w:szCs w:val="20"/>
        </w:rPr>
        <w:t xml:space="preserve"> cv. </w:t>
      </w:r>
      <w:r>
        <w:rPr>
          <w:rFonts w:ascii="Times New Roman" w:eastAsia="宋体" w:hAnsi="Times New Roman" w:cs="Times New Roman"/>
          <w:sz w:val="20"/>
          <w:szCs w:val="20"/>
        </w:rPr>
        <w:t>‘</w:t>
      </w:r>
      <w:proofErr w:type="spellStart"/>
      <w:r>
        <w:rPr>
          <w:rFonts w:ascii="Times New Roman" w:eastAsia="宋体" w:hAnsi="Times New Roman" w:cs="Times New Roman" w:hint="eastAsia"/>
          <w:sz w:val="20"/>
          <w:szCs w:val="20"/>
        </w:rPr>
        <w:t>Guiyan</w:t>
      </w:r>
      <w:proofErr w:type="spellEnd"/>
      <w:r>
        <w:rPr>
          <w:rFonts w:ascii="Times New Roman" w:eastAsia="宋体" w:hAnsi="Times New Roman" w:cs="Times New Roman" w:hint="eastAsia"/>
          <w:sz w:val="20"/>
          <w:szCs w:val="20"/>
        </w:rPr>
        <w:t xml:space="preserve"> </w:t>
      </w:r>
      <w:proofErr w:type="spellStart"/>
      <w:r>
        <w:rPr>
          <w:rFonts w:ascii="Times New Roman" w:eastAsia="宋体" w:hAnsi="Times New Roman" w:cs="Times New Roman" w:hint="eastAsia"/>
          <w:sz w:val="20"/>
          <w:szCs w:val="20"/>
        </w:rPr>
        <w:t>Yixiantian</w:t>
      </w:r>
      <w:proofErr w:type="spellEnd"/>
      <w:r>
        <w:rPr>
          <w:rFonts w:ascii="Times New Roman" w:eastAsia="宋体" w:hAnsi="Times New Roman" w:cs="Times New Roman"/>
          <w:sz w:val="20"/>
          <w:szCs w:val="20"/>
        </w:rPr>
        <w:t>’</w:t>
      </w:r>
      <w:r>
        <w:rPr>
          <w:rFonts w:ascii="Times New Roman" w:eastAsia="宋体" w:hAnsi="Times New Roman" w:cs="Times New Roman" w:hint="eastAsia"/>
          <w:sz w:val="20"/>
          <w:szCs w:val="20"/>
        </w:rPr>
        <w:t>)</w:t>
      </w:r>
      <w:r>
        <w:rPr>
          <w:rFonts w:ascii="Times New Roman" w:eastAsia="宋体" w:hAnsi="Times New Roman" w:cs="Times New Roman"/>
          <w:sz w:val="20"/>
          <w:szCs w:val="20"/>
        </w:rPr>
        <w:t xml:space="preserve"> were selected and germinated in a stable environment at 30°C. After germination, the seeds were evenly divided into ten portions and placed in 90 mm petri dishes. Each portion was treated with 10 m</w:t>
      </w:r>
      <w:r>
        <w:rPr>
          <w:rFonts w:ascii="Times New Roman" w:eastAsia="宋体" w:hAnsi="Times New Roman" w:cs="Times New Roman" w:hint="eastAsia"/>
          <w:sz w:val="20"/>
          <w:szCs w:val="20"/>
        </w:rPr>
        <w:t>L</w:t>
      </w:r>
      <w:r>
        <w:rPr>
          <w:rFonts w:ascii="Times New Roman" w:eastAsia="宋体" w:hAnsi="Times New Roman" w:cs="Times New Roman"/>
          <w:sz w:val="20"/>
          <w:szCs w:val="20"/>
        </w:rPr>
        <w:t xml:space="preserve"> of colchicine solution at concentrations of 0.01 mg</w:t>
      </w:r>
      <w:bookmarkStart w:id="0" w:name="OLE_LINK10"/>
      <w:r>
        <w:rPr>
          <w:rFonts w:ascii="Times New Roman" w:eastAsia="宋体" w:hAnsi="Times New Roman" w:cs="Times New Roman"/>
          <w:sz w:val="20"/>
          <w:szCs w:val="20"/>
        </w:rPr>
        <w:t>L</w:t>
      </w:r>
      <w:r>
        <w:rPr>
          <w:rFonts w:ascii="Times New Roman" w:eastAsia="宋体" w:hAnsi="Times New Roman" w:cs="Times New Roman" w:hint="eastAsia"/>
          <w:sz w:val="20"/>
          <w:szCs w:val="20"/>
          <w:vertAlign w:val="superscript"/>
        </w:rPr>
        <w:t>-1</w:t>
      </w:r>
      <w:bookmarkEnd w:id="0"/>
      <w:r>
        <w:rPr>
          <w:rFonts w:ascii="Times New Roman" w:eastAsia="宋体" w:hAnsi="Times New Roman" w:cs="Times New Roman"/>
          <w:sz w:val="20"/>
          <w:szCs w:val="20"/>
        </w:rPr>
        <w:t>, 0.03 mgL</w:t>
      </w:r>
      <w:r>
        <w:rPr>
          <w:rFonts w:ascii="Times New Roman" w:eastAsia="宋体" w:hAnsi="Times New Roman" w:cs="Times New Roman" w:hint="eastAsia"/>
          <w:sz w:val="20"/>
          <w:szCs w:val="20"/>
          <w:vertAlign w:val="superscript"/>
        </w:rPr>
        <w:t>-1</w:t>
      </w:r>
      <w:r>
        <w:rPr>
          <w:rFonts w:ascii="Times New Roman" w:eastAsia="宋体" w:hAnsi="Times New Roman" w:cs="Times New Roman"/>
          <w:sz w:val="20"/>
          <w:szCs w:val="20"/>
        </w:rPr>
        <w:t>, 0.05 mgL</w:t>
      </w:r>
      <w:r>
        <w:rPr>
          <w:rFonts w:ascii="Times New Roman" w:eastAsia="宋体" w:hAnsi="Times New Roman" w:cs="Times New Roman" w:hint="eastAsia"/>
          <w:sz w:val="20"/>
          <w:szCs w:val="20"/>
          <w:vertAlign w:val="superscript"/>
        </w:rPr>
        <w:t>-1</w:t>
      </w:r>
      <w:r>
        <w:rPr>
          <w:rFonts w:ascii="Times New Roman" w:eastAsia="宋体" w:hAnsi="Times New Roman" w:cs="Times New Roman"/>
          <w:sz w:val="20"/>
          <w:szCs w:val="20"/>
        </w:rPr>
        <w:t>, 0.1 mgL</w:t>
      </w:r>
      <w:r>
        <w:rPr>
          <w:rFonts w:ascii="Times New Roman" w:eastAsia="宋体" w:hAnsi="Times New Roman" w:cs="Times New Roman" w:hint="eastAsia"/>
          <w:sz w:val="20"/>
          <w:szCs w:val="20"/>
          <w:vertAlign w:val="superscript"/>
        </w:rPr>
        <w:t>-1</w:t>
      </w:r>
      <w:r>
        <w:rPr>
          <w:rFonts w:ascii="Times New Roman" w:eastAsia="宋体" w:hAnsi="Times New Roman" w:cs="Times New Roman"/>
          <w:sz w:val="20"/>
          <w:szCs w:val="20"/>
        </w:rPr>
        <w:t>, 0.15 mgL</w:t>
      </w:r>
      <w:r>
        <w:rPr>
          <w:rFonts w:ascii="Times New Roman" w:eastAsia="宋体" w:hAnsi="Times New Roman" w:cs="Times New Roman" w:hint="eastAsia"/>
          <w:sz w:val="20"/>
          <w:szCs w:val="20"/>
          <w:vertAlign w:val="superscript"/>
        </w:rPr>
        <w:t>-1</w:t>
      </w:r>
      <w:r>
        <w:rPr>
          <w:rFonts w:ascii="Times New Roman" w:eastAsia="宋体" w:hAnsi="Times New Roman" w:cs="Times New Roman"/>
          <w:sz w:val="20"/>
          <w:szCs w:val="20"/>
        </w:rPr>
        <w:t>, 0.2 mgL</w:t>
      </w:r>
      <w:r>
        <w:rPr>
          <w:rFonts w:ascii="Times New Roman" w:eastAsia="宋体" w:hAnsi="Times New Roman" w:cs="Times New Roman" w:hint="eastAsia"/>
          <w:sz w:val="20"/>
          <w:szCs w:val="20"/>
          <w:vertAlign w:val="superscript"/>
        </w:rPr>
        <w:t>-1</w:t>
      </w:r>
      <w:r>
        <w:rPr>
          <w:rFonts w:ascii="Times New Roman" w:eastAsia="宋体" w:hAnsi="Times New Roman" w:cs="Times New Roman"/>
          <w:sz w:val="20"/>
          <w:szCs w:val="20"/>
        </w:rPr>
        <w:t>, 0.3 mgL</w:t>
      </w:r>
      <w:r>
        <w:rPr>
          <w:rFonts w:ascii="Times New Roman" w:eastAsia="宋体" w:hAnsi="Times New Roman" w:cs="Times New Roman" w:hint="eastAsia"/>
          <w:sz w:val="20"/>
          <w:szCs w:val="20"/>
          <w:vertAlign w:val="superscript"/>
        </w:rPr>
        <w:t>-1</w:t>
      </w:r>
      <w:r>
        <w:rPr>
          <w:rFonts w:ascii="Times New Roman" w:eastAsia="宋体" w:hAnsi="Times New Roman" w:cs="Times New Roman"/>
          <w:sz w:val="20"/>
          <w:szCs w:val="20"/>
        </w:rPr>
        <w:t>, 0.5 mgL</w:t>
      </w:r>
      <w:r>
        <w:rPr>
          <w:rFonts w:ascii="Times New Roman" w:eastAsia="宋体" w:hAnsi="Times New Roman" w:cs="Times New Roman" w:hint="eastAsia"/>
          <w:sz w:val="20"/>
          <w:szCs w:val="20"/>
          <w:vertAlign w:val="superscript"/>
        </w:rPr>
        <w:t>-1</w:t>
      </w:r>
      <w:r>
        <w:rPr>
          <w:rFonts w:ascii="Times New Roman" w:eastAsia="宋体" w:hAnsi="Times New Roman" w:cs="Times New Roman"/>
          <w:sz w:val="20"/>
          <w:szCs w:val="20"/>
        </w:rPr>
        <w:t>, 1 mgL</w:t>
      </w:r>
      <w:r>
        <w:rPr>
          <w:rFonts w:ascii="Times New Roman" w:eastAsia="宋体" w:hAnsi="Times New Roman" w:cs="Times New Roman"/>
          <w:sz w:val="20"/>
          <w:szCs w:val="20"/>
          <w:vertAlign w:val="superscript"/>
        </w:rPr>
        <w:t>-1</w:t>
      </w:r>
      <w:r>
        <w:rPr>
          <w:rFonts w:ascii="Times New Roman" w:eastAsia="宋体" w:hAnsi="Times New Roman" w:cs="Times New Roman"/>
          <w:sz w:val="20"/>
          <w:szCs w:val="20"/>
        </w:rPr>
        <w:t>, and 2 mgL</w:t>
      </w:r>
      <w:r>
        <w:rPr>
          <w:rFonts w:ascii="Times New Roman" w:eastAsia="宋体" w:hAnsi="Times New Roman" w:cs="Times New Roman"/>
          <w:sz w:val="20"/>
          <w:szCs w:val="20"/>
          <w:vertAlign w:val="superscript"/>
        </w:rPr>
        <w:t>-1</w:t>
      </w:r>
      <w:r>
        <w:rPr>
          <w:rFonts w:ascii="Times New Roman" w:eastAsia="宋体" w:hAnsi="Times New Roman" w:cs="Times New Roman"/>
          <w:sz w:val="20"/>
          <w:szCs w:val="20"/>
        </w:rPr>
        <w:t xml:space="preserve">, respectively. The seeds were then induced under a constant temperature of 30°C for three days. After the induced </w:t>
      </w:r>
      <w:r>
        <w:rPr>
          <w:rFonts w:ascii="Times New Roman" w:eastAsia="宋体" w:hAnsi="Times New Roman" w:cs="Times New Roman" w:hint="eastAsia"/>
          <w:sz w:val="20"/>
          <w:szCs w:val="20"/>
        </w:rPr>
        <w:t>pepper</w:t>
      </w:r>
      <w:r>
        <w:rPr>
          <w:rFonts w:ascii="Times New Roman" w:eastAsia="宋体" w:hAnsi="Times New Roman" w:cs="Times New Roman"/>
          <w:sz w:val="20"/>
          <w:szCs w:val="20"/>
        </w:rPr>
        <w:t xml:space="preserve"> plants developed growth points, leaves from these growth points were taken for ploidy identification, and the chromosome doubling rate was statistically analyzed. Following the initial data collection, the growth points of plants that failed to achieve induction were subjected to the same procedure three more times. Leaves from these growth points were then taken for ploidy identification, and the chromosome doubling rate was statistically analyzed again.</w:t>
      </w:r>
    </w:p>
    <w:p w14:paraId="35864486" w14:textId="77777777" w:rsidR="00A07E40" w:rsidRDefault="00000000">
      <w:pPr>
        <w:spacing w:line="360" w:lineRule="auto"/>
        <w:rPr>
          <w:rFonts w:ascii="Times New Roman" w:eastAsia="宋体" w:hAnsi="Times New Roman" w:cs="Times New Roman"/>
          <w:sz w:val="20"/>
          <w:szCs w:val="20"/>
        </w:rPr>
      </w:pPr>
      <w:r>
        <w:rPr>
          <w:rFonts w:ascii="Times New Roman" w:eastAsia="宋体" w:hAnsi="Times New Roman" w:cs="Times New Roman" w:hint="eastAsia"/>
          <w:sz w:val="20"/>
          <w:szCs w:val="20"/>
        </w:rPr>
        <w:t>From the above results, three concentrations with high chromosome multiplication rate were selected to act on the growth point of haploid pepper plants, and the chromosome multiplication rate was counted.</w:t>
      </w:r>
    </w:p>
    <w:p w14:paraId="2D6B85F8" w14:textId="2D872AEB" w:rsidR="00011678" w:rsidRPr="00A07E40" w:rsidRDefault="00000000">
      <w:pPr>
        <w:spacing w:line="360" w:lineRule="auto"/>
        <w:rPr>
          <w:rFonts w:ascii="Times New Roman" w:eastAsia="宋体" w:hAnsi="Times New Roman" w:cs="Times New Roman"/>
          <w:sz w:val="20"/>
          <w:szCs w:val="20"/>
        </w:rPr>
      </w:pPr>
      <w:r>
        <w:rPr>
          <w:rFonts w:ascii="Times New Roman" w:eastAsia="宋体" w:hAnsi="Times New Roman" w:cs="Times New Roman" w:hint="eastAsia"/>
          <w:b/>
          <w:bCs/>
          <w:sz w:val="24"/>
          <w:szCs w:val="24"/>
        </w:rPr>
        <w:t>Data analysis</w:t>
      </w:r>
    </w:p>
    <w:p w14:paraId="10FF3A7C" w14:textId="77777777" w:rsidR="00011678" w:rsidRDefault="00000000">
      <w:pPr>
        <w:spacing w:line="360" w:lineRule="auto"/>
        <w:rPr>
          <w:rFonts w:ascii="Times New Roman" w:eastAsia="宋体" w:hAnsi="Times New Roman" w:cs="Times New Roman"/>
          <w:sz w:val="20"/>
          <w:szCs w:val="20"/>
        </w:rPr>
      </w:pPr>
      <w:r>
        <w:rPr>
          <w:rFonts w:ascii="Times New Roman" w:eastAsia="宋体" w:hAnsi="Times New Roman" w:cs="Times New Roman" w:hint="eastAsia"/>
          <w:sz w:val="20"/>
          <w:szCs w:val="20"/>
        </w:rPr>
        <w:t>Data analyses were performed using SPSS Statistics 22. Metrics were calculated as following formulas:</w:t>
      </w:r>
    </w:p>
    <w:p w14:paraId="2A737426" w14:textId="77777777" w:rsidR="00011678" w:rsidRDefault="00000000">
      <w:pPr>
        <w:spacing w:line="360" w:lineRule="auto"/>
        <w:rPr>
          <w:rFonts w:ascii="Times New Roman" w:eastAsia="宋体" w:hAnsi="Times New Roman" w:cs="Times New Roman"/>
          <w:sz w:val="20"/>
          <w:szCs w:val="20"/>
        </w:rPr>
      </w:pPr>
      <w:r>
        <w:rPr>
          <w:rFonts w:ascii="Times New Roman" w:eastAsia="宋体" w:hAnsi="Times New Roman" w:cs="Times New Roman" w:hint="eastAsia"/>
          <w:sz w:val="20"/>
          <w:szCs w:val="20"/>
        </w:rPr>
        <w:t>Chromosome ploidy doubling rate=(Number of tetraploid pepper plants/Number of induced pepper seeds)</w:t>
      </w:r>
      <w:r>
        <w:rPr>
          <w:rFonts w:ascii="Times New Roman" w:eastAsia="宋体" w:hAnsi="Times New Roman" w:cs="Times New Roman" w:hint="eastAsia"/>
          <w:sz w:val="20"/>
          <w:szCs w:val="20"/>
        </w:rPr>
        <w:t>×</w:t>
      </w:r>
      <w:r>
        <w:rPr>
          <w:rFonts w:ascii="Times New Roman" w:eastAsia="宋体" w:hAnsi="Times New Roman" w:cs="Times New Roman" w:hint="eastAsia"/>
          <w:sz w:val="20"/>
          <w:szCs w:val="20"/>
        </w:rPr>
        <w:t>100%</w:t>
      </w:r>
    </w:p>
    <w:p w14:paraId="2A3BAC20" w14:textId="77777777" w:rsidR="00011678" w:rsidRDefault="00000000">
      <w:pPr>
        <w:spacing w:line="360" w:lineRule="auto"/>
        <w:rPr>
          <w:rFonts w:ascii="Times New Roman" w:eastAsia="宋体" w:hAnsi="Times New Roman" w:cs="Times New Roman"/>
          <w:sz w:val="20"/>
          <w:szCs w:val="20"/>
        </w:rPr>
      </w:pPr>
      <w:r>
        <w:rPr>
          <w:rFonts w:ascii="Times New Roman" w:eastAsia="宋体" w:hAnsi="Times New Roman" w:cs="Times New Roman" w:hint="eastAsia"/>
          <w:sz w:val="20"/>
          <w:szCs w:val="20"/>
        </w:rPr>
        <w:t>Embryoid formation rate=(Number of embryoid-forming anthers/Number of inoculated anthers)</w:t>
      </w:r>
      <w:r>
        <w:rPr>
          <w:rFonts w:ascii="Times New Roman" w:eastAsia="宋体" w:hAnsi="Times New Roman" w:cs="Times New Roman" w:hint="eastAsia"/>
          <w:sz w:val="20"/>
          <w:szCs w:val="20"/>
        </w:rPr>
        <w:t>×</w:t>
      </w:r>
      <w:r>
        <w:rPr>
          <w:rFonts w:ascii="Times New Roman" w:eastAsia="宋体" w:hAnsi="Times New Roman" w:cs="Times New Roman" w:hint="eastAsia"/>
          <w:sz w:val="20"/>
          <w:szCs w:val="20"/>
        </w:rPr>
        <w:t>100%</w:t>
      </w:r>
    </w:p>
    <w:p w14:paraId="4E4704B1" w14:textId="77777777" w:rsidR="00011678" w:rsidRDefault="00000000">
      <w:pPr>
        <w:spacing w:line="360" w:lineRule="auto"/>
        <w:rPr>
          <w:rFonts w:ascii="Times New Roman" w:eastAsia="宋体" w:hAnsi="Times New Roman" w:cs="Times New Roman"/>
          <w:sz w:val="20"/>
          <w:szCs w:val="20"/>
        </w:rPr>
      </w:pPr>
      <w:r>
        <w:rPr>
          <w:rFonts w:ascii="Times New Roman" w:eastAsia="宋体" w:hAnsi="Times New Roman" w:cs="Times New Roman" w:hint="eastAsia"/>
          <w:sz w:val="20"/>
          <w:szCs w:val="20"/>
        </w:rPr>
        <w:t>Regeneration rate=(Number of regenerated pepper plants/Number of embryoids)</w:t>
      </w:r>
      <w:r>
        <w:rPr>
          <w:rFonts w:ascii="Times New Roman" w:eastAsia="宋体" w:hAnsi="Times New Roman" w:cs="Times New Roman" w:hint="eastAsia"/>
          <w:sz w:val="20"/>
          <w:szCs w:val="20"/>
        </w:rPr>
        <w:t>×</w:t>
      </w:r>
      <w:r>
        <w:rPr>
          <w:rFonts w:ascii="Times New Roman" w:eastAsia="宋体" w:hAnsi="Times New Roman" w:cs="Times New Roman" w:hint="eastAsia"/>
          <w:sz w:val="20"/>
          <w:szCs w:val="20"/>
        </w:rPr>
        <w:t>100%</w:t>
      </w:r>
    </w:p>
    <w:p w14:paraId="308CD84B" w14:textId="2592A96E" w:rsidR="00011678" w:rsidRDefault="00000000" w:rsidP="00B66ED7">
      <w:pPr>
        <w:widowControl/>
        <w:spacing w:line="360" w:lineRule="auto"/>
        <w:jc w:val="left"/>
        <w:rPr>
          <w:rFonts w:ascii="Times New Roman" w:eastAsia="宋体" w:hAnsi="Times New Roman" w:cs="Times New Roman" w:hint="eastAsia"/>
          <w:sz w:val="20"/>
          <w:szCs w:val="20"/>
        </w:rPr>
        <w:sectPr w:rsidR="00011678">
          <w:pgSz w:w="11906" w:h="16838"/>
          <w:pgMar w:top="1440" w:right="1800" w:bottom="1440" w:left="1800" w:header="851" w:footer="992" w:gutter="0"/>
          <w:cols w:space="425"/>
          <w:docGrid w:type="lines" w:linePitch="312"/>
        </w:sectPr>
      </w:pPr>
      <w:r>
        <w:rPr>
          <w:rFonts w:ascii="Times New Roman" w:eastAsia="宋体" w:hAnsi="Times New Roman" w:cs="Times New Roman" w:hint="eastAsia"/>
          <w:sz w:val="20"/>
          <w:szCs w:val="20"/>
        </w:rPr>
        <w:lastRenderedPageBreak/>
        <w:t>Haploid induction rate=(Number of haploid plants/Number of regenerated plants)</w:t>
      </w:r>
      <w:r>
        <w:rPr>
          <w:rFonts w:ascii="Times New Roman" w:eastAsia="宋体" w:hAnsi="Times New Roman" w:cs="Times New Roman" w:hint="eastAsia"/>
          <w:sz w:val="20"/>
          <w:szCs w:val="20"/>
        </w:rPr>
        <w:t>×</w:t>
      </w:r>
      <w:r>
        <w:rPr>
          <w:rFonts w:ascii="Times New Roman" w:eastAsia="宋体" w:hAnsi="Times New Roman" w:cs="Times New Roman" w:hint="eastAsia"/>
          <w:sz w:val="20"/>
          <w:szCs w:val="20"/>
        </w:rPr>
        <w:t>100%</w:t>
      </w:r>
    </w:p>
    <w:p w14:paraId="36A6B8AC" w14:textId="53FDF494" w:rsidR="00011678" w:rsidRDefault="00011678">
      <w:pPr>
        <w:spacing w:line="360" w:lineRule="auto"/>
        <w:rPr>
          <w:rFonts w:ascii="Times New Roman" w:eastAsia="宋体" w:hAnsi="Times New Roman" w:cs="Times New Roman"/>
          <w:sz w:val="20"/>
          <w:szCs w:val="20"/>
        </w:rPr>
      </w:pPr>
    </w:p>
    <w:sectPr w:rsidR="000116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1177E" w14:textId="77777777" w:rsidR="00226CF3" w:rsidRDefault="00226CF3" w:rsidP="00A07E40">
      <w:pPr>
        <w:rPr>
          <w:rFonts w:hint="eastAsia"/>
        </w:rPr>
      </w:pPr>
      <w:r>
        <w:separator/>
      </w:r>
    </w:p>
  </w:endnote>
  <w:endnote w:type="continuationSeparator" w:id="0">
    <w:p w14:paraId="4B79A988" w14:textId="77777777" w:rsidR="00226CF3" w:rsidRDefault="00226CF3" w:rsidP="00A07E4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85FEF" w14:textId="77777777" w:rsidR="00226CF3" w:rsidRDefault="00226CF3" w:rsidP="00A07E40">
      <w:pPr>
        <w:rPr>
          <w:rFonts w:hint="eastAsia"/>
        </w:rPr>
      </w:pPr>
      <w:r>
        <w:separator/>
      </w:r>
    </w:p>
  </w:footnote>
  <w:footnote w:type="continuationSeparator" w:id="0">
    <w:p w14:paraId="62F5A8C1" w14:textId="77777777" w:rsidR="00226CF3" w:rsidRDefault="00226CF3" w:rsidP="00A07E4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6506"/>
    <w:multiLevelType w:val="multilevel"/>
    <w:tmpl w:val="0D076506"/>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501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E1A"/>
    <w:rsid w:val="00011678"/>
    <w:rsid w:val="0001639C"/>
    <w:rsid w:val="000201CA"/>
    <w:rsid w:val="000218E2"/>
    <w:rsid w:val="00035190"/>
    <w:rsid w:val="000451C9"/>
    <w:rsid w:val="000528A1"/>
    <w:rsid w:val="000653CE"/>
    <w:rsid w:val="0007344A"/>
    <w:rsid w:val="000807CE"/>
    <w:rsid w:val="000A082E"/>
    <w:rsid w:val="00164A3C"/>
    <w:rsid w:val="00164CFD"/>
    <w:rsid w:val="00197564"/>
    <w:rsid w:val="001B09A5"/>
    <w:rsid w:val="001B57E7"/>
    <w:rsid w:val="001C1698"/>
    <w:rsid w:val="001E66A4"/>
    <w:rsid w:val="001F0DDF"/>
    <w:rsid w:val="00213EEC"/>
    <w:rsid w:val="00215CDE"/>
    <w:rsid w:val="0022324D"/>
    <w:rsid w:val="00223D0F"/>
    <w:rsid w:val="00226CF3"/>
    <w:rsid w:val="00241C1F"/>
    <w:rsid w:val="00246ED5"/>
    <w:rsid w:val="002702FE"/>
    <w:rsid w:val="00271B11"/>
    <w:rsid w:val="00290543"/>
    <w:rsid w:val="002C28A5"/>
    <w:rsid w:val="002D60F7"/>
    <w:rsid w:val="002F3483"/>
    <w:rsid w:val="002F53D6"/>
    <w:rsid w:val="00315929"/>
    <w:rsid w:val="00320E43"/>
    <w:rsid w:val="00340E66"/>
    <w:rsid w:val="00381B0A"/>
    <w:rsid w:val="00381C33"/>
    <w:rsid w:val="00387696"/>
    <w:rsid w:val="00387C4C"/>
    <w:rsid w:val="00387E1A"/>
    <w:rsid w:val="003F1383"/>
    <w:rsid w:val="00405BCB"/>
    <w:rsid w:val="004251D5"/>
    <w:rsid w:val="00433422"/>
    <w:rsid w:val="00437343"/>
    <w:rsid w:val="004610C9"/>
    <w:rsid w:val="00474C5A"/>
    <w:rsid w:val="004F2EE8"/>
    <w:rsid w:val="004F6B62"/>
    <w:rsid w:val="00507B78"/>
    <w:rsid w:val="0052080A"/>
    <w:rsid w:val="00526148"/>
    <w:rsid w:val="00557048"/>
    <w:rsid w:val="00560437"/>
    <w:rsid w:val="00577655"/>
    <w:rsid w:val="005905D3"/>
    <w:rsid w:val="00597E26"/>
    <w:rsid w:val="00615554"/>
    <w:rsid w:val="0062785E"/>
    <w:rsid w:val="00640546"/>
    <w:rsid w:val="0064075D"/>
    <w:rsid w:val="0065774A"/>
    <w:rsid w:val="006A19D1"/>
    <w:rsid w:val="006A2F8E"/>
    <w:rsid w:val="00714C4E"/>
    <w:rsid w:val="00722EA9"/>
    <w:rsid w:val="00752864"/>
    <w:rsid w:val="007808CE"/>
    <w:rsid w:val="007A4060"/>
    <w:rsid w:val="007D5062"/>
    <w:rsid w:val="007E7E07"/>
    <w:rsid w:val="008002F2"/>
    <w:rsid w:val="00807E0B"/>
    <w:rsid w:val="00823120"/>
    <w:rsid w:val="008A2F0A"/>
    <w:rsid w:val="008B518D"/>
    <w:rsid w:val="008C6727"/>
    <w:rsid w:val="008E62F0"/>
    <w:rsid w:val="008F05FF"/>
    <w:rsid w:val="008F6632"/>
    <w:rsid w:val="00911464"/>
    <w:rsid w:val="0091196D"/>
    <w:rsid w:val="00957934"/>
    <w:rsid w:val="00965B83"/>
    <w:rsid w:val="00981D7A"/>
    <w:rsid w:val="0098316A"/>
    <w:rsid w:val="00996C08"/>
    <w:rsid w:val="009A5F1B"/>
    <w:rsid w:val="009D63E3"/>
    <w:rsid w:val="009E79CC"/>
    <w:rsid w:val="009F2A57"/>
    <w:rsid w:val="00A07E40"/>
    <w:rsid w:val="00A60764"/>
    <w:rsid w:val="00AB430A"/>
    <w:rsid w:val="00AD3537"/>
    <w:rsid w:val="00AE48B7"/>
    <w:rsid w:val="00B11566"/>
    <w:rsid w:val="00B13502"/>
    <w:rsid w:val="00B31B1C"/>
    <w:rsid w:val="00B65810"/>
    <w:rsid w:val="00B66ED7"/>
    <w:rsid w:val="00B7008E"/>
    <w:rsid w:val="00B87747"/>
    <w:rsid w:val="00B952D9"/>
    <w:rsid w:val="00BA23C1"/>
    <w:rsid w:val="00BA5869"/>
    <w:rsid w:val="00BC44CB"/>
    <w:rsid w:val="00BD14E5"/>
    <w:rsid w:val="00C01F68"/>
    <w:rsid w:val="00C12797"/>
    <w:rsid w:val="00C241B7"/>
    <w:rsid w:val="00C32707"/>
    <w:rsid w:val="00C330C6"/>
    <w:rsid w:val="00C64A91"/>
    <w:rsid w:val="00C740BC"/>
    <w:rsid w:val="00C767D4"/>
    <w:rsid w:val="00CB2CF6"/>
    <w:rsid w:val="00CB6A77"/>
    <w:rsid w:val="00CC08CA"/>
    <w:rsid w:val="00CC4D03"/>
    <w:rsid w:val="00D04B6F"/>
    <w:rsid w:val="00D325D0"/>
    <w:rsid w:val="00D3623F"/>
    <w:rsid w:val="00D41D1D"/>
    <w:rsid w:val="00D625A7"/>
    <w:rsid w:val="00D66ECA"/>
    <w:rsid w:val="00D714F8"/>
    <w:rsid w:val="00D912CB"/>
    <w:rsid w:val="00D92C2C"/>
    <w:rsid w:val="00DE335C"/>
    <w:rsid w:val="00DE4C9E"/>
    <w:rsid w:val="00DF646A"/>
    <w:rsid w:val="00E46F48"/>
    <w:rsid w:val="00E776B2"/>
    <w:rsid w:val="00E804B1"/>
    <w:rsid w:val="00E82B6E"/>
    <w:rsid w:val="00EB307F"/>
    <w:rsid w:val="00EF1299"/>
    <w:rsid w:val="00EF1F4F"/>
    <w:rsid w:val="00EF4AB6"/>
    <w:rsid w:val="00EF5E47"/>
    <w:rsid w:val="00EF6106"/>
    <w:rsid w:val="00F54345"/>
    <w:rsid w:val="00F75A47"/>
    <w:rsid w:val="00FA4633"/>
    <w:rsid w:val="00FC32A6"/>
    <w:rsid w:val="00FD1F1D"/>
    <w:rsid w:val="1D5C57C8"/>
    <w:rsid w:val="35301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79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qFormat/>
    <w:rPr>
      <w:color w:val="0563C1" w:themeColor="hyperlink"/>
      <w:u w:val="single"/>
    </w:rPr>
  </w:style>
  <w:style w:type="character" w:styleId="ad">
    <w:name w:val="annotation reference"/>
    <w:basedOn w:val="a0"/>
    <w:uiPriority w:val="99"/>
    <w:semiHidden/>
    <w:unhideWhenUsed/>
    <w:qFormat/>
    <w:rPr>
      <w:sz w:val="21"/>
      <w:szCs w:val="21"/>
    </w:rPr>
  </w:style>
  <w:style w:type="table" w:customStyle="1" w:styleId="ae">
    <w:name w:val="三线表"/>
    <w:basedOn w:val="a1"/>
    <w:uiPriority w:val="99"/>
    <w:qFormat/>
    <w:rPr>
      <w:rFonts w:eastAsia="微软雅黑"/>
      <w:sz w:val="28"/>
    </w:rPr>
    <w:tblPr/>
    <w:tblStylePr w:type="firstRow">
      <w:rPr>
        <w:rFonts w:eastAsia="微软雅黑"/>
        <w:sz w:val="28"/>
      </w:rPr>
      <w:tblPr/>
      <w:tcPr>
        <w:tcBorders>
          <w:top w:val="single" w:sz="4" w:space="0" w:color="auto"/>
          <w:left w:val="nil"/>
          <w:bottom w:val="nil"/>
          <w:right w:val="nil"/>
          <w:insideH w:val="nil"/>
          <w:insideV w:val="nil"/>
          <w:tl2br w:val="nil"/>
          <w:tr2bl w:val="nil"/>
        </w:tcBorders>
      </w:tcPr>
    </w:tblStylePr>
    <w:tblStylePr w:type="lastRow">
      <w:tblPr/>
      <w:tcPr>
        <w:tcBorders>
          <w:top w:val="nil"/>
          <w:left w:val="nil"/>
          <w:bottom w:val="single" w:sz="4" w:space="0" w:color="auto"/>
          <w:right w:val="nil"/>
          <w:insideH w:val="nil"/>
          <w:insideV w:val="nil"/>
          <w:tl2br w:val="nil"/>
          <w:tr2bl w:val="nil"/>
        </w:tcBorders>
      </w:tcPr>
    </w:tblStylePr>
    <w:tblStylePr w:type="firstCol">
      <w:pPr>
        <w:jc w:val="center"/>
      </w:pPr>
      <w:rPr>
        <w:rFonts w:eastAsia="宋体"/>
        <w:sz w:val="44"/>
      </w:rPr>
      <w:tblPr/>
      <w:tcPr>
        <w:tcBorders>
          <w:top w:val="single" w:sz="12" w:space="0" w:color="auto"/>
          <w:left w:val="nil"/>
          <w:bottom w:val="single" w:sz="12" w:space="0" w:color="auto"/>
          <w:right w:val="nil"/>
          <w:insideH w:val="nil"/>
          <w:insideV w:val="nil"/>
          <w:tl2br w:val="nil"/>
          <w:tr2bl w:val="nil"/>
        </w:tcBorders>
      </w:tcPr>
    </w:tblStyle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f">
    <w:name w:val="List Paragraph"/>
    <w:basedOn w:val="a"/>
    <w:uiPriority w:val="34"/>
    <w:qFormat/>
    <w:pPr>
      <w:ind w:firstLineChars="200" w:firstLine="420"/>
    </w:pPr>
  </w:style>
  <w:style w:type="character" w:customStyle="1" w:styleId="1">
    <w:name w:val="未处理的提及1"/>
    <w:basedOn w:val="a0"/>
    <w:uiPriority w:val="99"/>
    <w:semiHidden/>
    <w:unhideWhenUsed/>
    <w:qFormat/>
    <w:rPr>
      <w:color w:val="605E5C"/>
      <w:shd w:val="clear" w:color="auto" w:fill="E1DFDD"/>
    </w:rPr>
  </w:style>
  <w:style w:type="paragraph" w:customStyle="1" w:styleId="10">
    <w:name w:val="修订1"/>
    <w:hidden/>
    <w:uiPriority w:val="99"/>
    <w:semiHidden/>
    <w:qFormat/>
    <w:rPr>
      <w:kern w:val="2"/>
      <w:sz w:val="21"/>
      <w:szCs w:val="22"/>
    </w:rPr>
  </w:style>
  <w:style w:type="character" w:customStyle="1" w:styleId="a4">
    <w:name w:val="批注文字 字符"/>
    <w:basedOn w:val="a0"/>
    <w:link w:val="a3"/>
    <w:uiPriority w:val="99"/>
    <w:qFormat/>
  </w:style>
  <w:style w:type="character" w:customStyle="1" w:styleId="aa">
    <w:name w:val="批注主题 字符"/>
    <w:basedOn w:val="a4"/>
    <w:link w:val="a9"/>
    <w:uiPriority w:val="99"/>
    <w:semiHidden/>
    <w:qFormat/>
    <w:rPr>
      <w:b/>
      <w:bCs/>
    </w:rPr>
  </w:style>
  <w:style w:type="paragraph" w:customStyle="1" w:styleId="2">
    <w:name w:val="修订2"/>
    <w:hidden/>
    <w:uiPriority w:val="99"/>
    <w:unhideWhenUse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384</Words>
  <Characters>2189</Characters>
  <Application>Microsoft Office Word</Application>
  <DocSecurity>0</DocSecurity>
  <Lines>18</Lines>
  <Paragraphs>5</Paragraphs>
  <ScaleCrop>false</ScaleCrop>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2025-12-16T08:35:00Z</dcterms:created>
  <dcterms:modified xsi:type="dcterms:W3CDTF">2025-12-16T08:35:00Z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eyJoZGlkIjoiY2JmZGU1Yzc3YmVmYzU2NzQ1NDdlMjA2ZjZlY2NjMjUiLCJ1c2VySWQiOiIxNjI1NTk4MDYwIn0=</vt:lpwstr>
  </property>
  <property fmtid="{D5CDD505-2E9C-101B-9397-08002B2CF9AE}" pid="3" name="KSOProductBuildVer">
    <vt:lpwstr>2052-12.1.0.23542</vt:lpwstr>
  </property>
  <property fmtid="{D5CDD505-2E9C-101B-9397-08002B2CF9AE}" pid="4" name="ICV">
    <vt:lpwstr>77D5246DBDEF40F9943BDFC274EF6971_13</vt:lpwstr>
  </property>
</Properties>
</file>