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F82" w:rsidRPr="000E2FC3" w:rsidRDefault="000E2FC3">
      <w:pPr>
        <w:spacing w:line="360" w:lineRule="auto"/>
        <w:rPr>
          <w:rFonts w:ascii="Times New Roman" w:hAnsi="Times New Roman" w:cs="Times New Roman"/>
          <w:b/>
          <w:sz w:val="20"/>
          <w:szCs w:val="20"/>
          <w:lang w:val="en-GB"/>
        </w:rPr>
      </w:pPr>
      <w:r w:rsidRPr="000E2FC3">
        <w:rPr>
          <w:rFonts w:ascii="Times New Roman" w:hAnsi="Times New Roman" w:cs="Times New Roman"/>
          <w:b/>
          <w:sz w:val="20"/>
          <w:szCs w:val="20"/>
          <w:lang w:val="en-GB"/>
        </w:rPr>
        <w:t>Appendix</w:t>
      </w:r>
      <w:r w:rsidRPr="000E2FC3">
        <w:rPr>
          <w:rFonts w:ascii="Times New Roman" w:hAnsi="Times New Roman" w:cs="Times New Roman"/>
          <w:b/>
          <w:sz w:val="20"/>
          <w:szCs w:val="20"/>
        </w:rPr>
        <w:t xml:space="preserve"> 1. </w:t>
      </w:r>
      <w:r w:rsidRPr="000E2FC3">
        <w:rPr>
          <w:rFonts w:ascii="Times New Roman" w:hAnsi="Times New Roman" w:cs="Times New Roman"/>
          <w:b/>
          <w:sz w:val="20"/>
          <w:szCs w:val="20"/>
          <w:lang w:val="en-GB"/>
        </w:rPr>
        <w:t xml:space="preserve">Description of </w:t>
      </w:r>
      <w:r w:rsidRPr="000E2FC3">
        <w:rPr>
          <w:rFonts w:ascii="Times New Roman" w:hAnsi="Times New Roman" w:cs="Times New Roman"/>
          <w:b/>
          <w:sz w:val="20"/>
          <w:szCs w:val="20"/>
        </w:rPr>
        <w:t xml:space="preserve">Case Studies of Participatory Planning </w:t>
      </w:r>
      <w:r w:rsidRPr="000E2FC3">
        <w:rPr>
          <w:rFonts w:ascii="Times New Roman" w:hAnsi="Times New Roman" w:cs="Times New Roman"/>
          <w:b/>
          <w:sz w:val="20"/>
          <w:szCs w:val="20"/>
          <w:lang w:val="en-GB"/>
        </w:rPr>
        <w:t xml:space="preserve">Approaches </w:t>
      </w:r>
      <w:r w:rsidRPr="000E2FC3">
        <w:rPr>
          <w:rFonts w:ascii="Times New Roman" w:hAnsi="Times New Roman" w:cs="Times New Roman"/>
          <w:b/>
          <w:sz w:val="20"/>
          <w:szCs w:val="20"/>
        </w:rPr>
        <w:t>for Informal Settlements/Slums Upgrading</w:t>
      </w:r>
      <w:r w:rsidRPr="000E2FC3">
        <w:rPr>
          <w:rFonts w:ascii="Times New Roman" w:hAnsi="Times New Roman" w:cs="Times New Roman"/>
          <w:b/>
          <w:sz w:val="20"/>
          <w:szCs w:val="20"/>
          <w:lang w:val="en-GB"/>
        </w:rPr>
        <w:t xml:space="preserve"> in Low-Income Regions</w:t>
      </w:r>
    </w:p>
    <w:tbl>
      <w:tblPr>
        <w:tblStyle w:val="Style10"/>
        <w:tblW w:w="14937" w:type="dxa"/>
        <w:tblInd w:w="-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4"/>
        <w:gridCol w:w="1137"/>
        <w:gridCol w:w="1586"/>
        <w:gridCol w:w="1134"/>
        <w:gridCol w:w="1134"/>
        <w:gridCol w:w="851"/>
        <w:gridCol w:w="1276"/>
        <w:gridCol w:w="1275"/>
        <w:gridCol w:w="851"/>
        <w:gridCol w:w="1276"/>
        <w:gridCol w:w="1701"/>
        <w:gridCol w:w="1842"/>
      </w:tblGrid>
      <w:tr w:rsidR="000E2FC3" w:rsidRPr="000E2FC3">
        <w:trPr>
          <w:trHeight w:val="2549"/>
        </w:trPr>
        <w:tc>
          <w:tcPr>
            <w:tcW w:w="874" w:type="dxa"/>
          </w:tcPr>
          <w:p w:rsidR="00310F82" w:rsidRPr="000E2FC3" w:rsidRDefault="000E2FC3">
            <w:pPr>
              <w:spacing w:after="0" w:line="360" w:lineRule="auto"/>
              <w:rPr>
                <w:rFonts w:ascii="Times New Roman" w:eastAsia="Times New Roman" w:hAnsi="Times New Roman" w:cs="Times New Roman"/>
                <w:b/>
                <w:sz w:val="20"/>
                <w:szCs w:val="20"/>
              </w:rPr>
            </w:pPr>
            <w:r w:rsidRPr="000E2FC3">
              <w:rPr>
                <w:rFonts w:ascii="Times New Roman" w:eastAsia="Times New Roman" w:hAnsi="Times New Roman" w:cs="Times New Roman"/>
                <w:b/>
                <w:sz w:val="20"/>
                <w:szCs w:val="20"/>
              </w:rPr>
              <w:t xml:space="preserve">Reference </w:t>
            </w:r>
          </w:p>
        </w:tc>
        <w:tc>
          <w:tcPr>
            <w:tcW w:w="1137" w:type="dxa"/>
          </w:tcPr>
          <w:p w:rsidR="00310F82" w:rsidRPr="000E2FC3" w:rsidRDefault="000E2FC3">
            <w:pPr>
              <w:spacing w:after="0" w:line="240" w:lineRule="auto"/>
              <w:rPr>
                <w:rFonts w:ascii="Times New Roman" w:eastAsia="Times New Roman" w:hAnsi="Times New Roman" w:cs="Times New Roman"/>
                <w:b/>
                <w:sz w:val="20"/>
                <w:szCs w:val="20"/>
              </w:rPr>
            </w:pPr>
            <w:r w:rsidRPr="000E2FC3">
              <w:rPr>
                <w:rFonts w:ascii="Times New Roman" w:eastAsia="Times New Roman" w:hAnsi="Times New Roman" w:cs="Times New Roman"/>
                <w:b/>
                <w:sz w:val="20"/>
                <w:szCs w:val="20"/>
              </w:rPr>
              <w:t>Type(s) of participatory approach</w:t>
            </w:r>
            <w:r w:rsidRPr="000E2FC3">
              <w:rPr>
                <w:rFonts w:ascii="Times New Roman" w:eastAsia="Times New Roman" w:hAnsi="Times New Roman" w:cs="Times New Roman"/>
                <w:b/>
                <w:sz w:val="20"/>
                <w:szCs w:val="20"/>
                <w:lang w:val="en-GB"/>
              </w:rPr>
              <w:t xml:space="preserve"> </w:t>
            </w:r>
            <w:r w:rsidRPr="000E2FC3">
              <w:rPr>
                <w:rFonts w:ascii="Times New Roman" w:eastAsia="Times New Roman" w:hAnsi="Times New Roman" w:cs="Times New Roman"/>
                <w:b/>
                <w:sz w:val="20"/>
                <w:szCs w:val="20"/>
              </w:rPr>
              <w:t>(es) and tools used</w:t>
            </w:r>
          </w:p>
        </w:tc>
        <w:tc>
          <w:tcPr>
            <w:tcW w:w="1586" w:type="dxa"/>
          </w:tcPr>
          <w:p w:rsidR="00310F82" w:rsidRPr="000E2FC3" w:rsidRDefault="000E2FC3">
            <w:pPr>
              <w:spacing w:after="0" w:line="240" w:lineRule="auto"/>
              <w:rPr>
                <w:rFonts w:ascii="Times New Roman" w:eastAsia="Times New Roman" w:hAnsi="Times New Roman" w:cs="Times New Roman"/>
                <w:b/>
                <w:sz w:val="20"/>
                <w:szCs w:val="20"/>
              </w:rPr>
            </w:pPr>
            <w:r w:rsidRPr="000E2FC3">
              <w:rPr>
                <w:rFonts w:ascii="Times New Roman" w:eastAsia="Times New Roman" w:hAnsi="Times New Roman" w:cs="Times New Roman"/>
                <w:b/>
                <w:sz w:val="20"/>
                <w:szCs w:val="20"/>
              </w:rPr>
              <w:t xml:space="preserve">Nature </w:t>
            </w:r>
            <w:r w:rsidRPr="000E2FC3">
              <w:rPr>
                <w:rFonts w:ascii="Times New Roman" w:eastAsia="Times New Roman" w:hAnsi="Times New Roman" w:cs="Times New Roman"/>
                <w:b/>
                <w:sz w:val="20"/>
                <w:szCs w:val="20"/>
                <w:lang w:val="en-GB"/>
              </w:rPr>
              <w:t xml:space="preserve">and function </w:t>
            </w:r>
            <w:r w:rsidRPr="000E2FC3">
              <w:rPr>
                <w:rFonts w:ascii="Times New Roman" w:eastAsia="Times New Roman" w:hAnsi="Times New Roman" w:cs="Times New Roman"/>
                <w:b/>
                <w:sz w:val="20"/>
                <w:szCs w:val="20"/>
              </w:rPr>
              <w:t>of the slum upgraded</w:t>
            </w:r>
          </w:p>
        </w:tc>
        <w:tc>
          <w:tcPr>
            <w:tcW w:w="1134" w:type="dxa"/>
          </w:tcPr>
          <w:p w:rsidR="00310F82" w:rsidRPr="000E2FC3" w:rsidRDefault="000E2FC3">
            <w:pPr>
              <w:spacing w:after="0" w:line="240" w:lineRule="auto"/>
              <w:rPr>
                <w:rFonts w:ascii="Times New Roman" w:eastAsia="Times New Roman" w:hAnsi="Times New Roman" w:cs="Times New Roman"/>
                <w:b/>
                <w:sz w:val="20"/>
                <w:szCs w:val="20"/>
              </w:rPr>
            </w:pPr>
            <w:r w:rsidRPr="000E2FC3">
              <w:rPr>
                <w:rFonts w:ascii="Times New Roman" w:eastAsia="Times New Roman" w:hAnsi="Times New Roman" w:cs="Times New Roman"/>
                <w:b/>
                <w:sz w:val="20"/>
                <w:szCs w:val="20"/>
              </w:rPr>
              <w:t>Challenges facing the slum</w:t>
            </w:r>
          </w:p>
          <w:p w:rsidR="00310F82" w:rsidRPr="000E2FC3" w:rsidRDefault="00310F82">
            <w:pPr>
              <w:spacing w:after="0" w:line="240" w:lineRule="auto"/>
              <w:rPr>
                <w:rFonts w:ascii="Times New Roman" w:eastAsia="Times New Roman" w:hAnsi="Times New Roman" w:cs="Times New Roman"/>
                <w:b/>
                <w:sz w:val="20"/>
                <w:szCs w:val="20"/>
              </w:rPr>
            </w:pPr>
          </w:p>
        </w:tc>
        <w:tc>
          <w:tcPr>
            <w:tcW w:w="1134" w:type="dxa"/>
          </w:tcPr>
          <w:p w:rsidR="00310F82" w:rsidRPr="000E2FC3" w:rsidRDefault="000E2FC3">
            <w:pPr>
              <w:spacing w:after="0" w:line="240" w:lineRule="auto"/>
              <w:rPr>
                <w:rFonts w:ascii="Times New Roman" w:eastAsia="Times New Roman" w:hAnsi="Times New Roman" w:cs="Times New Roman"/>
                <w:b/>
                <w:sz w:val="20"/>
                <w:szCs w:val="20"/>
              </w:rPr>
            </w:pPr>
            <w:r w:rsidRPr="000E2FC3">
              <w:rPr>
                <w:rFonts w:ascii="Times New Roman" w:eastAsia="Times New Roman" w:hAnsi="Times New Roman" w:cs="Times New Roman"/>
                <w:b/>
                <w:sz w:val="20"/>
                <w:szCs w:val="20"/>
              </w:rPr>
              <w:t xml:space="preserve">Scale/size of the </w:t>
            </w:r>
            <w:r w:rsidRPr="000E2FC3">
              <w:rPr>
                <w:rFonts w:ascii="Times New Roman" w:eastAsia="Times New Roman" w:hAnsi="Times New Roman" w:cs="Times New Roman"/>
                <w:b/>
                <w:sz w:val="20"/>
                <w:szCs w:val="20"/>
                <w:lang w:val="en-GB"/>
              </w:rPr>
              <w:t>upgrading project</w:t>
            </w:r>
          </w:p>
        </w:tc>
        <w:tc>
          <w:tcPr>
            <w:tcW w:w="851" w:type="dxa"/>
          </w:tcPr>
          <w:p w:rsidR="00310F82" w:rsidRPr="000E2FC3" w:rsidRDefault="000E2FC3">
            <w:pPr>
              <w:spacing w:after="0" w:line="240" w:lineRule="auto"/>
              <w:rPr>
                <w:rFonts w:ascii="Times New Roman" w:eastAsia="Times New Roman" w:hAnsi="Times New Roman" w:cs="Times New Roman"/>
                <w:b/>
                <w:sz w:val="20"/>
                <w:szCs w:val="20"/>
              </w:rPr>
            </w:pPr>
            <w:r w:rsidRPr="000E2FC3">
              <w:rPr>
                <w:rFonts w:ascii="Times New Roman" w:eastAsia="Times New Roman" w:hAnsi="Times New Roman" w:cs="Times New Roman"/>
                <w:b/>
                <w:sz w:val="20"/>
                <w:szCs w:val="20"/>
                <w:lang w:val="en-GB"/>
              </w:rPr>
              <w:t>C</w:t>
            </w:r>
            <w:r w:rsidRPr="000E2FC3">
              <w:rPr>
                <w:rFonts w:ascii="Times New Roman" w:eastAsia="Times New Roman" w:hAnsi="Times New Roman" w:cs="Times New Roman"/>
                <w:b/>
                <w:sz w:val="20"/>
                <w:szCs w:val="20"/>
              </w:rPr>
              <w:t>ommon features of the approach used</w:t>
            </w:r>
          </w:p>
        </w:tc>
        <w:tc>
          <w:tcPr>
            <w:tcW w:w="1276" w:type="dxa"/>
          </w:tcPr>
          <w:p w:rsidR="00310F82" w:rsidRPr="000E2FC3" w:rsidRDefault="000E2FC3">
            <w:pPr>
              <w:spacing w:after="0" w:line="240" w:lineRule="auto"/>
              <w:rPr>
                <w:rFonts w:ascii="Times New Roman" w:eastAsia="Times New Roman" w:hAnsi="Times New Roman" w:cs="Times New Roman"/>
                <w:b/>
                <w:sz w:val="20"/>
                <w:szCs w:val="20"/>
              </w:rPr>
            </w:pPr>
            <w:r w:rsidRPr="000E2FC3">
              <w:rPr>
                <w:rFonts w:ascii="Times New Roman" w:eastAsia="Times New Roman" w:hAnsi="Times New Roman" w:cs="Times New Roman"/>
                <w:b/>
                <w:sz w:val="20"/>
                <w:szCs w:val="20"/>
              </w:rPr>
              <w:t>Nature of upgrading priorities (infrastructure, economy, env</w:t>
            </w:r>
            <w:bookmarkStart w:id="0" w:name="_GoBack"/>
            <w:bookmarkEnd w:id="0"/>
            <w:r w:rsidRPr="000E2FC3">
              <w:rPr>
                <w:rFonts w:ascii="Times New Roman" w:eastAsia="Times New Roman" w:hAnsi="Times New Roman" w:cs="Times New Roman"/>
                <w:b/>
                <w:sz w:val="20"/>
                <w:szCs w:val="20"/>
              </w:rPr>
              <w:t xml:space="preserve">ironment, and others) </w:t>
            </w:r>
          </w:p>
        </w:tc>
        <w:tc>
          <w:tcPr>
            <w:tcW w:w="1275" w:type="dxa"/>
          </w:tcPr>
          <w:p w:rsidR="00310F82" w:rsidRPr="000E2FC3" w:rsidRDefault="000E2FC3">
            <w:pPr>
              <w:spacing w:after="0" w:line="240" w:lineRule="auto"/>
              <w:rPr>
                <w:rFonts w:ascii="Times New Roman" w:eastAsia="Times New Roman" w:hAnsi="Times New Roman" w:cs="Times New Roman"/>
                <w:b/>
                <w:sz w:val="20"/>
                <w:szCs w:val="20"/>
              </w:rPr>
            </w:pPr>
            <w:r w:rsidRPr="000E2FC3">
              <w:rPr>
                <w:rFonts w:ascii="Times New Roman" w:eastAsia="Times New Roman" w:hAnsi="Times New Roman" w:cs="Times New Roman"/>
                <w:b/>
                <w:sz w:val="20"/>
                <w:szCs w:val="20"/>
              </w:rPr>
              <w:t xml:space="preserve">Nature of community engagement </w:t>
            </w:r>
          </w:p>
        </w:tc>
        <w:tc>
          <w:tcPr>
            <w:tcW w:w="851" w:type="dxa"/>
          </w:tcPr>
          <w:p w:rsidR="00310F82" w:rsidRPr="000E2FC3" w:rsidRDefault="000E2FC3">
            <w:pPr>
              <w:spacing w:after="0" w:line="240" w:lineRule="auto"/>
              <w:rPr>
                <w:rFonts w:ascii="Times New Roman" w:eastAsia="Times New Roman" w:hAnsi="Times New Roman" w:cs="Times New Roman"/>
                <w:b/>
                <w:sz w:val="20"/>
                <w:szCs w:val="20"/>
              </w:rPr>
            </w:pPr>
            <w:r w:rsidRPr="000E2FC3">
              <w:rPr>
                <w:rFonts w:ascii="Times New Roman" w:eastAsia="Times New Roman" w:hAnsi="Times New Roman" w:cs="Times New Roman"/>
                <w:b/>
                <w:sz w:val="20"/>
                <w:szCs w:val="20"/>
              </w:rPr>
              <w:t>Length of community engagement</w:t>
            </w:r>
          </w:p>
        </w:tc>
        <w:tc>
          <w:tcPr>
            <w:tcW w:w="1276" w:type="dxa"/>
          </w:tcPr>
          <w:p w:rsidR="00310F82" w:rsidRPr="000E2FC3" w:rsidRDefault="000E2FC3">
            <w:pPr>
              <w:spacing w:after="0" w:line="240" w:lineRule="auto"/>
              <w:rPr>
                <w:rFonts w:ascii="Times New Roman" w:eastAsia="Times New Roman" w:hAnsi="Times New Roman" w:cs="Times New Roman"/>
                <w:b/>
                <w:sz w:val="20"/>
                <w:szCs w:val="20"/>
              </w:rPr>
            </w:pPr>
            <w:r w:rsidRPr="000E2FC3">
              <w:rPr>
                <w:rFonts w:ascii="Times New Roman" w:eastAsia="Times New Roman" w:hAnsi="Times New Roman" w:cs="Times New Roman"/>
                <w:b/>
                <w:sz w:val="20"/>
                <w:szCs w:val="20"/>
              </w:rPr>
              <w:t>Outcome o</w:t>
            </w:r>
            <w:r w:rsidRPr="000E2FC3">
              <w:rPr>
                <w:rFonts w:ascii="Times New Roman" w:eastAsia="Times New Roman" w:hAnsi="Times New Roman" w:cs="Times New Roman"/>
                <w:b/>
                <w:sz w:val="20"/>
                <w:szCs w:val="20"/>
              </w:rPr>
              <w:t>f approach/techniques (</w:t>
            </w:r>
            <w:r w:rsidRPr="000E2FC3">
              <w:rPr>
                <w:rFonts w:ascii="Times New Roman" w:eastAsia="Times New Roman" w:hAnsi="Times New Roman" w:cs="Times New Roman"/>
                <w:b/>
                <w:sz w:val="20"/>
                <w:szCs w:val="20"/>
                <w:lang w:val="en-GB"/>
              </w:rPr>
              <w:t xml:space="preserve">or </w:t>
            </w:r>
            <w:r w:rsidRPr="000E2FC3">
              <w:rPr>
                <w:rFonts w:ascii="Times New Roman" w:eastAsia="Times New Roman" w:hAnsi="Times New Roman" w:cs="Times New Roman"/>
                <w:b/>
                <w:sz w:val="20"/>
                <w:szCs w:val="20"/>
              </w:rPr>
              <w:t>any measurable indicator related to quality of life)</w:t>
            </w:r>
          </w:p>
        </w:tc>
        <w:tc>
          <w:tcPr>
            <w:tcW w:w="1701" w:type="dxa"/>
          </w:tcPr>
          <w:p w:rsidR="00310F82" w:rsidRPr="000E2FC3" w:rsidRDefault="000E2FC3">
            <w:pPr>
              <w:spacing w:after="0" w:line="240" w:lineRule="auto"/>
              <w:rPr>
                <w:rFonts w:ascii="Times New Roman" w:eastAsia="Times New Roman" w:hAnsi="Times New Roman" w:cs="Times New Roman"/>
                <w:b/>
                <w:sz w:val="20"/>
                <w:szCs w:val="20"/>
              </w:rPr>
            </w:pPr>
            <w:r w:rsidRPr="000E2FC3">
              <w:rPr>
                <w:rFonts w:ascii="Times New Roman" w:eastAsia="Times New Roman" w:hAnsi="Times New Roman" w:cs="Times New Roman"/>
                <w:b/>
                <w:sz w:val="20"/>
                <w:szCs w:val="20"/>
              </w:rPr>
              <w:t xml:space="preserve">Strength of the approach (e.g., </w:t>
            </w:r>
            <w:r w:rsidRPr="000E2FC3">
              <w:rPr>
                <w:rFonts w:ascii="Times New Roman" w:eastAsia="Times New Roman" w:hAnsi="Times New Roman" w:cs="Times New Roman"/>
                <w:b/>
                <w:sz w:val="20"/>
                <w:szCs w:val="20"/>
                <w:lang w:val="en-GB"/>
              </w:rPr>
              <w:t>approach</w:t>
            </w:r>
            <w:r w:rsidRPr="000E2FC3">
              <w:rPr>
                <w:rFonts w:ascii="Times New Roman" w:eastAsia="Times New Roman" w:hAnsi="Times New Roman" w:cs="Times New Roman"/>
                <w:b/>
                <w:sz w:val="20"/>
                <w:szCs w:val="20"/>
              </w:rPr>
              <w:t>/t</w:t>
            </w:r>
            <w:r w:rsidRPr="000E2FC3">
              <w:rPr>
                <w:rFonts w:ascii="Times New Roman" w:eastAsia="Times New Roman" w:hAnsi="Times New Roman" w:cs="Times New Roman"/>
                <w:b/>
                <w:sz w:val="20"/>
                <w:szCs w:val="20"/>
                <w:lang w:val="en-GB"/>
              </w:rPr>
              <w:t>ools</w:t>
            </w:r>
            <w:r w:rsidRPr="000E2FC3">
              <w:rPr>
                <w:rFonts w:ascii="Times New Roman" w:eastAsia="Times New Roman" w:hAnsi="Times New Roman" w:cs="Times New Roman"/>
                <w:b/>
                <w:sz w:val="20"/>
                <w:szCs w:val="20"/>
              </w:rPr>
              <w:t xml:space="preserve"> that generated the most participation or was most innovative</w:t>
            </w:r>
          </w:p>
        </w:tc>
        <w:tc>
          <w:tcPr>
            <w:tcW w:w="1842" w:type="dxa"/>
          </w:tcPr>
          <w:p w:rsidR="00310F82" w:rsidRPr="000E2FC3" w:rsidRDefault="000E2FC3">
            <w:pPr>
              <w:spacing w:after="0" w:line="240" w:lineRule="auto"/>
              <w:rPr>
                <w:rFonts w:ascii="Times New Roman" w:eastAsia="Times New Roman" w:hAnsi="Times New Roman" w:cs="Times New Roman"/>
                <w:b/>
                <w:sz w:val="20"/>
                <w:szCs w:val="20"/>
              </w:rPr>
            </w:pPr>
            <w:r w:rsidRPr="000E2FC3">
              <w:rPr>
                <w:rFonts w:ascii="Times New Roman" w:eastAsia="Times New Roman" w:hAnsi="Times New Roman" w:cs="Times New Roman"/>
                <w:b/>
                <w:sz w:val="20"/>
                <w:szCs w:val="20"/>
              </w:rPr>
              <w:t>Knowledge gaps (e.g., weaknesses or challenges with the approach)</w:t>
            </w:r>
          </w:p>
        </w:tc>
      </w:tr>
      <w:tr w:rsidR="000E2FC3" w:rsidRPr="000E2FC3">
        <w:trPr>
          <w:trHeight w:val="230"/>
        </w:trPr>
        <w:tc>
          <w:tcPr>
            <w:tcW w:w="87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(Akmentiņa, 2020)</w:t>
            </w:r>
          </w:p>
          <w:p w:rsidR="00310F82" w:rsidRPr="000E2FC3" w:rsidRDefault="00310F82">
            <w:pPr>
              <w:spacing w:after="0" w:line="360" w:lineRule="auto"/>
              <w:rPr>
                <w:rFonts w:ascii="Times New Roman" w:eastAsia="Times New Roman" w:hAnsi="Times New Roman" w:cs="Times New Roman"/>
                <w:sz w:val="20"/>
                <w:szCs w:val="20"/>
              </w:rPr>
            </w:pPr>
          </w:p>
        </w:tc>
        <w:tc>
          <w:tcPr>
            <w:tcW w:w="1137" w:type="dxa"/>
          </w:tcPr>
          <w:p w:rsidR="00310F82" w:rsidRPr="000E2FC3" w:rsidRDefault="000E2FC3">
            <w:pPr>
              <w:spacing w:after="0" w:line="360" w:lineRule="auto"/>
              <w:rPr>
                <w:rFonts w:ascii="Times New Roman" w:hAnsi="Times New Roman" w:cs="Times New Roman"/>
                <w:sz w:val="20"/>
                <w:szCs w:val="20"/>
              </w:rPr>
            </w:pPr>
            <w:r w:rsidRPr="000E2FC3">
              <w:rPr>
                <w:rFonts w:ascii="Times New Roman" w:hAnsi="Times New Roman" w:cs="Times New Roman"/>
                <w:sz w:val="20"/>
                <w:szCs w:val="20"/>
              </w:rPr>
              <w:t>Re-blocking using Public display and discussion, citizen surveys, public engagement campaigns, and meetings with citizen</w:t>
            </w:r>
          </w:p>
          <w:p w:rsidR="00310F82" w:rsidRPr="000E2FC3" w:rsidRDefault="00310F82">
            <w:pPr>
              <w:spacing w:after="0" w:line="360" w:lineRule="auto"/>
              <w:rPr>
                <w:rFonts w:ascii="Times New Roman" w:eastAsia="Times New Roman" w:hAnsi="Times New Roman" w:cs="Times New Roman"/>
                <w:sz w:val="20"/>
                <w:szCs w:val="20"/>
              </w:rPr>
            </w:pPr>
          </w:p>
        </w:tc>
        <w:tc>
          <w:tcPr>
            <w:tcW w:w="158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Riga town centre, Latvia, an economic hub</w:t>
            </w:r>
          </w:p>
        </w:tc>
        <w:tc>
          <w:tcPr>
            <w:tcW w:w="113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Uncontrolled development</w:t>
            </w:r>
          </w:p>
        </w:tc>
        <w:tc>
          <w:tcPr>
            <w:tcW w:w="113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 xml:space="preserve">The project  covers the entire city centre </w:t>
            </w:r>
          </w:p>
        </w:tc>
        <w:tc>
          <w:tcPr>
            <w:tcW w:w="85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Top-down</w:t>
            </w:r>
          </w:p>
        </w:tc>
        <w:tc>
          <w:tcPr>
            <w:tcW w:w="127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In-situ upgrading emphasizing infrastructure and environmental development</w:t>
            </w:r>
          </w:p>
        </w:tc>
        <w:tc>
          <w:tcPr>
            <w:tcW w:w="1275"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Government agencies made city and development plans and policy documents were displayed for public input and acceptance</w:t>
            </w:r>
          </w:p>
        </w:tc>
        <w:tc>
          <w:tcPr>
            <w:tcW w:w="85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2002-2005</w:t>
            </w:r>
          </w:p>
        </w:tc>
        <w:tc>
          <w:tcPr>
            <w:tcW w:w="127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 xml:space="preserve">Overall public acceptance of draft city </w:t>
            </w:r>
            <w:r w:rsidRPr="000E2FC3">
              <w:rPr>
                <w:rFonts w:ascii="Times New Roman" w:eastAsia="Times New Roman" w:hAnsi="Times New Roman" w:cs="Times New Roman"/>
                <w:sz w:val="20"/>
                <w:szCs w:val="20"/>
              </w:rPr>
              <w:t>upgrading plan. The measurable indicator related to the quality of life is the upgrade of infrastructure and services, environmental quality, and housing conditions</w:t>
            </w:r>
          </w:p>
        </w:tc>
        <w:tc>
          <w:tcPr>
            <w:tcW w:w="170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 xml:space="preserve">Easy to manage in terms of costs and time involved in engaging a heterogeneous population. </w:t>
            </w:r>
          </w:p>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Public eng</w:t>
            </w:r>
            <w:r w:rsidRPr="000E2FC3">
              <w:rPr>
                <w:rFonts w:ascii="Times New Roman" w:hAnsi="Times New Roman" w:cs="Times New Roman"/>
                <w:sz w:val="20"/>
                <w:szCs w:val="20"/>
              </w:rPr>
              <w:t>agement campaigns and meetings with citizens generated more participation</w:t>
            </w:r>
          </w:p>
        </w:tc>
        <w:tc>
          <w:tcPr>
            <w:tcW w:w="1842" w:type="dxa"/>
          </w:tcPr>
          <w:p w:rsidR="00310F82" w:rsidRPr="000E2FC3" w:rsidRDefault="000E2FC3">
            <w:pPr>
              <w:spacing w:after="0" w:line="360" w:lineRule="auto"/>
              <w:rPr>
                <w:rFonts w:ascii="Times New Roman" w:hAnsi="Times New Roman" w:cs="Times New Roman"/>
                <w:sz w:val="20"/>
                <w:szCs w:val="20"/>
              </w:rPr>
            </w:pPr>
            <w:r w:rsidRPr="000E2FC3">
              <w:rPr>
                <w:rFonts w:ascii="Times New Roman" w:eastAsia="Times New Roman" w:hAnsi="Times New Roman" w:cs="Times New Roman"/>
                <w:sz w:val="20"/>
                <w:szCs w:val="20"/>
              </w:rPr>
              <w:t>Public display approach fails to generate enough participation from ordinarily and less educated citizens. This was the reason for the adoption of additional approaches su</w:t>
            </w:r>
            <w:r w:rsidRPr="000E2FC3">
              <w:rPr>
                <w:rFonts w:ascii="Times New Roman" w:eastAsia="Times New Roman" w:hAnsi="Times New Roman" w:cs="Times New Roman"/>
                <w:sz w:val="20"/>
                <w:szCs w:val="20"/>
              </w:rPr>
              <w:t xml:space="preserve">ch as </w:t>
            </w:r>
            <w:r w:rsidRPr="000E2FC3">
              <w:rPr>
                <w:rFonts w:ascii="Times New Roman" w:hAnsi="Times New Roman" w:cs="Times New Roman"/>
                <w:sz w:val="20"/>
                <w:szCs w:val="20"/>
              </w:rPr>
              <w:t>public engagement campaigns and meetings with citizen</w:t>
            </w:r>
          </w:p>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Resilience issues are missing</w:t>
            </w:r>
          </w:p>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No capacity building</w:t>
            </w:r>
          </w:p>
        </w:tc>
      </w:tr>
      <w:tr w:rsidR="000E2FC3" w:rsidRPr="000E2FC3">
        <w:trPr>
          <w:trHeight w:val="230"/>
        </w:trPr>
        <w:tc>
          <w:tcPr>
            <w:tcW w:w="87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(Parikh et al., 2020)</w:t>
            </w:r>
          </w:p>
        </w:tc>
        <w:tc>
          <w:tcPr>
            <w:tcW w:w="1137"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Community-based using mixed methods combining focus group discussions and household interviews</w:t>
            </w:r>
          </w:p>
        </w:tc>
        <w:tc>
          <w:tcPr>
            <w:tcW w:w="158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Havelock</w:t>
            </w:r>
            <w:r w:rsidRPr="000E2FC3">
              <w:rPr>
                <w:rFonts w:ascii="Times New Roman" w:hAnsi="Times New Roman" w:cs="Times New Roman"/>
                <w:sz w:val="20"/>
                <w:szCs w:val="20"/>
              </w:rPr>
              <w:t xml:space="preserve"> is a </w:t>
            </w:r>
            <w:r w:rsidRPr="000E2FC3">
              <w:rPr>
                <w:rFonts w:ascii="Times New Roman" w:eastAsia="Times New Roman" w:hAnsi="Times New Roman" w:cs="Times New Roman"/>
                <w:sz w:val="20"/>
                <w:szCs w:val="20"/>
              </w:rPr>
              <w:t>migratory com</w:t>
            </w:r>
            <w:r w:rsidRPr="000E2FC3">
              <w:rPr>
                <w:rFonts w:ascii="Times New Roman" w:eastAsia="Times New Roman" w:hAnsi="Times New Roman" w:cs="Times New Roman"/>
                <w:sz w:val="20"/>
                <w:szCs w:val="20"/>
              </w:rPr>
              <w:t>munity loc</w:t>
            </w:r>
            <w:r w:rsidRPr="000E2FC3">
              <w:rPr>
                <w:rFonts w:ascii="Times New Roman" w:hAnsi="Times New Roman" w:cs="Times New Roman"/>
                <w:sz w:val="20"/>
                <w:szCs w:val="20"/>
              </w:rPr>
              <w:t>ated 8 km from the Durban city centre, with an estimated 200 households and more than 400 residents</w:t>
            </w:r>
            <w:r w:rsidRPr="000E2FC3">
              <w:rPr>
                <w:rFonts w:ascii="Times New Roman" w:eastAsia="Times New Roman" w:hAnsi="Times New Roman" w:cs="Times New Roman"/>
                <w:sz w:val="20"/>
                <w:szCs w:val="20"/>
              </w:rPr>
              <w:t xml:space="preserve"> engaged in informal and temporary jobs. </w:t>
            </w:r>
          </w:p>
        </w:tc>
        <w:tc>
          <w:tcPr>
            <w:tcW w:w="113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Air, water, and waste pollution, flooding, and health risks</w:t>
            </w:r>
          </w:p>
        </w:tc>
        <w:tc>
          <w:tcPr>
            <w:tcW w:w="113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Comprise of 34 wards and 297 structures</w:t>
            </w:r>
          </w:p>
        </w:tc>
        <w:tc>
          <w:tcPr>
            <w:tcW w:w="85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Top-down</w:t>
            </w:r>
          </w:p>
        </w:tc>
        <w:tc>
          <w:tcPr>
            <w:tcW w:w="127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In-situ upgrading prioritizing environmental infrastructure development</w:t>
            </w:r>
          </w:p>
        </w:tc>
        <w:tc>
          <w:tcPr>
            <w:tcW w:w="1275"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 xml:space="preserve">Experts' driven public consultation </w:t>
            </w:r>
          </w:p>
        </w:tc>
        <w:tc>
          <w:tcPr>
            <w:tcW w:w="85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May 2017 to June 2018</w:t>
            </w:r>
          </w:p>
        </w:tc>
        <w:tc>
          <w:tcPr>
            <w:tcW w:w="127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Environmental infrastructure improvements and services such as  flood risk, solid waste management, electricity, wat</w:t>
            </w:r>
            <w:r w:rsidRPr="000E2FC3">
              <w:rPr>
                <w:rFonts w:ascii="Times New Roman" w:hAnsi="Times New Roman" w:cs="Times New Roman"/>
                <w:sz w:val="20"/>
                <w:szCs w:val="20"/>
              </w:rPr>
              <w:t>er and sanitation services</w:t>
            </w:r>
          </w:p>
        </w:tc>
        <w:tc>
          <w:tcPr>
            <w:tcW w:w="170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 xml:space="preserve">Demonstrate the need and value of harmonizing infrastructure interventions across multiple stakeholders as well as inter-linkages and complexities </w:t>
            </w:r>
          </w:p>
        </w:tc>
        <w:tc>
          <w:tcPr>
            <w:tcW w:w="1842"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 xml:space="preserve">Participation appears to be more of a consultation in which </w:t>
            </w:r>
            <w:r w:rsidRPr="000E2FC3">
              <w:rPr>
                <w:rFonts w:ascii="Times New Roman" w:hAnsi="Times New Roman" w:cs="Times New Roman"/>
                <w:sz w:val="20"/>
                <w:szCs w:val="20"/>
              </w:rPr>
              <w:t>both problems and sol</w:t>
            </w:r>
            <w:r w:rsidRPr="000E2FC3">
              <w:rPr>
                <w:rFonts w:ascii="Times New Roman" w:hAnsi="Times New Roman" w:cs="Times New Roman"/>
                <w:sz w:val="20"/>
                <w:szCs w:val="20"/>
              </w:rPr>
              <w:t xml:space="preserve">utions were externally defined by </w:t>
            </w:r>
            <w:r w:rsidRPr="000E2FC3">
              <w:rPr>
                <w:rFonts w:ascii="Times New Roman" w:eastAsia="Times New Roman" w:hAnsi="Times New Roman" w:cs="Times New Roman"/>
                <w:sz w:val="20"/>
                <w:szCs w:val="20"/>
              </w:rPr>
              <w:t xml:space="preserve">experts </w:t>
            </w:r>
            <w:r w:rsidRPr="000E2FC3">
              <w:rPr>
                <w:rFonts w:ascii="Times New Roman" w:hAnsi="Times New Roman" w:cs="Times New Roman"/>
                <w:sz w:val="20"/>
                <w:szCs w:val="20"/>
              </w:rPr>
              <w:t>in the light of the people's responses</w:t>
            </w:r>
            <w:r w:rsidRPr="000E2FC3">
              <w:rPr>
                <w:rFonts w:ascii="Times New Roman" w:eastAsia="Times New Roman" w:hAnsi="Times New Roman" w:cs="Times New Roman"/>
                <w:sz w:val="20"/>
                <w:szCs w:val="20"/>
              </w:rPr>
              <w:t>. Resilience and sustainability issues are missing</w:t>
            </w:r>
          </w:p>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No capacity building</w:t>
            </w:r>
          </w:p>
        </w:tc>
      </w:tr>
      <w:tr w:rsidR="000E2FC3" w:rsidRPr="000E2FC3">
        <w:trPr>
          <w:trHeight w:val="247"/>
        </w:trPr>
        <w:tc>
          <w:tcPr>
            <w:tcW w:w="87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(Almansi &amp; Motta, 2020)</w:t>
            </w:r>
          </w:p>
        </w:tc>
        <w:tc>
          <w:tcPr>
            <w:tcW w:w="1137"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 xml:space="preserve">Action-based process-project planning model, which is built on consensus reach </w:t>
            </w:r>
            <w:r w:rsidRPr="000E2FC3">
              <w:rPr>
                <w:rFonts w:ascii="Times New Roman" w:hAnsi="Times New Roman" w:cs="Times New Roman"/>
                <w:sz w:val="20"/>
                <w:szCs w:val="20"/>
              </w:rPr>
              <w:t>during workshops</w:t>
            </w:r>
          </w:p>
        </w:tc>
        <w:tc>
          <w:tcPr>
            <w:tcW w:w="1586" w:type="dxa"/>
          </w:tcPr>
          <w:p w:rsidR="00310F82" w:rsidRPr="000E2FC3" w:rsidRDefault="000E2FC3">
            <w:pPr>
              <w:spacing w:after="0" w:line="360" w:lineRule="auto"/>
              <w:rPr>
                <w:rFonts w:ascii="Times New Roman" w:hAnsi="Times New Roman" w:cs="Times New Roman"/>
                <w:sz w:val="20"/>
                <w:szCs w:val="20"/>
              </w:rPr>
            </w:pPr>
            <w:r w:rsidRPr="000E2FC3">
              <w:rPr>
                <w:rFonts w:ascii="Times New Roman" w:hAnsi="Times New Roman" w:cs="Times New Roman"/>
                <w:sz w:val="20"/>
                <w:szCs w:val="20"/>
              </w:rPr>
              <w:t>Villa 20 is located in the Villa Lugano neighbourhood in the southern part of CABA, Agentina is the city's fourth most populous slum, with approximately 27,990 inhabitants, 9,116 families, and 4,559 dwellings.</w:t>
            </w:r>
          </w:p>
          <w:p w:rsidR="00310F82" w:rsidRPr="000E2FC3" w:rsidRDefault="00310F82">
            <w:pPr>
              <w:spacing w:after="0" w:line="360" w:lineRule="auto"/>
              <w:rPr>
                <w:rFonts w:ascii="Times New Roman" w:eastAsia="Times New Roman" w:hAnsi="Times New Roman" w:cs="Times New Roman"/>
                <w:sz w:val="20"/>
                <w:szCs w:val="20"/>
              </w:rPr>
            </w:pPr>
          </w:p>
        </w:tc>
        <w:tc>
          <w:tcPr>
            <w:tcW w:w="113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 xml:space="preserve">poor quality or informal </w:t>
            </w:r>
            <w:r w:rsidRPr="000E2FC3">
              <w:rPr>
                <w:rFonts w:ascii="Times New Roman" w:hAnsi="Times New Roman" w:cs="Times New Roman"/>
                <w:sz w:val="20"/>
                <w:szCs w:val="20"/>
              </w:rPr>
              <w:t>provision of water, sanitation, electricity, and drainage</w:t>
            </w:r>
          </w:p>
        </w:tc>
        <w:tc>
          <w:tcPr>
            <w:tcW w:w="113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Construction of 834 homes</w:t>
            </w:r>
          </w:p>
        </w:tc>
        <w:tc>
          <w:tcPr>
            <w:tcW w:w="85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Bottom-up</w:t>
            </w:r>
          </w:p>
        </w:tc>
        <w:tc>
          <w:tcPr>
            <w:tcW w:w="127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In-situ upgrading prioritizing environmental and social infrastructure</w:t>
            </w:r>
          </w:p>
          <w:p w:rsidR="00310F82" w:rsidRPr="000E2FC3" w:rsidRDefault="00310F82">
            <w:pPr>
              <w:spacing w:after="0" w:line="360" w:lineRule="auto"/>
              <w:rPr>
                <w:rFonts w:ascii="Times New Roman" w:eastAsia="Times New Roman" w:hAnsi="Times New Roman" w:cs="Times New Roman"/>
                <w:sz w:val="20"/>
                <w:szCs w:val="20"/>
              </w:rPr>
            </w:pPr>
          </w:p>
          <w:p w:rsidR="00310F82" w:rsidRPr="000E2FC3" w:rsidRDefault="00310F82">
            <w:pPr>
              <w:spacing w:after="0" w:line="360" w:lineRule="auto"/>
              <w:rPr>
                <w:rFonts w:ascii="Times New Roman" w:eastAsia="Times New Roman" w:hAnsi="Times New Roman" w:cs="Times New Roman"/>
                <w:sz w:val="20"/>
                <w:szCs w:val="20"/>
              </w:rPr>
            </w:pPr>
          </w:p>
          <w:p w:rsidR="00310F82" w:rsidRPr="000E2FC3" w:rsidRDefault="00310F82">
            <w:pPr>
              <w:spacing w:after="0" w:line="360" w:lineRule="auto"/>
              <w:rPr>
                <w:rFonts w:ascii="Times New Roman" w:eastAsia="Times New Roman" w:hAnsi="Times New Roman" w:cs="Times New Roman"/>
                <w:sz w:val="20"/>
                <w:szCs w:val="20"/>
              </w:rPr>
            </w:pPr>
          </w:p>
          <w:p w:rsidR="00310F82" w:rsidRPr="000E2FC3" w:rsidRDefault="00310F82">
            <w:pPr>
              <w:spacing w:after="0" w:line="360" w:lineRule="auto"/>
              <w:rPr>
                <w:rFonts w:ascii="Times New Roman" w:eastAsia="Times New Roman" w:hAnsi="Times New Roman" w:cs="Times New Roman"/>
                <w:sz w:val="20"/>
                <w:szCs w:val="20"/>
              </w:rPr>
            </w:pPr>
          </w:p>
          <w:p w:rsidR="00310F82" w:rsidRPr="000E2FC3" w:rsidRDefault="00310F82">
            <w:pPr>
              <w:spacing w:after="0" w:line="360" w:lineRule="auto"/>
              <w:rPr>
                <w:rFonts w:ascii="Times New Roman" w:eastAsia="Times New Roman" w:hAnsi="Times New Roman" w:cs="Times New Roman"/>
                <w:sz w:val="20"/>
                <w:szCs w:val="20"/>
              </w:rPr>
            </w:pPr>
          </w:p>
          <w:p w:rsidR="00310F82" w:rsidRPr="000E2FC3" w:rsidRDefault="00310F82">
            <w:pPr>
              <w:spacing w:after="0" w:line="360" w:lineRule="auto"/>
              <w:jc w:val="center"/>
              <w:rPr>
                <w:rFonts w:ascii="Times New Roman" w:eastAsia="Times New Roman" w:hAnsi="Times New Roman" w:cs="Times New Roman"/>
                <w:sz w:val="20"/>
                <w:szCs w:val="20"/>
              </w:rPr>
            </w:pPr>
          </w:p>
        </w:tc>
        <w:tc>
          <w:tcPr>
            <w:tcW w:w="1275"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 xml:space="preserve">Community-driven </w:t>
            </w:r>
            <w:r w:rsidRPr="000E2FC3">
              <w:rPr>
                <w:rFonts w:ascii="Times New Roman" w:hAnsi="Times New Roman" w:cs="Times New Roman"/>
                <w:sz w:val="20"/>
                <w:szCs w:val="20"/>
              </w:rPr>
              <w:t>government agencies did not get involved in the initial stages of th</w:t>
            </w:r>
            <w:r w:rsidRPr="000E2FC3">
              <w:rPr>
                <w:rFonts w:ascii="Times New Roman" w:hAnsi="Times New Roman" w:cs="Times New Roman"/>
                <w:sz w:val="20"/>
                <w:szCs w:val="20"/>
              </w:rPr>
              <w:t>e process.</w:t>
            </w:r>
          </w:p>
        </w:tc>
        <w:tc>
          <w:tcPr>
            <w:tcW w:w="85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Between December 2016 and December 2019,</w:t>
            </w:r>
          </w:p>
        </w:tc>
        <w:tc>
          <w:tcPr>
            <w:tcW w:w="127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infrastructure and service provision, environmental quality, improved housing conditions</w:t>
            </w:r>
          </w:p>
        </w:tc>
        <w:tc>
          <w:tcPr>
            <w:tcW w:w="1701" w:type="dxa"/>
          </w:tcPr>
          <w:p w:rsidR="00310F82" w:rsidRPr="000E2FC3" w:rsidRDefault="000E2FC3">
            <w:pPr>
              <w:spacing w:after="0" w:line="360" w:lineRule="auto"/>
              <w:rPr>
                <w:rFonts w:ascii="Times New Roman" w:hAnsi="Times New Roman" w:cs="Times New Roman"/>
                <w:sz w:val="20"/>
                <w:szCs w:val="20"/>
              </w:rPr>
            </w:pPr>
            <w:r w:rsidRPr="000E2FC3">
              <w:rPr>
                <w:rFonts w:ascii="Times New Roman" w:hAnsi="Times New Roman" w:cs="Times New Roman"/>
                <w:sz w:val="20"/>
                <w:szCs w:val="20"/>
              </w:rPr>
              <w:t xml:space="preserve">The community-based approach generated 97.6% acceptance and compliance with relocation. </w:t>
            </w:r>
          </w:p>
          <w:p w:rsidR="00310F82" w:rsidRPr="000E2FC3" w:rsidRDefault="000E2FC3">
            <w:pPr>
              <w:spacing w:after="0" w:line="360" w:lineRule="auto"/>
              <w:rPr>
                <w:rFonts w:ascii="Times New Roman" w:eastAsia="Times New Roman" w:hAnsi="Times New Roman" w:cs="Times New Roman"/>
                <w:i/>
                <w:sz w:val="20"/>
                <w:szCs w:val="20"/>
              </w:rPr>
            </w:pPr>
            <w:r w:rsidRPr="000E2FC3">
              <w:rPr>
                <w:rFonts w:ascii="Times New Roman" w:hAnsi="Times New Roman" w:cs="Times New Roman"/>
                <w:sz w:val="20"/>
                <w:szCs w:val="20"/>
              </w:rPr>
              <w:t>Incorporate climate resili</w:t>
            </w:r>
            <w:r w:rsidRPr="000E2FC3">
              <w:rPr>
                <w:rFonts w:ascii="Times New Roman" w:hAnsi="Times New Roman" w:cs="Times New Roman"/>
                <w:sz w:val="20"/>
                <w:szCs w:val="20"/>
              </w:rPr>
              <w:t>ence and sustainable development aspects ( e.g., green infrastructure and  capacities building and income generation programmes</w:t>
            </w:r>
          </w:p>
        </w:tc>
        <w:tc>
          <w:tcPr>
            <w:tcW w:w="1842"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 xml:space="preserve">Not known except </w:t>
            </w:r>
          </w:p>
        </w:tc>
      </w:tr>
      <w:tr w:rsidR="000E2FC3" w:rsidRPr="000E2FC3">
        <w:trPr>
          <w:trHeight w:val="230"/>
        </w:trPr>
        <w:tc>
          <w:tcPr>
            <w:tcW w:w="87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(French et al., 2018)</w:t>
            </w:r>
          </w:p>
        </w:tc>
        <w:tc>
          <w:tcPr>
            <w:tcW w:w="1137"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Re-blocking planning “people’s process” approach</w:t>
            </w:r>
          </w:p>
        </w:tc>
        <w:tc>
          <w:tcPr>
            <w:tcW w:w="158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34 provincial capitals in Afghanistan,</w:t>
            </w:r>
            <w:r w:rsidRPr="000E2FC3">
              <w:rPr>
                <w:rFonts w:ascii="Times New Roman" w:eastAsia="Times New Roman" w:hAnsi="Times New Roman" w:cs="Times New Roman"/>
                <w:sz w:val="20"/>
                <w:szCs w:val="20"/>
              </w:rPr>
              <w:t xml:space="preserve"> with approximately 750,000 households: 5.5 million people.</w:t>
            </w:r>
          </w:p>
          <w:p w:rsidR="00310F82" w:rsidRPr="000E2FC3" w:rsidRDefault="00310F82">
            <w:pPr>
              <w:spacing w:after="0" w:line="360" w:lineRule="auto"/>
              <w:rPr>
                <w:rFonts w:ascii="Times New Roman" w:eastAsia="Times New Roman" w:hAnsi="Times New Roman" w:cs="Times New Roman"/>
                <w:sz w:val="20"/>
                <w:szCs w:val="20"/>
              </w:rPr>
            </w:pPr>
          </w:p>
        </w:tc>
        <w:tc>
          <w:tcPr>
            <w:tcW w:w="113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Sanitation, informal water, land tenure, and unplanned informal housing</w:t>
            </w:r>
          </w:p>
        </w:tc>
        <w:tc>
          <w:tcPr>
            <w:tcW w:w="113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NSP 65,000 development projects (66) valued at US$ 1.25 billion, including US$ 108 million of community contributions.</w:t>
            </w:r>
          </w:p>
        </w:tc>
        <w:tc>
          <w:tcPr>
            <w:tcW w:w="85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Bott</w:t>
            </w:r>
            <w:r w:rsidRPr="000E2FC3">
              <w:rPr>
                <w:rFonts w:ascii="Times New Roman" w:eastAsia="Times New Roman" w:hAnsi="Times New Roman" w:cs="Times New Roman"/>
                <w:sz w:val="20"/>
                <w:szCs w:val="20"/>
              </w:rPr>
              <w:t>om-up</w:t>
            </w:r>
          </w:p>
        </w:tc>
        <w:tc>
          <w:tcPr>
            <w:tcW w:w="127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In-situ upgrading prioritizing i</w:t>
            </w:r>
            <w:r w:rsidRPr="000E2FC3">
              <w:rPr>
                <w:rFonts w:ascii="Times New Roman" w:hAnsi="Times New Roman" w:cs="Times New Roman"/>
                <w:sz w:val="20"/>
                <w:szCs w:val="20"/>
              </w:rPr>
              <w:t xml:space="preserve">nfrastructure and services, social welfare,  dispute resolution, and meeting humanitarian needs </w:t>
            </w:r>
          </w:p>
        </w:tc>
        <w:tc>
          <w:tcPr>
            <w:tcW w:w="1275"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 xml:space="preserve">Community Development Councils (CDCs): area-based networks of men and women. who, with external support, led the process </w:t>
            </w:r>
          </w:p>
        </w:tc>
        <w:tc>
          <w:tcPr>
            <w:tcW w:w="85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between 2002 and 2016</w:t>
            </w:r>
          </w:p>
        </w:tc>
        <w:tc>
          <w:tcPr>
            <w:tcW w:w="127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Housing conditions, Infrastructure and urban services, social welfare,  dispute resolution on land and water, and meeting humanitarian needs</w:t>
            </w:r>
          </w:p>
        </w:tc>
        <w:tc>
          <w:tcPr>
            <w:tcW w:w="170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 xml:space="preserve">Separation of roles and responsibilities in the provision of services between stakeholders; </w:t>
            </w:r>
            <w:r w:rsidRPr="000E2FC3">
              <w:rPr>
                <w:rFonts w:ascii="Times New Roman" w:eastAsia="Times New Roman" w:hAnsi="Times New Roman" w:cs="Times New Roman"/>
                <w:sz w:val="20"/>
                <w:szCs w:val="20"/>
              </w:rPr>
              <w:t>CDCs participation in raising funds, and inclusion of social welfare,  dispute resolution on land and water, and meeting humanitarian needs</w:t>
            </w:r>
          </w:p>
        </w:tc>
        <w:tc>
          <w:tcPr>
            <w:tcW w:w="1842"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Resilience and sustainability especially regarding climate change are not at the heart of the upgrading project</w:t>
            </w:r>
          </w:p>
        </w:tc>
      </w:tr>
      <w:tr w:rsidR="000E2FC3" w:rsidRPr="000E2FC3">
        <w:trPr>
          <w:trHeight w:val="230"/>
        </w:trPr>
        <w:tc>
          <w:tcPr>
            <w:tcW w:w="87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(Ho</w:t>
            </w:r>
            <w:r w:rsidRPr="000E2FC3">
              <w:rPr>
                <w:rFonts w:ascii="Times New Roman" w:eastAsia="Times New Roman" w:hAnsi="Times New Roman" w:cs="Times New Roman"/>
                <w:sz w:val="20"/>
                <w:szCs w:val="20"/>
              </w:rPr>
              <w:t>rn et al., 2020)</w:t>
            </w:r>
          </w:p>
        </w:tc>
        <w:tc>
          <w:tcPr>
            <w:tcW w:w="1137"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Community-based planning using public meetings (barazas)</w:t>
            </w:r>
          </w:p>
        </w:tc>
        <w:tc>
          <w:tcPr>
            <w:tcW w:w="158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SPA Mukuru covers the three informal settlements of Mukuru Kwa Njenga, Mukuru Kwa Rueben, and Viwandani in Embakasi South and Makadara sub-counties in Nairobi in  an industrial layou</w:t>
            </w:r>
            <w:r w:rsidRPr="000E2FC3">
              <w:rPr>
                <w:rFonts w:ascii="Times New Roman" w:eastAsia="Times New Roman" w:hAnsi="Times New Roman" w:cs="Times New Roman"/>
                <w:sz w:val="20"/>
                <w:szCs w:val="20"/>
              </w:rPr>
              <w:t>t</w:t>
            </w:r>
          </w:p>
        </w:tc>
        <w:tc>
          <w:tcPr>
            <w:tcW w:w="113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Pollution (water, air and soil), risks of flooding and poor sanitation infrastructure</w:t>
            </w:r>
          </w:p>
        </w:tc>
        <w:tc>
          <w:tcPr>
            <w:tcW w:w="113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Mukuru SPA has an area of 689 hectares and around 300,000 residents, an industrial slum layout</w:t>
            </w:r>
          </w:p>
        </w:tc>
        <w:tc>
          <w:tcPr>
            <w:tcW w:w="85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Top-down</w:t>
            </w:r>
          </w:p>
        </w:tc>
        <w:tc>
          <w:tcPr>
            <w:tcW w:w="127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 xml:space="preserve">In-situ upgrading prioritizing Infrastructure (housing, roads,  </w:t>
            </w:r>
            <w:r w:rsidRPr="000E2FC3">
              <w:rPr>
                <w:rFonts w:ascii="Times New Roman" w:eastAsia="Times New Roman" w:hAnsi="Times New Roman" w:cs="Times New Roman"/>
                <w:sz w:val="20"/>
                <w:szCs w:val="20"/>
              </w:rPr>
              <w:t>and services (e.g.,</w:t>
            </w:r>
            <w:r w:rsidRPr="000E2FC3">
              <w:rPr>
                <w:rFonts w:ascii="Times New Roman" w:hAnsi="Times New Roman" w:cs="Times New Roman"/>
                <w:sz w:val="20"/>
                <w:szCs w:val="20"/>
              </w:rPr>
              <w:t xml:space="preserve"> health, education, water, sanitation, electricity)</w:t>
            </w:r>
          </w:p>
          <w:p w:rsidR="00310F82" w:rsidRPr="000E2FC3" w:rsidRDefault="00310F82">
            <w:pPr>
              <w:spacing w:after="0" w:line="360" w:lineRule="auto"/>
              <w:rPr>
                <w:rFonts w:ascii="Times New Roman" w:eastAsia="Times New Roman" w:hAnsi="Times New Roman" w:cs="Times New Roman"/>
                <w:sz w:val="20"/>
                <w:szCs w:val="20"/>
              </w:rPr>
            </w:pPr>
          </w:p>
          <w:p w:rsidR="00310F82" w:rsidRPr="000E2FC3" w:rsidRDefault="00310F82">
            <w:pPr>
              <w:spacing w:after="0" w:line="360" w:lineRule="auto"/>
              <w:rPr>
                <w:rFonts w:ascii="Times New Roman" w:eastAsia="Times New Roman" w:hAnsi="Times New Roman" w:cs="Times New Roman"/>
                <w:sz w:val="20"/>
                <w:szCs w:val="20"/>
              </w:rPr>
            </w:pPr>
          </w:p>
        </w:tc>
        <w:tc>
          <w:tcPr>
            <w:tcW w:w="1275"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Government expert-led development approach</w:t>
            </w:r>
          </w:p>
        </w:tc>
        <w:tc>
          <w:tcPr>
            <w:tcW w:w="85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2 years between 2017-2019</w:t>
            </w:r>
          </w:p>
        </w:tc>
        <w:tc>
          <w:tcPr>
            <w:tcW w:w="127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 xml:space="preserve">Improvement in sanitation infrastructure, education, and health services reduces </w:t>
            </w:r>
            <w:r w:rsidRPr="000E2FC3">
              <w:rPr>
                <w:rFonts w:ascii="Times New Roman" w:hAnsi="Times New Roman" w:cs="Times New Roman"/>
                <w:sz w:val="20"/>
                <w:szCs w:val="20"/>
              </w:rPr>
              <w:t xml:space="preserve">health risks and dignity </w:t>
            </w:r>
            <w:r w:rsidRPr="000E2FC3">
              <w:rPr>
                <w:rFonts w:ascii="Times New Roman" w:hAnsi="Times New Roman" w:cs="Times New Roman"/>
                <w:sz w:val="20"/>
                <w:szCs w:val="20"/>
              </w:rPr>
              <w:t>challenges</w:t>
            </w:r>
          </w:p>
        </w:tc>
        <w:tc>
          <w:tcPr>
            <w:tcW w:w="170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Participation garnered massive grassroots support that helped overcome resistance from people whose property was marked for demolition.</w:t>
            </w:r>
          </w:p>
          <w:p w:rsidR="00310F82" w:rsidRPr="000E2FC3" w:rsidRDefault="00310F82">
            <w:pPr>
              <w:spacing w:after="0" w:line="360" w:lineRule="auto"/>
              <w:rPr>
                <w:rFonts w:ascii="Times New Roman" w:eastAsia="Times New Roman" w:hAnsi="Times New Roman" w:cs="Times New Roman"/>
                <w:sz w:val="20"/>
                <w:szCs w:val="20"/>
              </w:rPr>
            </w:pPr>
          </w:p>
        </w:tc>
        <w:tc>
          <w:tcPr>
            <w:tcW w:w="1842" w:type="dxa"/>
          </w:tcPr>
          <w:p w:rsidR="00310F82" w:rsidRPr="000E2FC3" w:rsidRDefault="000E2FC3">
            <w:pPr>
              <w:spacing w:after="0" w:line="360" w:lineRule="auto"/>
              <w:rPr>
                <w:rFonts w:ascii="Times New Roman" w:eastAsia="Times New Roman" w:hAnsi="Times New Roman" w:cs="Times New Roman"/>
                <w:sz w:val="20"/>
                <w:szCs w:val="20"/>
              </w:rPr>
            </w:pPr>
            <w:bookmarkStart w:id="1" w:name="_30j0zll" w:colFirst="0" w:colLast="0"/>
            <w:bookmarkEnd w:id="1"/>
            <w:r w:rsidRPr="000E2FC3">
              <w:rPr>
                <w:rFonts w:ascii="Times New Roman" w:eastAsia="Times New Roman" w:hAnsi="Times New Roman" w:cs="Times New Roman"/>
                <w:sz w:val="20"/>
                <w:szCs w:val="20"/>
              </w:rPr>
              <w:t xml:space="preserve">Community participation was done only to solicit support and get the slum dwellers to support the upgrading </w:t>
            </w:r>
            <w:r w:rsidRPr="000E2FC3">
              <w:rPr>
                <w:rFonts w:ascii="Times New Roman" w:eastAsia="Times New Roman" w:hAnsi="Times New Roman" w:cs="Times New Roman"/>
                <w:sz w:val="20"/>
                <w:szCs w:val="20"/>
              </w:rPr>
              <w:t xml:space="preserve">process </w:t>
            </w:r>
          </w:p>
        </w:tc>
      </w:tr>
      <w:tr w:rsidR="000E2FC3" w:rsidRPr="000E2FC3">
        <w:trPr>
          <w:trHeight w:val="230"/>
        </w:trPr>
        <w:tc>
          <w:tcPr>
            <w:tcW w:w="87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(Abuya, 2006)</w:t>
            </w:r>
          </w:p>
        </w:tc>
        <w:tc>
          <w:tcPr>
            <w:tcW w:w="1137"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Community-based planning using a stakeholder forum</w:t>
            </w:r>
          </w:p>
        </w:tc>
        <w:tc>
          <w:tcPr>
            <w:tcW w:w="158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Kisumu slum agriculturally rich hinterland that mainly supports large-scale sugar industry and rice irrigation</w:t>
            </w:r>
          </w:p>
        </w:tc>
        <w:tc>
          <w:tcPr>
            <w:tcW w:w="113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 xml:space="preserve">Sewerages, water, sanitation and housing </w:t>
            </w:r>
          </w:p>
        </w:tc>
        <w:tc>
          <w:tcPr>
            <w:tcW w:w="113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Peri-urban slum settlements</w:t>
            </w:r>
          </w:p>
        </w:tc>
        <w:tc>
          <w:tcPr>
            <w:tcW w:w="85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Top-down</w:t>
            </w:r>
          </w:p>
        </w:tc>
        <w:tc>
          <w:tcPr>
            <w:tcW w:w="127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 xml:space="preserve">In-situ upgrading prioritizing critical social </w:t>
            </w:r>
          </w:p>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 xml:space="preserve">infrastructure (e.g., roads, classrooms, health centres, early childhood development units, social halls, and market centres, </w:t>
            </w:r>
          </w:p>
        </w:tc>
        <w:tc>
          <w:tcPr>
            <w:tcW w:w="1275"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International organization led. Municipal, Local government authorities,</w:t>
            </w:r>
            <w:r w:rsidRPr="000E2FC3">
              <w:rPr>
                <w:rFonts w:ascii="Times New Roman" w:eastAsia="Times New Roman" w:hAnsi="Times New Roman" w:cs="Times New Roman"/>
                <w:sz w:val="20"/>
                <w:szCs w:val="20"/>
              </w:rPr>
              <w:t xml:space="preserve"> and NGOs.</w:t>
            </w:r>
          </w:p>
        </w:tc>
        <w:tc>
          <w:tcPr>
            <w:tcW w:w="85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Inaugurated in 2003 but delayed until between 2006-2007</w:t>
            </w:r>
          </w:p>
        </w:tc>
        <w:tc>
          <w:tcPr>
            <w:tcW w:w="127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Social infrastructure and services such as education, culture and leisure, civic engagement, and housing conditions</w:t>
            </w:r>
          </w:p>
        </w:tc>
        <w:tc>
          <w:tcPr>
            <w:tcW w:w="170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Decentralization of funding and project financing arrangements from the c</w:t>
            </w:r>
            <w:r w:rsidRPr="000E2FC3">
              <w:rPr>
                <w:rFonts w:ascii="Times New Roman" w:eastAsia="Times New Roman" w:hAnsi="Times New Roman" w:cs="Times New Roman"/>
                <w:sz w:val="20"/>
                <w:szCs w:val="20"/>
              </w:rPr>
              <w:t>entral and local authorities was important. NGO led consultative process.</w:t>
            </w:r>
          </w:p>
        </w:tc>
        <w:tc>
          <w:tcPr>
            <w:tcW w:w="1842"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Consultation was done for peace-building and consensus.</w:t>
            </w:r>
          </w:p>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The upgrading processes overly focused on improving physical facilities and overlooked other community empowerment interventio</w:t>
            </w:r>
            <w:r w:rsidRPr="000E2FC3">
              <w:rPr>
                <w:rFonts w:ascii="Times New Roman" w:hAnsi="Times New Roman" w:cs="Times New Roman"/>
                <w:sz w:val="20"/>
                <w:szCs w:val="20"/>
              </w:rPr>
              <w:t>ns, especially capacity-building programmes</w:t>
            </w:r>
          </w:p>
        </w:tc>
      </w:tr>
      <w:tr w:rsidR="000E2FC3" w:rsidRPr="000E2FC3">
        <w:trPr>
          <w:trHeight w:val="211"/>
        </w:trPr>
        <w:tc>
          <w:tcPr>
            <w:tcW w:w="87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(Mwamba &amp; Peng, 2020)</w:t>
            </w:r>
          </w:p>
        </w:tc>
        <w:tc>
          <w:tcPr>
            <w:tcW w:w="1137"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Community-based panning using advocacy meetings and needs assessment</w:t>
            </w:r>
          </w:p>
        </w:tc>
        <w:tc>
          <w:tcPr>
            <w:tcW w:w="158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Ng'ombe slum is situated on the north-eastern edge of the present built-up area of the</w:t>
            </w:r>
          </w:p>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City of Lusaka</w:t>
            </w:r>
          </w:p>
        </w:tc>
        <w:tc>
          <w:tcPr>
            <w:tcW w:w="113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 xml:space="preserve">Water, solid </w:t>
            </w:r>
            <w:r w:rsidRPr="000E2FC3">
              <w:rPr>
                <w:rFonts w:ascii="Times New Roman" w:eastAsia="Times New Roman" w:hAnsi="Times New Roman" w:cs="Times New Roman"/>
                <w:sz w:val="20"/>
                <w:szCs w:val="20"/>
              </w:rPr>
              <w:t>waste, social infrastructure, and poverty</w:t>
            </w:r>
          </w:p>
        </w:tc>
        <w:tc>
          <w:tcPr>
            <w:tcW w:w="113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Core slum city entre</w:t>
            </w:r>
          </w:p>
        </w:tc>
        <w:tc>
          <w:tcPr>
            <w:tcW w:w="85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Top-down</w:t>
            </w:r>
          </w:p>
        </w:tc>
        <w:tc>
          <w:tcPr>
            <w:tcW w:w="127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In-situ upgrading prioritizing construction of roads, health centre community skills training centres, and water supply.</w:t>
            </w:r>
          </w:p>
        </w:tc>
        <w:tc>
          <w:tcPr>
            <w:tcW w:w="1275"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International organisations</w:t>
            </w:r>
          </w:p>
        </w:tc>
        <w:tc>
          <w:tcPr>
            <w:tcW w:w="851" w:type="dxa"/>
          </w:tcPr>
          <w:p w:rsidR="00310F82" w:rsidRPr="000E2FC3" w:rsidRDefault="00310F82">
            <w:pPr>
              <w:spacing w:after="0" w:line="360" w:lineRule="auto"/>
              <w:rPr>
                <w:rFonts w:ascii="Times New Roman" w:eastAsia="Times New Roman" w:hAnsi="Times New Roman" w:cs="Times New Roman"/>
                <w:sz w:val="20"/>
                <w:szCs w:val="20"/>
              </w:rPr>
            </w:pPr>
          </w:p>
        </w:tc>
        <w:tc>
          <w:tcPr>
            <w:tcW w:w="127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Clean water supply; health centre;</w:t>
            </w:r>
            <w:r w:rsidRPr="000E2FC3">
              <w:rPr>
                <w:rFonts w:ascii="Times New Roman" w:eastAsia="Times New Roman" w:hAnsi="Times New Roman" w:cs="Times New Roman"/>
                <w:sz w:val="20"/>
                <w:szCs w:val="20"/>
              </w:rPr>
              <w:t xml:space="preserve"> better solid waste management; better roads and access to skills training to enhance jobs and income.</w:t>
            </w:r>
          </w:p>
        </w:tc>
        <w:tc>
          <w:tcPr>
            <w:tcW w:w="170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 xml:space="preserve">Combining poverty alleviation strategies and infrastructure upgrading is important.  </w:t>
            </w:r>
          </w:p>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Residents were encouraged to provide free labour</w:t>
            </w:r>
          </w:p>
        </w:tc>
        <w:tc>
          <w:tcPr>
            <w:tcW w:w="1842"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Sustainability was</w:t>
            </w:r>
            <w:r w:rsidRPr="000E2FC3">
              <w:rPr>
                <w:rFonts w:ascii="Times New Roman" w:eastAsia="Times New Roman" w:hAnsi="Times New Roman" w:cs="Times New Roman"/>
                <w:sz w:val="20"/>
                <w:szCs w:val="20"/>
              </w:rPr>
              <w:t xml:space="preserve"> entrenched. Only resilience issues related to climate change that were not considered</w:t>
            </w:r>
          </w:p>
        </w:tc>
      </w:tr>
      <w:tr w:rsidR="000E2FC3" w:rsidRPr="000E2FC3">
        <w:trPr>
          <w:trHeight w:val="211"/>
        </w:trPr>
        <w:tc>
          <w:tcPr>
            <w:tcW w:w="87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(UN-Habitat, 2020)</w:t>
            </w:r>
          </w:p>
        </w:tc>
        <w:tc>
          <w:tcPr>
            <w:tcW w:w="1137"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Community-based planning using needs assessment and stakeholder consultation</w:t>
            </w:r>
          </w:p>
        </w:tc>
        <w:tc>
          <w:tcPr>
            <w:tcW w:w="158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 xml:space="preserve">Ga Mashie, also called Old Accra, Ghana comprising James Town and Usher </w:t>
            </w:r>
            <w:r w:rsidRPr="000E2FC3">
              <w:rPr>
                <w:rFonts w:ascii="Times New Roman" w:hAnsi="Times New Roman" w:cs="Times New Roman"/>
                <w:sz w:val="20"/>
                <w:szCs w:val="20"/>
              </w:rPr>
              <w:t>Town neighbourhoods, covers an area of 100 hectares</w:t>
            </w:r>
          </w:p>
        </w:tc>
        <w:tc>
          <w:tcPr>
            <w:tcW w:w="113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Severe lack of clean water, sanitation facilities, housing, and security of tenure</w:t>
            </w:r>
          </w:p>
        </w:tc>
        <w:tc>
          <w:tcPr>
            <w:tcW w:w="113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The upgrading covers James Town and Usher Town neighbourhoods</w:t>
            </w:r>
          </w:p>
        </w:tc>
        <w:tc>
          <w:tcPr>
            <w:tcW w:w="85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Bottom-up</w:t>
            </w:r>
          </w:p>
        </w:tc>
        <w:tc>
          <w:tcPr>
            <w:tcW w:w="127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 xml:space="preserve">In-situ upgrading prioritizing </w:t>
            </w:r>
            <w:r w:rsidRPr="000E2FC3">
              <w:rPr>
                <w:rFonts w:ascii="Times New Roman" w:hAnsi="Times New Roman" w:cs="Times New Roman"/>
                <w:sz w:val="20"/>
                <w:szCs w:val="20"/>
              </w:rPr>
              <w:t xml:space="preserve">paving of alleys, </w:t>
            </w:r>
            <w:r w:rsidRPr="000E2FC3">
              <w:rPr>
                <w:rFonts w:ascii="Times New Roman" w:hAnsi="Times New Roman" w:cs="Times New Roman"/>
                <w:sz w:val="20"/>
                <w:szCs w:val="20"/>
              </w:rPr>
              <w:t>construction of drainage canals, and provision of lighting in public areas</w:t>
            </w:r>
            <w:r w:rsidRPr="000E2FC3">
              <w:rPr>
                <w:rFonts w:ascii="Times New Roman" w:eastAsia="Times New Roman" w:hAnsi="Times New Roman" w:cs="Times New Roman"/>
                <w:sz w:val="20"/>
                <w:szCs w:val="20"/>
              </w:rPr>
              <w:t xml:space="preserve"> </w:t>
            </w:r>
          </w:p>
        </w:tc>
        <w:tc>
          <w:tcPr>
            <w:tcW w:w="1275"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The national government in conjunction with the local authority (</w:t>
            </w:r>
            <w:r w:rsidRPr="000E2FC3">
              <w:rPr>
                <w:rFonts w:ascii="Times New Roman" w:hAnsi="Times New Roman" w:cs="Times New Roman"/>
                <w:sz w:val="20"/>
                <w:szCs w:val="20"/>
              </w:rPr>
              <w:t>Ga Mashie Development Authority (GAMADA</w:t>
            </w:r>
            <w:r w:rsidRPr="000E2FC3">
              <w:rPr>
                <w:rFonts w:ascii="Times New Roman" w:eastAsia="Times New Roman" w:hAnsi="Times New Roman" w:cs="Times New Roman"/>
                <w:sz w:val="20"/>
                <w:szCs w:val="20"/>
              </w:rPr>
              <w:t>)</w:t>
            </w:r>
          </w:p>
        </w:tc>
        <w:tc>
          <w:tcPr>
            <w:tcW w:w="85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2012-2020</w:t>
            </w:r>
          </w:p>
        </w:tc>
        <w:tc>
          <w:tcPr>
            <w:tcW w:w="127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Alleviate flooding and outbreaks of waterborne diseases, and imp</w:t>
            </w:r>
            <w:r w:rsidRPr="000E2FC3">
              <w:rPr>
                <w:rFonts w:ascii="Times New Roman" w:hAnsi="Times New Roman" w:cs="Times New Roman"/>
                <w:sz w:val="20"/>
                <w:szCs w:val="20"/>
              </w:rPr>
              <w:t xml:space="preserve">rove access to public spaces and health, environmental, and living conditions. </w:t>
            </w:r>
          </w:p>
        </w:tc>
        <w:tc>
          <w:tcPr>
            <w:tcW w:w="1701" w:type="dxa"/>
          </w:tcPr>
          <w:p w:rsidR="00310F82" w:rsidRPr="000E2FC3" w:rsidRDefault="000E2FC3">
            <w:pPr>
              <w:spacing w:after="0" w:line="360" w:lineRule="auto"/>
              <w:rPr>
                <w:rFonts w:ascii="Times New Roman" w:hAnsi="Times New Roman" w:cs="Times New Roman"/>
                <w:bCs/>
                <w:sz w:val="20"/>
                <w:szCs w:val="20"/>
              </w:rPr>
            </w:pPr>
            <w:r w:rsidRPr="000E2FC3">
              <w:rPr>
                <w:rFonts w:ascii="Times New Roman" w:hAnsi="Times New Roman" w:cs="Times New Roman"/>
                <w:bCs/>
                <w:sz w:val="20"/>
                <w:szCs w:val="20"/>
              </w:rPr>
              <w:t>Youth and women have participated actively in the design of the interventions, as well as by providing labour for the civil works. Materials used were sourced locally.</w:t>
            </w:r>
          </w:p>
          <w:p w:rsidR="00310F82" w:rsidRPr="000E2FC3" w:rsidRDefault="000E2FC3">
            <w:pPr>
              <w:spacing w:after="0" w:line="360" w:lineRule="auto"/>
              <w:rPr>
                <w:rFonts w:ascii="Times New Roman" w:eastAsia="Times New Roman" w:hAnsi="Times New Roman" w:cs="Times New Roman"/>
                <w:bCs/>
                <w:sz w:val="20"/>
                <w:szCs w:val="20"/>
              </w:rPr>
            </w:pPr>
            <w:r w:rsidRPr="000E2FC3">
              <w:rPr>
                <w:rFonts w:ascii="Times New Roman" w:hAnsi="Times New Roman" w:cs="Times New Roman"/>
                <w:bCs/>
                <w:sz w:val="20"/>
                <w:szCs w:val="20"/>
              </w:rPr>
              <w:t xml:space="preserve">Social media were used for the creation of awareness. </w:t>
            </w:r>
          </w:p>
        </w:tc>
        <w:tc>
          <w:tcPr>
            <w:tcW w:w="1842"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Climate and resilience  issues</w:t>
            </w:r>
          </w:p>
        </w:tc>
      </w:tr>
      <w:tr w:rsidR="000E2FC3" w:rsidRPr="000E2FC3">
        <w:trPr>
          <w:trHeight w:val="211"/>
        </w:trPr>
        <w:tc>
          <w:tcPr>
            <w:tcW w:w="87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(Milhahn, 2019)</w:t>
            </w:r>
          </w:p>
        </w:tc>
        <w:tc>
          <w:tcPr>
            <w:tcW w:w="1137"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Community-based planning using workshop meetings</w:t>
            </w:r>
          </w:p>
        </w:tc>
        <w:tc>
          <w:tcPr>
            <w:tcW w:w="1586" w:type="dxa"/>
          </w:tcPr>
          <w:p w:rsidR="00310F82" w:rsidRPr="000E2FC3" w:rsidRDefault="000E2FC3">
            <w:pPr>
              <w:spacing w:after="0" w:line="360" w:lineRule="auto"/>
              <w:rPr>
                <w:rFonts w:ascii="Times New Roman" w:hAnsi="Times New Roman" w:cs="Times New Roman"/>
                <w:sz w:val="20"/>
                <w:szCs w:val="20"/>
              </w:rPr>
            </w:pPr>
            <w:r w:rsidRPr="000E2FC3">
              <w:rPr>
                <w:rFonts w:ascii="Times New Roman" w:hAnsi="Times New Roman" w:cs="Times New Roman"/>
                <w:sz w:val="20"/>
                <w:szCs w:val="20"/>
              </w:rPr>
              <w:t xml:space="preserve">Majengo and Mzambarauni, two settlement areas on the outskirts of Mtwapa, </w:t>
            </w:r>
            <w:r w:rsidRPr="000E2FC3">
              <w:rPr>
                <w:rFonts w:ascii="Times New Roman" w:eastAsia="Cambria" w:hAnsi="Times New Roman" w:cs="Times New Roman"/>
                <w:sz w:val="20"/>
                <w:szCs w:val="20"/>
              </w:rPr>
              <w:t>Mombasa, Kenya</w:t>
            </w:r>
          </w:p>
        </w:tc>
        <w:tc>
          <w:tcPr>
            <w:tcW w:w="113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 xml:space="preserve">Congestion, </w:t>
            </w:r>
            <w:r w:rsidRPr="000E2FC3">
              <w:rPr>
                <w:rFonts w:ascii="Times New Roman" w:eastAsia="Times New Roman" w:hAnsi="Times New Roman" w:cs="Times New Roman"/>
                <w:sz w:val="20"/>
                <w:szCs w:val="20"/>
              </w:rPr>
              <w:t>insecurity, poor accessibility and drainage system, waste management, flooding, and poor housing</w:t>
            </w:r>
          </w:p>
        </w:tc>
        <w:tc>
          <w:tcPr>
            <w:tcW w:w="113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Covering the two villages</w:t>
            </w:r>
          </w:p>
        </w:tc>
        <w:tc>
          <w:tcPr>
            <w:tcW w:w="85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Bottom-up</w:t>
            </w:r>
          </w:p>
        </w:tc>
        <w:tc>
          <w:tcPr>
            <w:tcW w:w="127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In-situ upgrading prioritizing f</w:t>
            </w:r>
            <w:r w:rsidRPr="000E2FC3">
              <w:rPr>
                <w:rFonts w:ascii="Times New Roman" w:hAnsi="Times New Roman" w:cs="Times New Roman"/>
                <w:sz w:val="20"/>
                <w:szCs w:val="20"/>
              </w:rPr>
              <w:t>ormalisation of tenure, construction of roads and drainages, toilets, water kiosks/connecti</w:t>
            </w:r>
            <w:r w:rsidRPr="000E2FC3">
              <w:rPr>
                <w:rFonts w:ascii="Times New Roman" w:hAnsi="Times New Roman" w:cs="Times New Roman"/>
                <w:sz w:val="20"/>
                <w:szCs w:val="20"/>
              </w:rPr>
              <w:t>ons, and safe living spaces.</w:t>
            </w:r>
          </w:p>
        </w:tc>
        <w:tc>
          <w:tcPr>
            <w:tcW w:w="1275"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Development partners and County government in conjunction with the local partners led the process</w:t>
            </w:r>
          </w:p>
        </w:tc>
        <w:tc>
          <w:tcPr>
            <w:tcW w:w="85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2014</w:t>
            </w:r>
          </w:p>
        </w:tc>
        <w:tc>
          <w:tcPr>
            <w:tcW w:w="1276"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 xml:space="preserve">Clean drinking water and a toilet, as well as providing adequate roads and safe living spaces therefore enhancing </w:t>
            </w:r>
            <w:r w:rsidRPr="000E2FC3">
              <w:rPr>
                <w:rFonts w:ascii="Times New Roman" w:hAnsi="Times New Roman" w:cs="Times New Roman"/>
                <w:sz w:val="20"/>
                <w:szCs w:val="20"/>
              </w:rPr>
              <w:t>environmental quality and housing condition.</w:t>
            </w:r>
          </w:p>
        </w:tc>
        <w:tc>
          <w:tcPr>
            <w:tcW w:w="1701" w:type="dxa"/>
          </w:tcPr>
          <w:p w:rsidR="00310F82" w:rsidRPr="000E2FC3" w:rsidRDefault="000E2FC3">
            <w:pPr>
              <w:spacing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Creation of Community PSUP-sponsored action groups that take on specific tasks in the settlement such as water kiosks and brickyard businesses that help the community generate income to manage the infrastructure</w:t>
            </w:r>
            <w:r w:rsidRPr="000E2FC3">
              <w:rPr>
                <w:rFonts w:ascii="Times New Roman" w:hAnsi="Times New Roman" w:cs="Times New Roman"/>
                <w:sz w:val="20"/>
                <w:szCs w:val="20"/>
              </w:rPr>
              <w:t xml:space="preserve"> and buildings. Community clean up garbage using </w:t>
            </w:r>
            <w:r w:rsidRPr="000E2FC3">
              <w:rPr>
                <w:rFonts w:ascii="Times New Roman" w:hAnsi="Times New Roman" w:cs="Times New Roman"/>
                <w:sz w:val="20"/>
                <w:szCs w:val="20"/>
              </w:rPr>
              <w:t>wheelbarrows and garbage cans and clean up.</w:t>
            </w:r>
            <w:r w:rsidRPr="000E2FC3">
              <w:rPr>
                <w:rFonts w:ascii="Times New Roman" w:hAnsi="Times New Roman" w:cs="Times New Roman"/>
                <w:sz w:val="20"/>
                <w:szCs w:val="20"/>
              </w:rPr>
              <w:t xml:space="preserve"> Provide workforce.</w:t>
            </w:r>
          </w:p>
        </w:tc>
        <w:tc>
          <w:tcPr>
            <w:tcW w:w="1842"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 xml:space="preserve">Climate and resilience  issues </w:t>
            </w:r>
          </w:p>
        </w:tc>
      </w:tr>
      <w:tr w:rsidR="000E2FC3" w:rsidRPr="000E2FC3">
        <w:trPr>
          <w:trHeight w:val="211"/>
        </w:trPr>
        <w:tc>
          <w:tcPr>
            <w:tcW w:w="87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(Zikalala, 2019)</w:t>
            </w:r>
          </w:p>
        </w:tc>
        <w:tc>
          <w:tcPr>
            <w:tcW w:w="1137"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Re-blocking using community meetings.</w:t>
            </w:r>
          </w:p>
        </w:tc>
        <w:tc>
          <w:tcPr>
            <w:tcW w:w="1586" w:type="dxa"/>
          </w:tcPr>
          <w:p w:rsidR="00310F82" w:rsidRPr="000E2FC3" w:rsidRDefault="000E2FC3">
            <w:pPr>
              <w:spacing w:after="0" w:line="360" w:lineRule="auto"/>
              <w:rPr>
                <w:rFonts w:ascii="Times New Roman" w:hAnsi="Times New Roman" w:cs="Times New Roman"/>
                <w:sz w:val="20"/>
                <w:szCs w:val="20"/>
              </w:rPr>
            </w:pPr>
            <w:r w:rsidRPr="000E2FC3">
              <w:rPr>
                <w:rFonts w:ascii="Times New Roman" w:hAnsi="Times New Roman" w:cs="Times New Roman"/>
                <w:sz w:val="20"/>
                <w:szCs w:val="20"/>
              </w:rPr>
              <w:t>Kwa Mathambo, Durban located</w:t>
            </w:r>
          </w:p>
          <w:p w:rsidR="00310F82" w:rsidRPr="000E2FC3" w:rsidRDefault="000E2FC3">
            <w:pPr>
              <w:spacing w:after="0" w:line="360" w:lineRule="auto"/>
              <w:rPr>
                <w:rFonts w:ascii="Times New Roman" w:hAnsi="Times New Roman" w:cs="Times New Roman"/>
                <w:sz w:val="20"/>
                <w:szCs w:val="20"/>
              </w:rPr>
            </w:pPr>
            <w:r w:rsidRPr="000E2FC3">
              <w:rPr>
                <w:rFonts w:ascii="Times New Roman" w:hAnsi="Times New Roman" w:cs="Times New Roman"/>
                <w:sz w:val="20"/>
                <w:szCs w:val="20"/>
              </w:rPr>
              <w:t>opposite factories and majo</w:t>
            </w:r>
            <w:r w:rsidRPr="000E2FC3">
              <w:rPr>
                <w:rFonts w:ascii="Times New Roman" w:hAnsi="Times New Roman" w:cs="Times New Roman"/>
                <w:sz w:val="20"/>
                <w:szCs w:val="20"/>
              </w:rPr>
              <w:t>r rail and public transport routes providing employment and transport services</w:t>
            </w:r>
          </w:p>
        </w:tc>
        <w:tc>
          <w:tcPr>
            <w:tcW w:w="113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 xml:space="preserve">Overcrowding of shacks,  illegal connections, and regular fire outbreaks </w:t>
            </w:r>
          </w:p>
        </w:tc>
        <w:tc>
          <w:tcPr>
            <w:tcW w:w="1134"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229 structures were built in the first phase while 37 structures were built in the second phase</w:t>
            </w:r>
          </w:p>
        </w:tc>
        <w:tc>
          <w:tcPr>
            <w:tcW w:w="85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Bottom-up</w:t>
            </w:r>
          </w:p>
        </w:tc>
        <w:tc>
          <w:tcPr>
            <w:tcW w:w="1276" w:type="dxa"/>
          </w:tcPr>
          <w:p w:rsidR="00310F82" w:rsidRPr="000E2FC3" w:rsidRDefault="000E2FC3">
            <w:pPr>
              <w:spacing w:after="0" w:line="360" w:lineRule="auto"/>
              <w:rPr>
                <w:rFonts w:ascii="Times New Roman" w:hAnsi="Times New Roman" w:cs="Times New Roman"/>
                <w:sz w:val="20"/>
                <w:szCs w:val="20"/>
              </w:rPr>
            </w:pPr>
            <w:r w:rsidRPr="000E2FC3">
              <w:rPr>
                <w:rFonts w:ascii="Times New Roman" w:eastAsia="Times New Roman" w:hAnsi="Times New Roman" w:cs="Times New Roman"/>
                <w:sz w:val="20"/>
                <w:szCs w:val="20"/>
              </w:rPr>
              <w:t>In-situ upgrading prioritizing r</w:t>
            </w:r>
            <w:r w:rsidRPr="000E2FC3">
              <w:rPr>
                <w:rFonts w:ascii="Times New Roman" w:hAnsi="Times New Roman" w:cs="Times New Roman"/>
                <w:sz w:val="20"/>
                <w:szCs w:val="20"/>
              </w:rPr>
              <w:t>ebuilding of the shacks to develop a resistance to fires</w:t>
            </w:r>
          </w:p>
        </w:tc>
        <w:tc>
          <w:tcPr>
            <w:tcW w:w="1275"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hAnsi="Times New Roman" w:cs="Times New Roman"/>
                <w:sz w:val="20"/>
                <w:szCs w:val="20"/>
              </w:rPr>
              <w:t xml:space="preserve">the Department of Human Settlements (DHS), Community Organisation Resource Centre (CORC) and community members </w:t>
            </w:r>
          </w:p>
        </w:tc>
        <w:tc>
          <w:tcPr>
            <w:tcW w:w="851"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2016-2017</w:t>
            </w:r>
          </w:p>
        </w:tc>
        <w:tc>
          <w:tcPr>
            <w:tcW w:w="1276" w:type="dxa"/>
          </w:tcPr>
          <w:p w:rsidR="00310F82" w:rsidRPr="000E2FC3" w:rsidRDefault="000E2FC3">
            <w:pPr>
              <w:spacing w:after="0" w:line="360" w:lineRule="auto"/>
              <w:rPr>
                <w:rFonts w:ascii="Times New Roman" w:hAnsi="Times New Roman" w:cs="Times New Roman"/>
                <w:sz w:val="20"/>
                <w:szCs w:val="20"/>
              </w:rPr>
            </w:pPr>
            <w:r w:rsidRPr="000E2FC3">
              <w:rPr>
                <w:rFonts w:ascii="Times New Roman" w:hAnsi="Times New Roman" w:cs="Times New Roman"/>
                <w:sz w:val="20"/>
                <w:szCs w:val="20"/>
              </w:rPr>
              <w:t xml:space="preserve">Construction helps improve housing </w:t>
            </w:r>
            <w:r w:rsidRPr="000E2FC3">
              <w:rPr>
                <w:rFonts w:ascii="Times New Roman" w:hAnsi="Times New Roman" w:cs="Times New Roman"/>
                <w:sz w:val="20"/>
                <w:szCs w:val="20"/>
              </w:rPr>
              <w:t>conditions and secure essential services such as access roads, footpaths, electricity, and sanitation</w:t>
            </w:r>
          </w:p>
          <w:p w:rsidR="00310F82" w:rsidRPr="000E2FC3" w:rsidRDefault="00310F82">
            <w:pPr>
              <w:spacing w:after="0" w:line="360" w:lineRule="auto"/>
              <w:rPr>
                <w:rFonts w:ascii="Times New Roman" w:hAnsi="Times New Roman" w:cs="Times New Roman"/>
                <w:sz w:val="20"/>
                <w:szCs w:val="20"/>
              </w:rPr>
            </w:pPr>
          </w:p>
        </w:tc>
        <w:tc>
          <w:tcPr>
            <w:tcW w:w="1701" w:type="dxa"/>
          </w:tcPr>
          <w:p w:rsidR="00310F82" w:rsidRPr="000E2FC3" w:rsidRDefault="000E2FC3">
            <w:pPr>
              <w:spacing w:line="360" w:lineRule="auto"/>
              <w:rPr>
                <w:rFonts w:ascii="Times New Roman" w:hAnsi="Times New Roman" w:cs="Times New Roman"/>
                <w:sz w:val="20"/>
                <w:szCs w:val="20"/>
              </w:rPr>
            </w:pPr>
            <w:r w:rsidRPr="000E2FC3">
              <w:rPr>
                <w:rFonts w:ascii="Times New Roman" w:hAnsi="Times New Roman" w:cs="Times New Roman"/>
                <w:sz w:val="20"/>
                <w:szCs w:val="20"/>
              </w:rPr>
              <w:t>re-blocking has been done as an emergency response to a disaster</w:t>
            </w:r>
          </w:p>
        </w:tc>
        <w:tc>
          <w:tcPr>
            <w:tcW w:w="1842" w:type="dxa"/>
          </w:tcPr>
          <w:p w:rsidR="00310F82" w:rsidRPr="000E2FC3" w:rsidRDefault="000E2FC3">
            <w:pPr>
              <w:spacing w:after="0" w:line="360" w:lineRule="auto"/>
              <w:rPr>
                <w:rFonts w:ascii="Times New Roman" w:eastAsia="Times New Roman" w:hAnsi="Times New Roman" w:cs="Times New Roman"/>
                <w:sz w:val="20"/>
                <w:szCs w:val="20"/>
              </w:rPr>
            </w:pPr>
            <w:r w:rsidRPr="000E2FC3">
              <w:rPr>
                <w:rFonts w:ascii="Times New Roman" w:eastAsia="Times New Roman" w:hAnsi="Times New Roman" w:cs="Times New Roman"/>
                <w:sz w:val="20"/>
                <w:szCs w:val="20"/>
              </w:rPr>
              <w:t xml:space="preserve">Emphasis was on physical infrastructure </w:t>
            </w:r>
          </w:p>
        </w:tc>
      </w:tr>
    </w:tbl>
    <w:p w:rsidR="00310F82" w:rsidRPr="000E2FC3" w:rsidRDefault="00310F82">
      <w:pPr>
        <w:sectPr w:rsidR="00310F82" w:rsidRPr="000E2FC3" w:rsidSect="000E2FC3">
          <w:type w:val="continuous"/>
          <w:pgSz w:w="16838" w:h="11906" w:orient="landscape"/>
          <w:pgMar w:top="1803" w:right="1440" w:bottom="1803" w:left="1440" w:header="720" w:footer="720" w:gutter="0"/>
          <w:cols w:space="0"/>
          <w:docGrid w:linePitch="360"/>
        </w:sectPr>
      </w:pPr>
    </w:p>
    <w:p w:rsidR="00310F82" w:rsidRPr="000E2FC3" w:rsidRDefault="000E2FC3">
      <w:pPr>
        <w:rPr>
          <w:b/>
          <w:bCs/>
          <w:lang w:val="en-GB"/>
        </w:rPr>
      </w:pPr>
      <w:r w:rsidRPr="000E2FC3">
        <w:rPr>
          <w:b/>
          <w:bCs/>
          <w:lang w:val="en-GB"/>
        </w:rPr>
        <w:t>List of articles/reports/worki</w:t>
      </w:r>
      <w:r w:rsidRPr="000E2FC3">
        <w:rPr>
          <w:b/>
          <w:bCs/>
          <w:lang w:val="en-GB"/>
        </w:rPr>
        <w:t>ng papers reviewed and references</w:t>
      </w:r>
    </w:p>
    <w:tbl>
      <w:tblPr>
        <w:tblStyle w:val="TableGrid"/>
        <w:tblW w:w="9686" w:type="dxa"/>
        <w:tblLayout w:type="fixed"/>
        <w:tblLook w:val="04A0" w:firstRow="1" w:lastRow="0" w:firstColumn="1" w:lastColumn="0" w:noHBand="0" w:noVBand="1"/>
      </w:tblPr>
      <w:tblGrid>
        <w:gridCol w:w="796"/>
        <w:gridCol w:w="7430"/>
        <w:gridCol w:w="1460"/>
      </w:tblGrid>
      <w:tr w:rsidR="000E2FC3" w:rsidRPr="000E2FC3">
        <w:tc>
          <w:tcPr>
            <w:tcW w:w="796" w:type="dxa"/>
          </w:tcPr>
          <w:p w:rsidR="00310F82" w:rsidRPr="000E2FC3" w:rsidRDefault="000E2FC3">
            <w:pPr>
              <w:rPr>
                <w:b/>
                <w:bCs/>
                <w:lang w:val="en-GB"/>
              </w:rPr>
            </w:pPr>
            <w:r w:rsidRPr="000E2FC3">
              <w:rPr>
                <w:b/>
                <w:bCs/>
                <w:lang w:val="en-GB"/>
              </w:rPr>
              <w:t>S/n</w:t>
            </w:r>
          </w:p>
        </w:tc>
        <w:tc>
          <w:tcPr>
            <w:tcW w:w="7430" w:type="dxa"/>
          </w:tcPr>
          <w:p w:rsidR="00310F82" w:rsidRPr="000E2FC3" w:rsidRDefault="000E2FC3">
            <w:pPr>
              <w:rPr>
                <w:b/>
                <w:bCs/>
                <w:lang w:val="en-GB"/>
              </w:rPr>
            </w:pPr>
            <w:r w:rsidRPr="000E2FC3">
              <w:rPr>
                <w:b/>
                <w:bCs/>
                <w:lang w:val="en-GB"/>
              </w:rPr>
              <w:t xml:space="preserve">Articles/reports/working papers reviewed </w:t>
            </w:r>
          </w:p>
        </w:tc>
        <w:tc>
          <w:tcPr>
            <w:tcW w:w="1460" w:type="dxa"/>
          </w:tcPr>
          <w:p w:rsidR="00310F82" w:rsidRPr="000E2FC3" w:rsidRDefault="000E2FC3">
            <w:pPr>
              <w:rPr>
                <w:b/>
                <w:bCs/>
                <w:lang w:val="en-GB"/>
              </w:rPr>
            </w:pPr>
            <w:r w:rsidRPr="000E2FC3">
              <w:rPr>
                <w:b/>
                <w:bCs/>
                <w:lang w:val="en-GB"/>
              </w:rPr>
              <w:t>References</w:t>
            </w:r>
          </w:p>
        </w:tc>
      </w:tr>
      <w:tr w:rsidR="000E2FC3" w:rsidRPr="000E2FC3">
        <w:trPr>
          <w:trHeight w:val="882"/>
        </w:trPr>
        <w:tc>
          <w:tcPr>
            <w:tcW w:w="796" w:type="dxa"/>
          </w:tcPr>
          <w:p w:rsidR="00310F82" w:rsidRPr="000E2FC3" w:rsidRDefault="000E2FC3">
            <w:pPr>
              <w:rPr>
                <w:b/>
                <w:bCs/>
                <w:lang w:val="en-GB"/>
              </w:rPr>
            </w:pPr>
            <w:r w:rsidRPr="000E2FC3">
              <w:rPr>
                <w:b/>
                <w:bCs/>
                <w:lang w:val="en-GB"/>
              </w:rPr>
              <w:t>1</w:t>
            </w:r>
          </w:p>
        </w:tc>
        <w:tc>
          <w:tcPr>
            <w:tcW w:w="7430" w:type="dxa"/>
          </w:tcPr>
          <w:p w:rsidR="00310F82" w:rsidRPr="000E2FC3" w:rsidRDefault="000E2FC3">
            <w:pPr>
              <w:rPr>
                <w:b/>
                <w:bCs/>
                <w:lang w:val="en-GB"/>
              </w:rPr>
            </w:pPr>
            <w:r w:rsidRPr="000E2FC3">
              <w:rPr>
                <w:rFonts w:ascii="Times New Roman" w:hAnsi="Times New Roman" w:cs="Times New Roman"/>
                <w:sz w:val="20"/>
                <w:szCs w:val="20"/>
              </w:rPr>
              <w:t xml:space="preserve">Akmentiņa, L. Participatory Planning in Post-socialist Cities : A Case Study of Riga. </w:t>
            </w:r>
            <w:r w:rsidRPr="000E2FC3">
              <w:rPr>
                <w:rFonts w:ascii="Times New Roman" w:hAnsi="Times New Roman" w:cs="Times New Roman"/>
                <w:i/>
                <w:sz w:val="20"/>
                <w:szCs w:val="20"/>
              </w:rPr>
              <w:t>Architecture and Urban Planning Lita</w:t>
            </w:r>
            <w:r w:rsidRPr="000E2FC3">
              <w:rPr>
                <w:rFonts w:ascii="Times New Roman" w:hAnsi="Times New Roman" w:cs="Times New Roman"/>
                <w:i/>
                <w:sz w:val="20"/>
                <w:szCs w:val="20"/>
                <w:lang w:val="en-GB"/>
              </w:rPr>
              <w:t>.</w:t>
            </w:r>
            <w:r w:rsidRPr="000E2FC3">
              <w:rPr>
                <w:rFonts w:ascii="Times New Roman" w:hAnsi="Times New Roman" w:cs="Times New Roman"/>
                <w:sz w:val="20"/>
                <w:szCs w:val="20"/>
              </w:rPr>
              <w:t xml:space="preserve">  2020</w:t>
            </w:r>
            <w:r w:rsidRPr="000E2FC3">
              <w:rPr>
                <w:rFonts w:ascii="Times New Roman" w:hAnsi="Times New Roman" w:cs="Times New Roman"/>
                <w:sz w:val="20"/>
                <w:szCs w:val="20"/>
                <w:lang w:val="en-GB"/>
              </w:rPr>
              <w:t xml:space="preserve">, </w:t>
            </w:r>
            <w:r w:rsidRPr="000E2FC3">
              <w:rPr>
                <w:rFonts w:ascii="Times New Roman" w:hAnsi="Times New Roman" w:cs="Times New Roman"/>
                <w:i/>
                <w:sz w:val="20"/>
                <w:szCs w:val="20"/>
              </w:rPr>
              <w:t>16</w:t>
            </w:r>
            <w:r w:rsidRPr="000E2FC3">
              <w:rPr>
                <w:rFonts w:ascii="Times New Roman" w:hAnsi="Times New Roman" w:cs="Times New Roman"/>
                <w:sz w:val="20"/>
                <w:szCs w:val="20"/>
              </w:rPr>
              <w:t>(1), 17–25.</w:t>
            </w:r>
            <w:r w:rsidRPr="000E2FC3">
              <w:rPr>
                <w:rFonts w:ascii="Times New Roman" w:hAnsi="Times New Roman"/>
                <w:sz w:val="20"/>
                <w:szCs w:val="20"/>
              </w:rPr>
              <w:t xml:space="preserve">DOI: </w:t>
            </w:r>
            <w:hyperlink r:id="rId6" w:history="1">
              <w:r w:rsidRPr="000E2FC3">
                <w:rPr>
                  <w:rStyle w:val="Hyperlink"/>
                  <w:rFonts w:ascii="Times New Roman" w:hAnsi="Times New Roman"/>
                  <w:color w:val="auto"/>
                  <w:sz w:val="20"/>
                  <w:szCs w:val="20"/>
                </w:rPr>
                <w:t>https://doi.org/10.2478/aup-2020-0004</w:t>
              </w:r>
            </w:hyperlink>
          </w:p>
        </w:tc>
        <w:tc>
          <w:tcPr>
            <w:tcW w:w="1460" w:type="dxa"/>
          </w:tcPr>
          <w:p w:rsidR="00310F82" w:rsidRPr="000E2FC3" w:rsidRDefault="000E2FC3">
            <w:pPr>
              <w:rPr>
                <w:b/>
                <w:bCs/>
                <w:lang w:val="en-GB"/>
              </w:rPr>
            </w:pPr>
            <w:r w:rsidRPr="000E2FC3">
              <w:rPr>
                <w:b/>
                <w:bCs/>
                <w:lang w:val="en-GB"/>
              </w:rPr>
              <w:t>[21]</w:t>
            </w:r>
          </w:p>
        </w:tc>
      </w:tr>
      <w:tr w:rsidR="000E2FC3" w:rsidRPr="000E2FC3">
        <w:tc>
          <w:tcPr>
            <w:tcW w:w="796" w:type="dxa"/>
          </w:tcPr>
          <w:p w:rsidR="00310F82" w:rsidRPr="000E2FC3" w:rsidRDefault="000E2FC3">
            <w:pPr>
              <w:rPr>
                <w:b/>
                <w:bCs/>
                <w:lang w:val="en-GB"/>
              </w:rPr>
            </w:pPr>
            <w:r w:rsidRPr="000E2FC3">
              <w:rPr>
                <w:b/>
                <w:bCs/>
                <w:lang w:val="en-GB"/>
              </w:rPr>
              <w:t>2</w:t>
            </w:r>
          </w:p>
        </w:tc>
        <w:tc>
          <w:tcPr>
            <w:tcW w:w="7430" w:type="dxa"/>
          </w:tcPr>
          <w:p w:rsidR="00310F82" w:rsidRPr="000E2FC3" w:rsidRDefault="000E2FC3">
            <w:pPr>
              <w:rPr>
                <w:b/>
                <w:bCs/>
                <w:lang w:val="en-GB"/>
              </w:rPr>
            </w:pPr>
            <w:r w:rsidRPr="000E2FC3">
              <w:rPr>
                <w:rFonts w:ascii="Times New Roman" w:hAnsi="Times New Roman" w:cs="Times New Roman"/>
                <w:sz w:val="20"/>
                <w:szCs w:val="20"/>
              </w:rPr>
              <w:t>Parikh, P., Bisaga, I., Loggia, C., Georgiadou, M. and Ojo-Aromokudu, J. Barriers and opportunities for participatory environmental upgrading: Case study of Havelock in</w:t>
            </w:r>
            <w:r w:rsidRPr="000E2FC3">
              <w:rPr>
                <w:rFonts w:ascii="Times New Roman" w:hAnsi="Times New Roman" w:cs="Times New Roman"/>
                <w:sz w:val="20"/>
                <w:szCs w:val="20"/>
              </w:rPr>
              <w:t xml:space="preserve">formal settlement, Durban. City and Environment Interactions. 2020. 5 100041. </w:t>
            </w:r>
            <w:hyperlink r:id="rId7" w:history="1">
              <w:r w:rsidRPr="000E2FC3">
                <w:rPr>
                  <w:rStyle w:val="Hyperlink"/>
                  <w:rFonts w:ascii="Times New Roman" w:hAnsi="Times New Roman" w:cs="Times New Roman"/>
                  <w:color w:val="auto"/>
                  <w:sz w:val="20"/>
                  <w:szCs w:val="20"/>
                </w:rPr>
                <w:t>https://doi.org/10.1016/j.cacint.2020.100041</w:t>
              </w:r>
            </w:hyperlink>
          </w:p>
        </w:tc>
        <w:tc>
          <w:tcPr>
            <w:tcW w:w="1460" w:type="dxa"/>
          </w:tcPr>
          <w:p w:rsidR="00310F82" w:rsidRPr="000E2FC3" w:rsidRDefault="000E2FC3">
            <w:pPr>
              <w:rPr>
                <w:b/>
                <w:bCs/>
                <w:lang w:val="en-GB"/>
              </w:rPr>
            </w:pPr>
            <w:r w:rsidRPr="000E2FC3">
              <w:rPr>
                <w:b/>
                <w:bCs/>
                <w:lang w:val="en-GB"/>
              </w:rPr>
              <w:t>[22]</w:t>
            </w:r>
          </w:p>
        </w:tc>
      </w:tr>
      <w:tr w:rsidR="000E2FC3" w:rsidRPr="000E2FC3">
        <w:tc>
          <w:tcPr>
            <w:tcW w:w="796" w:type="dxa"/>
          </w:tcPr>
          <w:p w:rsidR="00310F82" w:rsidRPr="000E2FC3" w:rsidRDefault="000E2FC3">
            <w:pPr>
              <w:rPr>
                <w:b/>
                <w:bCs/>
                <w:lang w:val="en-GB"/>
              </w:rPr>
            </w:pPr>
            <w:r w:rsidRPr="000E2FC3">
              <w:rPr>
                <w:b/>
                <w:bCs/>
                <w:lang w:val="en-GB"/>
              </w:rPr>
              <w:t>3</w:t>
            </w:r>
          </w:p>
        </w:tc>
        <w:tc>
          <w:tcPr>
            <w:tcW w:w="7430" w:type="dxa"/>
          </w:tcPr>
          <w:p w:rsidR="00310F82" w:rsidRPr="000E2FC3" w:rsidRDefault="000E2FC3">
            <w:pPr>
              <w:rPr>
                <w:b/>
                <w:bCs/>
                <w:lang w:val="en-GB"/>
              </w:rPr>
            </w:pPr>
            <w:r w:rsidRPr="000E2FC3">
              <w:rPr>
                <w:rFonts w:ascii="Times New Roman" w:hAnsi="Times New Roman" w:cs="Times New Roman"/>
                <w:sz w:val="20"/>
                <w:szCs w:val="20"/>
              </w:rPr>
              <w:t>Almansi, F., &amp; Motta, J. M. Incorporating a resilience lens into</w:t>
            </w:r>
            <w:r w:rsidRPr="000E2FC3">
              <w:rPr>
                <w:rFonts w:ascii="Times New Roman" w:hAnsi="Times New Roman" w:cs="Times New Roman"/>
                <w:sz w:val="20"/>
                <w:szCs w:val="20"/>
              </w:rPr>
              <w:t xml:space="preserve"> the social and urban transformation of informal settlements : the participatory upgrading process in Villa 20, Buenos Aires ( 2016 – 2020 ). </w:t>
            </w:r>
            <w:r w:rsidRPr="000E2FC3">
              <w:rPr>
                <w:rFonts w:ascii="Times New Roman" w:hAnsi="Times New Roman" w:cs="Times New Roman"/>
                <w:i/>
                <w:sz w:val="20"/>
                <w:szCs w:val="20"/>
              </w:rPr>
              <w:t>Environment &amp; Urbanization</w:t>
            </w:r>
            <w:r w:rsidRPr="000E2FC3">
              <w:rPr>
                <w:rFonts w:ascii="Times New Roman" w:hAnsi="Times New Roman" w:cs="Times New Roman"/>
                <w:i/>
                <w:sz w:val="20"/>
                <w:szCs w:val="20"/>
                <w:lang w:val="en-GB"/>
              </w:rPr>
              <w:t>.</w:t>
            </w:r>
            <w:r w:rsidRPr="000E2FC3">
              <w:rPr>
                <w:rFonts w:ascii="Times New Roman" w:hAnsi="Times New Roman" w:cs="Times New Roman"/>
                <w:sz w:val="20"/>
                <w:szCs w:val="20"/>
              </w:rPr>
              <w:t xml:space="preserve"> 2020</w:t>
            </w:r>
            <w:r w:rsidRPr="000E2FC3">
              <w:rPr>
                <w:rFonts w:ascii="Times New Roman" w:hAnsi="Times New Roman" w:cs="Times New Roman"/>
                <w:sz w:val="20"/>
                <w:szCs w:val="20"/>
                <w:lang w:val="en-GB"/>
              </w:rPr>
              <w:t xml:space="preserve">, </w:t>
            </w:r>
            <w:r w:rsidRPr="000E2FC3">
              <w:rPr>
                <w:rFonts w:ascii="Times New Roman" w:hAnsi="Times New Roman" w:cs="Times New Roman"/>
                <w:i/>
                <w:sz w:val="20"/>
                <w:szCs w:val="20"/>
              </w:rPr>
              <w:t>32</w:t>
            </w:r>
            <w:r w:rsidRPr="000E2FC3">
              <w:rPr>
                <w:rFonts w:ascii="Times New Roman" w:hAnsi="Times New Roman" w:cs="Times New Roman"/>
                <w:sz w:val="20"/>
                <w:szCs w:val="20"/>
              </w:rPr>
              <w:t xml:space="preserve">(3), 407–428. </w:t>
            </w:r>
            <w:hyperlink r:id="rId8" w:history="1">
              <w:r w:rsidRPr="000E2FC3">
                <w:rPr>
                  <w:rStyle w:val="Hyperlink"/>
                  <w:rFonts w:ascii="Times New Roman" w:hAnsi="Times New Roman" w:cs="Times New Roman"/>
                  <w:color w:val="auto"/>
                  <w:sz w:val="20"/>
                  <w:szCs w:val="20"/>
                </w:rPr>
                <w:t>https://do</w:t>
              </w:r>
              <w:r w:rsidRPr="000E2FC3">
                <w:rPr>
                  <w:rStyle w:val="Hyperlink"/>
                  <w:rFonts w:ascii="Times New Roman" w:hAnsi="Times New Roman" w:cs="Times New Roman"/>
                  <w:color w:val="auto"/>
                  <w:sz w:val="20"/>
                  <w:szCs w:val="20"/>
                </w:rPr>
                <w:t>i.org/10.1177/0956247820935717</w:t>
              </w:r>
            </w:hyperlink>
          </w:p>
        </w:tc>
        <w:tc>
          <w:tcPr>
            <w:tcW w:w="1460" w:type="dxa"/>
          </w:tcPr>
          <w:p w:rsidR="00310F82" w:rsidRPr="000E2FC3" w:rsidRDefault="000E2FC3">
            <w:pPr>
              <w:rPr>
                <w:b/>
                <w:bCs/>
                <w:lang w:val="en-GB"/>
              </w:rPr>
            </w:pPr>
            <w:r w:rsidRPr="000E2FC3">
              <w:rPr>
                <w:b/>
                <w:bCs/>
                <w:lang w:val="en-GB"/>
              </w:rPr>
              <w:t>[23]</w:t>
            </w:r>
          </w:p>
        </w:tc>
      </w:tr>
      <w:tr w:rsidR="000E2FC3" w:rsidRPr="000E2FC3">
        <w:tc>
          <w:tcPr>
            <w:tcW w:w="796" w:type="dxa"/>
          </w:tcPr>
          <w:p w:rsidR="00310F82" w:rsidRPr="000E2FC3" w:rsidRDefault="000E2FC3">
            <w:pPr>
              <w:rPr>
                <w:b/>
                <w:bCs/>
                <w:lang w:val="en-GB"/>
              </w:rPr>
            </w:pPr>
            <w:r w:rsidRPr="000E2FC3">
              <w:rPr>
                <w:b/>
                <w:bCs/>
                <w:lang w:val="en-GB"/>
              </w:rPr>
              <w:t>4</w:t>
            </w:r>
          </w:p>
        </w:tc>
        <w:tc>
          <w:tcPr>
            <w:tcW w:w="7430" w:type="dxa"/>
          </w:tcPr>
          <w:p w:rsidR="00310F82" w:rsidRPr="000E2FC3" w:rsidRDefault="000E2FC3">
            <w:pPr>
              <w:rPr>
                <w:b/>
                <w:bCs/>
                <w:lang w:val="en-GB"/>
              </w:rPr>
            </w:pPr>
            <w:r w:rsidRPr="000E2FC3">
              <w:rPr>
                <w:rFonts w:ascii="Times New Roman" w:hAnsi="Times New Roman" w:cs="Times New Roman"/>
                <w:sz w:val="20"/>
                <w:szCs w:val="20"/>
              </w:rPr>
              <w:t xml:space="preserve">French, M., Popal, A., Rahimi, H., Popuri, S., &amp; Turkstra, J. Institutionalizing participatory slum upgrading : a case study of urban co-production from Afghanistan, 2002–2016. </w:t>
            </w:r>
            <w:r w:rsidRPr="000E2FC3">
              <w:rPr>
                <w:rFonts w:ascii="Times New Roman" w:hAnsi="Times New Roman" w:cs="Times New Roman"/>
                <w:i/>
                <w:sz w:val="20"/>
                <w:szCs w:val="20"/>
              </w:rPr>
              <w:t>Environment &amp; Urbanization</w:t>
            </w:r>
            <w:r w:rsidRPr="000E2FC3">
              <w:rPr>
                <w:rFonts w:ascii="Times New Roman" w:hAnsi="Times New Roman" w:cs="Times New Roman"/>
                <w:i/>
                <w:sz w:val="20"/>
                <w:szCs w:val="20"/>
                <w:lang w:val="en-GB"/>
              </w:rPr>
              <w:t xml:space="preserve">. </w:t>
            </w:r>
            <w:r w:rsidRPr="000E2FC3">
              <w:rPr>
                <w:rFonts w:ascii="Times New Roman" w:hAnsi="Times New Roman" w:cs="Times New Roman"/>
                <w:sz w:val="20"/>
                <w:szCs w:val="20"/>
              </w:rPr>
              <w:t>2018</w:t>
            </w:r>
            <w:r w:rsidRPr="000E2FC3">
              <w:rPr>
                <w:rFonts w:ascii="Times New Roman" w:hAnsi="Times New Roman" w:cs="Times New Roman"/>
                <w:sz w:val="20"/>
                <w:szCs w:val="20"/>
                <w:lang w:val="en-GB"/>
              </w:rPr>
              <w:t xml:space="preserve">, </w:t>
            </w:r>
            <w:r w:rsidRPr="000E2FC3">
              <w:rPr>
                <w:rFonts w:ascii="Times New Roman" w:hAnsi="Times New Roman" w:cs="Times New Roman"/>
                <w:i/>
                <w:sz w:val="20"/>
                <w:szCs w:val="20"/>
              </w:rPr>
              <w:t>31</w:t>
            </w:r>
            <w:r w:rsidRPr="000E2FC3">
              <w:rPr>
                <w:rFonts w:ascii="Times New Roman" w:hAnsi="Times New Roman" w:cs="Times New Roman"/>
                <w:sz w:val="20"/>
                <w:szCs w:val="20"/>
              </w:rPr>
              <w:t xml:space="preserve">(4), 209–230. </w:t>
            </w:r>
            <w:hyperlink r:id="rId9" w:history="1">
              <w:r w:rsidRPr="000E2FC3">
                <w:rPr>
                  <w:rStyle w:val="Hyperlink"/>
                  <w:rFonts w:ascii="Times New Roman" w:hAnsi="Times New Roman" w:cs="Times New Roman"/>
                  <w:color w:val="auto"/>
                  <w:sz w:val="20"/>
                  <w:szCs w:val="20"/>
                </w:rPr>
                <w:t>https://doi.org/10.1177/0956247818791043</w:t>
              </w:r>
            </w:hyperlink>
          </w:p>
        </w:tc>
        <w:tc>
          <w:tcPr>
            <w:tcW w:w="1460" w:type="dxa"/>
          </w:tcPr>
          <w:p w:rsidR="00310F82" w:rsidRPr="000E2FC3" w:rsidRDefault="000E2FC3">
            <w:pPr>
              <w:rPr>
                <w:b/>
                <w:bCs/>
                <w:lang w:val="en-GB"/>
              </w:rPr>
            </w:pPr>
            <w:r w:rsidRPr="000E2FC3">
              <w:rPr>
                <w:b/>
                <w:bCs/>
                <w:lang w:val="en-GB"/>
              </w:rPr>
              <w:t>[16]</w:t>
            </w:r>
          </w:p>
        </w:tc>
      </w:tr>
      <w:tr w:rsidR="000E2FC3" w:rsidRPr="000E2FC3">
        <w:tc>
          <w:tcPr>
            <w:tcW w:w="796" w:type="dxa"/>
          </w:tcPr>
          <w:p w:rsidR="00310F82" w:rsidRPr="000E2FC3" w:rsidRDefault="000E2FC3">
            <w:pPr>
              <w:rPr>
                <w:b/>
                <w:bCs/>
                <w:lang w:val="en-GB"/>
              </w:rPr>
            </w:pPr>
            <w:r w:rsidRPr="000E2FC3">
              <w:rPr>
                <w:b/>
                <w:bCs/>
                <w:lang w:val="en-GB"/>
              </w:rPr>
              <w:t>5</w:t>
            </w:r>
          </w:p>
        </w:tc>
        <w:tc>
          <w:tcPr>
            <w:tcW w:w="7430" w:type="dxa"/>
          </w:tcPr>
          <w:p w:rsidR="00310F82" w:rsidRPr="000E2FC3" w:rsidRDefault="000E2FC3">
            <w:pPr>
              <w:rPr>
                <w:b/>
                <w:bCs/>
                <w:lang w:val="en-GB"/>
              </w:rPr>
            </w:pPr>
            <w:r w:rsidRPr="000E2FC3">
              <w:rPr>
                <w:rFonts w:ascii="Times New Roman" w:hAnsi="Times New Roman"/>
                <w:sz w:val="20"/>
                <w:szCs w:val="20"/>
              </w:rPr>
              <w:t>Horn, P.,</w:t>
            </w:r>
            <w:r w:rsidRPr="000E2FC3">
              <w:rPr>
                <w:rFonts w:ascii="Times New Roman" w:hAnsi="Times New Roman"/>
                <w:sz w:val="20"/>
                <w:szCs w:val="20"/>
                <w:lang w:val="en-GB"/>
              </w:rPr>
              <w:t xml:space="preserve"> </w:t>
            </w:r>
            <w:r w:rsidRPr="000E2FC3">
              <w:rPr>
                <w:rFonts w:ascii="Times New Roman" w:hAnsi="Times New Roman"/>
                <w:sz w:val="20"/>
                <w:szCs w:val="20"/>
              </w:rPr>
              <w:t xml:space="preserve"> Kimani, J., Makau, J. </w:t>
            </w:r>
            <w:r w:rsidRPr="000E2FC3">
              <w:rPr>
                <w:rFonts w:ascii="Times New Roman" w:hAnsi="Times New Roman" w:cs="Times New Roman"/>
                <w:sz w:val="20"/>
                <w:szCs w:val="20"/>
              </w:rPr>
              <w:t>&amp; Njoroge, P.</w:t>
            </w:r>
            <w:r w:rsidRPr="000E2FC3">
              <w:rPr>
                <w:rFonts w:ascii="Times New Roman" w:hAnsi="Times New Roman"/>
                <w:sz w:val="20"/>
                <w:szCs w:val="20"/>
              </w:rPr>
              <w:t xml:space="preserve"> </w:t>
            </w:r>
            <w:r w:rsidRPr="000E2FC3">
              <w:rPr>
                <w:rFonts w:ascii="Times New Roman" w:hAnsi="Times New Roman"/>
                <w:i/>
                <w:iCs/>
                <w:sz w:val="20"/>
                <w:szCs w:val="20"/>
              </w:rPr>
              <w:t xml:space="preserve">Scaling participation in informal settlement upgrading : a documentation of community </w:t>
            </w:r>
            <w:r w:rsidRPr="000E2FC3">
              <w:rPr>
                <w:rFonts w:ascii="Times New Roman" w:hAnsi="Times New Roman"/>
                <w:i/>
                <w:iCs/>
                <w:sz w:val="20"/>
                <w:szCs w:val="20"/>
              </w:rPr>
              <w:t>mobilisation and consultation processes in the Mukuru Special Planning Area, Nairobi, Kenya</w:t>
            </w:r>
            <w:r w:rsidRPr="000E2FC3">
              <w:rPr>
                <w:rFonts w:ascii="Times New Roman" w:hAnsi="Times New Roman"/>
                <w:sz w:val="20"/>
                <w:szCs w:val="20"/>
              </w:rPr>
              <w:t>. Working Paper. Global Development Institute, University of Manchester</w:t>
            </w:r>
            <w:r w:rsidRPr="000E2FC3">
              <w:rPr>
                <w:rFonts w:ascii="Times New Roman" w:hAnsi="Times New Roman"/>
                <w:sz w:val="20"/>
                <w:szCs w:val="20"/>
                <w:lang w:val="en-GB"/>
              </w:rPr>
              <w:t xml:space="preserve">. </w:t>
            </w:r>
            <w:r w:rsidRPr="000E2FC3">
              <w:rPr>
                <w:rFonts w:ascii="Times New Roman" w:hAnsi="Times New Roman"/>
                <w:sz w:val="20"/>
                <w:szCs w:val="20"/>
              </w:rPr>
              <w:t xml:space="preserve"> 2020</w:t>
            </w:r>
            <w:r w:rsidRPr="000E2FC3">
              <w:rPr>
                <w:rFonts w:ascii="Times New Roman" w:hAnsi="Times New Roman"/>
                <w:sz w:val="20"/>
                <w:szCs w:val="20"/>
                <w:lang w:val="en-GB"/>
              </w:rPr>
              <w:t>. Accessed online on October</w:t>
            </w:r>
            <w:r w:rsidRPr="000E2FC3">
              <w:rPr>
                <w:rFonts w:ascii="Times New Roman" w:hAnsi="Times New Roman" w:cs="Times New Roman"/>
                <w:sz w:val="20"/>
                <w:szCs w:val="20"/>
                <w:lang w:val="en-GB"/>
              </w:rPr>
              <w:t xml:space="preserve"> 06, 2023 from: </w:t>
            </w:r>
            <w:hyperlink r:id="rId10" w:history="1">
              <w:r w:rsidRPr="000E2FC3">
                <w:rPr>
                  <w:rStyle w:val="Hyperlink"/>
                  <w:rFonts w:ascii="Times New Roman" w:hAnsi="Times New Roman"/>
                  <w:color w:val="auto"/>
                  <w:sz w:val="20"/>
                  <w:szCs w:val="20"/>
                  <w:lang w:val="en-GB"/>
                </w:rPr>
                <w:t>https://hummedia.manchester.ac.uk/institutes/gdi/publications/workingpapers/scaling-participation-horn-et-al.pdf</w:t>
              </w:r>
            </w:hyperlink>
            <w:r w:rsidRPr="000E2FC3">
              <w:rPr>
                <w:rFonts w:ascii="Times New Roman" w:hAnsi="Times New Roman"/>
                <w:sz w:val="20"/>
                <w:szCs w:val="20"/>
                <w:lang w:val="en-GB"/>
              </w:rPr>
              <w:t xml:space="preserve">   </w:t>
            </w:r>
          </w:p>
        </w:tc>
        <w:tc>
          <w:tcPr>
            <w:tcW w:w="1460" w:type="dxa"/>
          </w:tcPr>
          <w:p w:rsidR="00310F82" w:rsidRPr="000E2FC3" w:rsidRDefault="000E2FC3">
            <w:pPr>
              <w:rPr>
                <w:b/>
                <w:bCs/>
                <w:lang w:val="en-GB"/>
              </w:rPr>
            </w:pPr>
            <w:r w:rsidRPr="000E2FC3">
              <w:rPr>
                <w:b/>
                <w:bCs/>
                <w:lang w:val="en-GB"/>
              </w:rPr>
              <w:t>[15]</w:t>
            </w:r>
          </w:p>
        </w:tc>
      </w:tr>
      <w:tr w:rsidR="000E2FC3" w:rsidRPr="000E2FC3">
        <w:tc>
          <w:tcPr>
            <w:tcW w:w="796" w:type="dxa"/>
          </w:tcPr>
          <w:p w:rsidR="00310F82" w:rsidRPr="000E2FC3" w:rsidRDefault="000E2FC3">
            <w:pPr>
              <w:rPr>
                <w:b/>
                <w:bCs/>
                <w:lang w:val="en-GB"/>
              </w:rPr>
            </w:pPr>
            <w:r w:rsidRPr="000E2FC3">
              <w:rPr>
                <w:b/>
                <w:bCs/>
                <w:lang w:val="en-GB"/>
              </w:rPr>
              <w:t>6</w:t>
            </w:r>
          </w:p>
        </w:tc>
        <w:tc>
          <w:tcPr>
            <w:tcW w:w="7430" w:type="dxa"/>
          </w:tcPr>
          <w:p w:rsidR="00310F82" w:rsidRPr="000E2FC3" w:rsidRDefault="000E2FC3">
            <w:pPr>
              <w:rPr>
                <w:b/>
                <w:bCs/>
                <w:lang w:val="en-GB"/>
              </w:rPr>
            </w:pPr>
            <w:r w:rsidRPr="000E2FC3">
              <w:rPr>
                <w:rFonts w:ascii="Times New Roman" w:hAnsi="Times New Roman" w:cs="Times New Roman"/>
                <w:sz w:val="20"/>
                <w:szCs w:val="20"/>
              </w:rPr>
              <w:t xml:space="preserve">Abuya, J. O. </w:t>
            </w:r>
            <w:r w:rsidRPr="000E2FC3">
              <w:rPr>
                <w:rFonts w:ascii="Times New Roman" w:hAnsi="Times New Roman" w:cs="Times New Roman"/>
                <w:i/>
                <w:sz w:val="20"/>
                <w:szCs w:val="20"/>
              </w:rPr>
              <w:t xml:space="preserve">The Application of Participatory </w:t>
            </w:r>
            <w:r w:rsidRPr="000E2FC3">
              <w:rPr>
                <w:rFonts w:ascii="Times New Roman" w:hAnsi="Times New Roman" w:cs="Times New Roman"/>
                <w:i/>
                <w:sz w:val="20"/>
                <w:szCs w:val="20"/>
              </w:rPr>
              <w:t>Planning Approaches in Slum Upgrading Programmes : The Case of Kisumu Town, Kenya</w:t>
            </w:r>
            <w:r w:rsidRPr="000E2FC3">
              <w:rPr>
                <w:rFonts w:ascii="Times New Roman" w:hAnsi="Times New Roman" w:cs="Times New Roman"/>
                <w:sz w:val="20"/>
                <w:szCs w:val="20"/>
              </w:rPr>
              <w:t>.</w:t>
            </w:r>
            <w:r w:rsidRPr="000E2FC3">
              <w:rPr>
                <w:rFonts w:ascii="Times New Roman" w:hAnsi="Times New Roman" w:cs="Times New Roman"/>
                <w:sz w:val="20"/>
                <w:szCs w:val="20"/>
                <w:lang w:val="en-GB"/>
              </w:rPr>
              <w:t xml:space="preserve"> </w:t>
            </w:r>
            <w:r w:rsidRPr="000E2FC3">
              <w:rPr>
                <w:rFonts w:ascii="Times New Roman" w:hAnsi="Times New Roman" w:cs="Times New Roman"/>
                <w:sz w:val="20"/>
                <w:szCs w:val="20"/>
              </w:rPr>
              <w:t>2006</w:t>
            </w:r>
            <w:r w:rsidRPr="000E2FC3">
              <w:rPr>
                <w:rFonts w:ascii="Times New Roman" w:hAnsi="Times New Roman" w:cs="Times New Roman"/>
                <w:sz w:val="20"/>
                <w:szCs w:val="20"/>
                <w:lang w:val="en-GB"/>
              </w:rPr>
              <w:t>. Accessed on-line on September 25, 2023 from:</w:t>
            </w:r>
            <w:hyperlink r:id="rId11" w:history="1">
              <w:r w:rsidRPr="000E2FC3">
                <w:rPr>
                  <w:rStyle w:val="Hyperlink"/>
                  <w:rFonts w:ascii="Times New Roman" w:hAnsi="Times New Roman"/>
                  <w:color w:val="auto"/>
                  <w:sz w:val="20"/>
                  <w:szCs w:val="20"/>
                  <w:lang w:val="en-GB"/>
                </w:rPr>
                <w:t>http://www.visual.se/pi</w:t>
              </w:r>
              <w:r w:rsidRPr="000E2FC3">
                <w:rPr>
                  <w:rStyle w:val="Hyperlink"/>
                  <w:rFonts w:ascii="Times New Roman" w:hAnsi="Times New Roman"/>
                  <w:color w:val="auto"/>
                  <w:sz w:val="20"/>
                  <w:szCs w:val="20"/>
                  <w:lang w:val="en-GB"/>
                </w:rPr>
                <w:t>cs/PDFs/Participatory_Planning_Approaches_Kisumu_Jack_Abuya.pdf</w:t>
              </w:r>
            </w:hyperlink>
            <w:r w:rsidRPr="000E2FC3">
              <w:rPr>
                <w:rFonts w:ascii="Times New Roman" w:hAnsi="Times New Roman"/>
                <w:sz w:val="20"/>
                <w:szCs w:val="20"/>
                <w:lang w:val="en-GB"/>
              </w:rPr>
              <w:t xml:space="preserve">  </w:t>
            </w:r>
          </w:p>
        </w:tc>
        <w:tc>
          <w:tcPr>
            <w:tcW w:w="1460" w:type="dxa"/>
          </w:tcPr>
          <w:p w:rsidR="00310F82" w:rsidRPr="000E2FC3" w:rsidRDefault="000E2FC3">
            <w:pPr>
              <w:rPr>
                <w:b/>
                <w:bCs/>
                <w:lang w:val="en-GB"/>
              </w:rPr>
            </w:pPr>
            <w:r w:rsidRPr="000E2FC3">
              <w:rPr>
                <w:b/>
                <w:bCs/>
                <w:lang w:val="en-GB"/>
              </w:rPr>
              <w:t>[28]</w:t>
            </w:r>
          </w:p>
        </w:tc>
      </w:tr>
      <w:tr w:rsidR="000E2FC3" w:rsidRPr="000E2FC3">
        <w:tc>
          <w:tcPr>
            <w:tcW w:w="796" w:type="dxa"/>
          </w:tcPr>
          <w:p w:rsidR="00310F82" w:rsidRPr="000E2FC3" w:rsidRDefault="000E2FC3">
            <w:pPr>
              <w:rPr>
                <w:b/>
                <w:bCs/>
                <w:lang w:val="en-GB"/>
              </w:rPr>
            </w:pPr>
            <w:r w:rsidRPr="000E2FC3">
              <w:rPr>
                <w:b/>
                <w:bCs/>
                <w:lang w:val="en-GB"/>
              </w:rPr>
              <w:t>7</w:t>
            </w:r>
          </w:p>
        </w:tc>
        <w:tc>
          <w:tcPr>
            <w:tcW w:w="7430" w:type="dxa"/>
          </w:tcPr>
          <w:p w:rsidR="00310F82" w:rsidRPr="000E2FC3" w:rsidRDefault="000E2FC3">
            <w:pPr>
              <w:rPr>
                <w:b/>
                <w:bCs/>
                <w:lang w:val="en-GB"/>
              </w:rPr>
            </w:pPr>
            <w:r w:rsidRPr="000E2FC3">
              <w:rPr>
                <w:rFonts w:ascii="Times New Roman" w:hAnsi="Times New Roman" w:cs="Times New Roman"/>
                <w:sz w:val="20"/>
                <w:szCs w:val="20"/>
              </w:rPr>
              <w:t xml:space="preserve">Mwamba, J. S., &amp; Peng, Z.  Analysis of Informal Urban Settlement Upgrading : The Case of Ng'ombe Slum Upgrading in Zambia. </w:t>
            </w:r>
            <w:r w:rsidRPr="000E2FC3">
              <w:rPr>
                <w:rFonts w:ascii="Times New Roman" w:hAnsi="Times New Roman" w:cs="Times New Roman"/>
                <w:i/>
                <w:sz w:val="20"/>
                <w:szCs w:val="20"/>
              </w:rPr>
              <w:t>Current Urban Studies</w:t>
            </w:r>
            <w:r w:rsidRPr="000E2FC3">
              <w:rPr>
                <w:rFonts w:ascii="Times New Roman" w:hAnsi="Times New Roman" w:cs="Times New Roman"/>
                <w:i/>
                <w:sz w:val="20"/>
                <w:szCs w:val="20"/>
                <w:lang w:val="en-GB"/>
              </w:rPr>
              <w:t>.</w:t>
            </w:r>
            <w:r w:rsidRPr="000E2FC3">
              <w:rPr>
                <w:rFonts w:ascii="Times New Roman" w:hAnsi="Times New Roman" w:cs="Times New Roman"/>
                <w:sz w:val="20"/>
                <w:szCs w:val="20"/>
              </w:rPr>
              <w:t xml:space="preserve"> 2020</w:t>
            </w:r>
            <w:r w:rsidRPr="000E2FC3">
              <w:rPr>
                <w:rFonts w:ascii="Times New Roman" w:hAnsi="Times New Roman" w:cs="Times New Roman"/>
                <w:sz w:val="20"/>
                <w:szCs w:val="20"/>
                <w:lang w:val="en-GB"/>
              </w:rPr>
              <w:t xml:space="preserve">, </w:t>
            </w:r>
            <w:r w:rsidRPr="000E2FC3">
              <w:rPr>
                <w:rFonts w:ascii="Times New Roman" w:hAnsi="Times New Roman" w:cs="Times New Roman"/>
                <w:sz w:val="20"/>
                <w:szCs w:val="20"/>
              </w:rPr>
              <w:t xml:space="preserve">509–532. </w:t>
            </w:r>
            <w:hyperlink r:id="rId12" w:history="1">
              <w:r w:rsidRPr="000E2FC3">
                <w:rPr>
                  <w:rStyle w:val="Hyperlink"/>
                  <w:rFonts w:ascii="Times New Roman" w:hAnsi="Times New Roman" w:cs="Times New Roman"/>
                  <w:color w:val="auto"/>
                  <w:sz w:val="20"/>
                  <w:szCs w:val="20"/>
                </w:rPr>
                <w:t>https://doi.org/10.4236/cus.2020.84028</w:t>
              </w:r>
            </w:hyperlink>
            <w:r w:rsidRPr="000E2FC3">
              <w:rPr>
                <w:rStyle w:val="Hyperlink"/>
                <w:rFonts w:ascii="Times New Roman" w:hAnsi="Times New Roman" w:cs="Times New Roman"/>
                <w:color w:val="auto"/>
                <w:sz w:val="20"/>
                <w:szCs w:val="20"/>
                <w:lang w:val="en-GB"/>
              </w:rPr>
              <w:t xml:space="preserve">    </w:t>
            </w:r>
          </w:p>
        </w:tc>
        <w:tc>
          <w:tcPr>
            <w:tcW w:w="1460" w:type="dxa"/>
          </w:tcPr>
          <w:p w:rsidR="00310F82" w:rsidRPr="000E2FC3" w:rsidRDefault="000E2FC3">
            <w:pPr>
              <w:rPr>
                <w:b/>
                <w:bCs/>
                <w:lang w:val="en-GB"/>
              </w:rPr>
            </w:pPr>
            <w:r w:rsidRPr="000E2FC3">
              <w:rPr>
                <w:b/>
                <w:bCs/>
                <w:lang w:val="en-GB"/>
              </w:rPr>
              <w:t>[32]</w:t>
            </w:r>
          </w:p>
        </w:tc>
      </w:tr>
      <w:tr w:rsidR="000E2FC3" w:rsidRPr="000E2FC3">
        <w:tc>
          <w:tcPr>
            <w:tcW w:w="796" w:type="dxa"/>
          </w:tcPr>
          <w:p w:rsidR="00310F82" w:rsidRPr="000E2FC3" w:rsidRDefault="000E2FC3">
            <w:pPr>
              <w:rPr>
                <w:b/>
                <w:bCs/>
                <w:lang w:val="en-GB"/>
              </w:rPr>
            </w:pPr>
            <w:r w:rsidRPr="000E2FC3">
              <w:rPr>
                <w:b/>
                <w:bCs/>
                <w:lang w:val="en-GB"/>
              </w:rPr>
              <w:t>8</w:t>
            </w:r>
          </w:p>
        </w:tc>
        <w:tc>
          <w:tcPr>
            <w:tcW w:w="7430" w:type="dxa"/>
          </w:tcPr>
          <w:p w:rsidR="00310F82" w:rsidRPr="000E2FC3" w:rsidRDefault="000E2FC3">
            <w:pPr>
              <w:rPr>
                <w:b/>
                <w:bCs/>
                <w:lang w:val="en-GB"/>
              </w:rPr>
            </w:pPr>
            <w:r w:rsidRPr="000E2FC3">
              <w:rPr>
                <w:rFonts w:ascii="Times New Roman" w:hAnsi="Times New Roman" w:cs="Times New Roman"/>
                <w:sz w:val="20"/>
                <w:szCs w:val="20"/>
              </w:rPr>
              <w:t>UN-Habitat</w:t>
            </w:r>
            <w:r w:rsidRPr="000E2FC3">
              <w:rPr>
                <w:rFonts w:ascii="Times New Roman" w:hAnsi="Times New Roman" w:cs="Times New Roman"/>
                <w:sz w:val="20"/>
                <w:szCs w:val="20"/>
                <w:lang w:val="en-GB"/>
              </w:rPr>
              <w:t xml:space="preserve"> (</w:t>
            </w:r>
            <w:r w:rsidRPr="000E2FC3">
              <w:rPr>
                <w:rFonts w:ascii="Times New Roman" w:hAnsi="Times New Roman" w:cs="Times New Roman"/>
                <w:sz w:val="20"/>
                <w:szCs w:val="20"/>
              </w:rPr>
              <w:t>2020</w:t>
            </w:r>
            <w:r w:rsidRPr="000E2FC3">
              <w:rPr>
                <w:rFonts w:ascii="Times New Roman" w:hAnsi="Times New Roman" w:cs="Times New Roman"/>
                <w:sz w:val="20"/>
                <w:szCs w:val="20"/>
                <w:lang w:val="en-GB"/>
              </w:rPr>
              <w:t>)</w:t>
            </w:r>
            <w:r w:rsidRPr="000E2FC3">
              <w:rPr>
                <w:rFonts w:ascii="Times New Roman" w:hAnsi="Times New Roman" w:cs="Times New Roman"/>
                <w:sz w:val="20"/>
                <w:szCs w:val="20"/>
              </w:rPr>
              <w:t>.</w:t>
            </w:r>
            <w:r w:rsidRPr="000E2FC3">
              <w:rPr>
                <w:rFonts w:ascii="Times New Roman" w:hAnsi="Times New Roman" w:cs="Times New Roman"/>
                <w:sz w:val="20"/>
                <w:szCs w:val="20"/>
                <w:lang w:val="en-GB"/>
              </w:rPr>
              <w:t xml:space="preserve"> </w:t>
            </w:r>
            <w:r w:rsidRPr="000E2FC3">
              <w:rPr>
                <w:rFonts w:ascii="Times New Roman" w:hAnsi="Times New Roman" w:cs="Times New Roman"/>
                <w:i/>
                <w:sz w:val="20"/>
                <w:szCs w:val="20"/>
              </w:rPr>
              <w:t>Participatory Slum Upgrading Programme: Transforming the lives of one billion slum dwellers</w:t>
            </w:r>
            <w:r w:rsidRPr="000E2FC3">
              <w:rPr>
                <w:rFonts w:ascii="Times New Roman" w:hAnsi="Times New Roman" w:cs="Times New Roman"/>
                <w:sz w:val="20"/>
                <w:szCs w:val="20"/>
              </w:rPr>
              <w:t xml:space="preserve">. </w:t>
            </w:r>
            <w:r w:rsidRPr="000E2FC3">
              <w:rPr>
                <w:rFonts w:ascii="Times New Roman" w:hAnsi="Times New Roman"/>
                <w:sz w:val="20"/>
                <w:szCs w:val="20"/>
                <w:lang w:val="en-GB"/>
              </w:rPr>
              <w:t xml:space="preserve">Accessed online on </w:t>
            </w:r>
            <w:r w:rsidRPr="000E2FC3">
              <w:rPr>
                <w:rFonts w:ascii="Times New Roman" w:hAnsi="Times New Roman" w:cs="Times New Roman"/>
                <w:sz w:val="20"/>
                <w:szCs w:val="20"/>
                <w:lang w:val="en-GB"/>
              </w:rPr>
              <w:t xml:space="preserve">September 27, 2023 from: </w:t>
            </w:r>
            <w:hyperlink r:id="rId13" w:history="1">
              <w:r w:rsidRPr="000E2FC3">
                <w:rPr>
                  <w:rStyle w:val="Hyperlink"/>
                  <w:rFonts w:ascii="Times New Roman" w:hAnsi="Times New Roman" w:cs="Times New Roman"/>
                  <w:color w:val="auto"/>
                  <w:sz w:val="20"/>
                  <w:szCs w:val="20"/>
                </w:rPr>
                <w:t>https://www.mypsup.org/library_files/downloads/SDGs</w:t>
              </w:r>
            </w:hyperlink>
          </w:p>
        </w:tc>
        <w:tc>
          <w:tcPr>
            <w:tcW w:w="1460" w:type="dxa"/>
          </w:tcPr>
          <w:p w:rsidR="00310F82" w:rsidRPr="000E2FC3" w:rsidRDefault="000E2FC3">
            <w:pPr>
              <w:rPr>
                <w:b/>
                <w:bCs/>
                <w:lang w:val="en-GB"/>
              </w:rPr>
            </w:pPr>
            <w:r w:rsidRPr="000E2FC3">
              <w:rPr>
                <w:b/>
                <w:bCs/>
                <w:lang w:val="en-GB"/>
              </w:rPr>
              <w:t>[11]</w:t>
            </w:r>
          </w:p>
        </w:tc>
      </w:tr>
      <w:tr w:rsidR="000E2FC3" w:rsidRPr="000E2FC3">
        <w:tc>
          <w:tcPr>
            <w:tcW w:w="796" w:type="dxa"/>
          </w:tcPr>
          <w:p w:rsidR="00310F82" w:rsidRPr="000E2FC3" w:rsidRDefault="000E2FC3">
            <w:pPr>
              <w:rPr>
                <w:b/>
                <w:bCs/>
                <w:lang w:val="en-GB"/>
              </w:rPr>
            </w:pPr>
            <w:r w:rsidRPr="000E2FC3">
              <w:rPr>
                <w:b/>
                <w:bCs/>
                <w:lang w:val="en-GB"/>
              </w:rPr>
              <w:t>9</w:t>
            </w:r>
          </w:p>
        </w:tc>
        <w:tc>
          <w:tcPr>
            <w:tcW w:w="7430" w:type="dxa"/>
          </w:tcPr>
          <w:p w:rsidR="00310F82" w:rsidRPr="000E2FC3" w:rsidRDefault="000E2FC3">
            <w:pPr>
              <w:rPr>
                <w:b/>
                <w:bCs/>
                <w:lang w:val="en-GB"/>
              </w:rPr>
            </w:pPr>
            <w:r w:rsidRPr="000E2FC3">
              <w:rPr>
                <w:rFonts w:ascii="Times New Roman" w:hAnsi="Times New Roman" w:cs="Times New Roman"/>
                <w:sz w:val="20"/>
                <w:szCs w:val="20"/>
              </w:rPr>
              <w:t xml:space="preserve">Milhahn, K.  </w:t>
            </w:r>
            <w:r w:rsidRPr="000E2FC3">
              <w:rPr>
                <w:rFonts w:ascii="Times New Roman" w:hAnsi="Times New Roman"/>
                <w:sz w:val="20"/>
                <w:szCs w:val="20"/>
              </w:rPr>
              <w:t>Kenya's coast: An ongoing project is transforming two slums into sustainable communities</w:t>
            </w:r>
            <w:r w:rsidRPr="000E2FC3">
              <w:rPr>
                <w:rFonts w:ascii="Times New Roman" w:hAnsi="Times New Roman" w:cs="Times New Roman"/>
                <w:sz w:val="20"/>
                <w:szCs w:val="20"/>
              </w:rPr>
              <w:t>.</w:t>
            </w:r>
            <w:r w:rsidRPr="000E2FC3">
              <w:rPr>
                <w:rFonts w:ascii="Times New Roman" w:hAnsi="Times New Roman" w:cs="Times New Roman"/>
                <w:sz w:val="20"/>
                <w:szCs w:val="20"/>
                <w:lang w:val="en-GB"/>
              </w:rPr>
              <w:t xml:space="preserve"> </w:t>
            </w:r>
            <w:r w:rsidRPr="000E2FC3">
              <w:rPr>
                <w:rFonts w:ascii="Times New Roman" w:hAnsi="Times New Roman" w:cs="Times New Roman"/>
                <w:sz w:val="20"/>
                <w:szCs w:val="20"/>
              </w:rPr>
              <w:t>UN-Habitat.</w:t>
            </w:r>
            <w:r w:rsidRPr="000E2FC3">
              <w:rPr>
                <w:rFonts w:ascii="Times New Roman" w:hAnsi="Times New Roman" w:cs="Times New Roman"/>
                <w:sz w:val="20"/>
                <w:szCs w:val="20"/>
                <w:lang w:val="en-GB"/>
              </w:rPr>
              <w:t xml:space="preserve"> </w:t>
            </w:r>
            <w:r w:rsidRPr="000E2FC3">
              <w:rPr>
                <w:rFonts w:ascii="Times New Roman" w:hAnsi="Times New Roman" w:cs="Times New Roman"/>
                <w:sz w:val="20"/>
                <w:szCs w:val="20"/>
              </w:rPr>
              <w:t>2019</w:t>
            </w:r>
            <w:r w:rsidRPr="000E2FC3">
              <w:rPr>
                <w:rFonts w:ascii="Times New Roman" w:hAnsi="Times New Roman" w:cs="Times New Roman"/>
                <w:sz w:val="20"/>
                <w:szCs w:val="20"/>
                <w:lang w:val="en-GB"/>
              </w:rPr>
              <w:t>.</w:t>
            </w:r>
            <w:r w:rsidRPr="000E2FC3">
              <w:rPr>
                <w:rFonts w:ascii="Times New Roman" w:hAnsi="Times New Roman" w:cs="Times New Roman"/>
                <w:sz w:val="20"/>
                <w:szCs w:val="20"/>
              </w:rPr>
              <w:t xml:space="preserve"> </w:t>
            </w:r>
            <w:hyperlink r:id="rId14" w:history="1">
              <w:r w:rsidRPr="000E2FC3">
                <w:rPr>
                  <w:rStyle w:val="Hyperlink"/>
                  <w:rFonts w:ascii="Times New Roman" w:hAnsi="Times New Roman" w:cs="Times New Roman"/>
                  <w:color w:val="auto"/>
                  <w:sz w:val="20"/>
                  <w:szCs w:val="20"/>
                </w:rPr>
                <w:t>https://unhabitat.org/news/03-sep-2019/kenyas-coast-an-ongoing-project-is-transforming-two-slums-into-sustainable</w:t>
              </w:r>
            </w:hyperlink>
          </w:p>
        </w:tc>
        <w:tc>
          <w:tcPr>
            <w:tcW w:w="1460" w:type="dxa"/>
          </w:tcPr>
          <w:p w:rsidR="00310F82" w:rsidRPr="000E2FC3" w:rsidRDefault="000E2FC3">
            <w:pPr>
              <w:rPr>
                <w:b/>
                <w:bCs/>
                <w:lang w:val="en-GB"/>
              </w:rPr>
            </w:pPr>
            <w:r w:rsidRPr="000E2FC3">
              <w:rPr>
                <w:b/>
                <w:bCs/>
                <w:lang w:val="en-GB"/>
              </w:rPr>
              <w:t>[27]</w:t>
            </w:r>
          </w:p>
        </w:tc>
      </w:tr>
      <w:tr w:rsidR="00310F82" w:rsidRPr="000E2FC3">
        <w:tc>
          <w:tcPr>
            <w:tcW w:w="796" w:type="dxa"/>
          </w:tcPr>
          <w:p w:rsidR="00310F82" w:rsidRPr="000E2FC3" w:rsidRDefault="000E2FC3">
            <w:pPr>
              <w:rPr>
                <w:b/>
                <w:bCs/>
                <w:lang w:val="en-GB"/>
              </w:rPr>
            </w:pPr>
            <w:r w:rsidRPr="000E2FC3">
              <w:rPr>
                <w:b/>
                <w:bCs/>
                <w:lang w:val="en-GB"/>
              </w:rPr>
              <w:t>10</w:t>
            </w:r>
          </w:p>
        </w:tc>
        <w:tc>
          <w:tcPr>
            <w:tcW w:w="7430" w:type="dxa"/>
          </w:tcPr>
          <w:p w:rsidR="00310F82" w:rsidRPr="000E2FC3" w:rsidRDefault="000E2FC3">
            <w:pPr>
              <w:rPr>
                <w:b/>
                <w:bCs/>
                <w:lang w:val="en-GB"/>
              </w:rPr>
            </w:pPr>
            <w:r w:rsidRPr="000E2FC3">
              <w:rPr>
                <w:rFonts w:ascii="Times New Roman" w:hAnsi="Times New Roman" w:cs="Times New Roman"/>
                <w:sz w:val="20"/>
                <w:szCs w:val="20"/>
              </w:rPr>
              <w:t xml:space="preserve">Zikalala, S. N. </w:t>
            </w:r>
            <w:r w:rsidRPr="000E2FC3">
              <w:rPr>
                <w:rFonts w:ascii="Times New Roman" w:hAnsi="Times New Roman" w:cs="Times New Roman"/>
                <w:i/>
                <w:sz w:val="20"/>
                <w:szCs w:val="20"/>
              </w:rPr>
              <w:t xml:space="preserve">A </w:t>
            </w:r>
            <w:r w:rsidRPr="000E2FC3">
              <w:rPr>
                <w:rFonts w:ascii="Times New Roman" w:hAnsi="Times New Roman" w:cs="Times New Roman"/>
                <w:i/>
                <w:sz w:val="20"/>
                <w:szCs w:val="20"/>
              </w:rPr>
              <w:t>Critical Evaluation of Community Participation in the Planning and Re-Blocking of Informal Settlements. The Case of Kwa</w:t>
            </w:r>
            <w:r w:rsidRPr="000E2FC3">
              <w:rPr>
                <w:rFonts w:ascii="Times New Roman" w:hAnsi="Times New Roman" w:cs="Times New Roman"/>
                <w:i/>
                <w:sz w:val="20"/>
                <w:szCs w:val="20"/>
                <w:lang w:val="en-GB"/>
              </w:rPr>
              <w:t xml:space="preserve"> </w:t>
            </w:r>
            <w:r w:rsidRPr="000E2FC3">
              <w:rPr>
                <w:rFonts w:ascii="Times New Roman" w:hAnsi="Times New Roman" w:cs="Times New Roman"/>
                <w:i/>
                <w:sz w:val="20"/>
                <w:szCs w:val="20"/>
              </w:rPr>
              <w:t>Mathambo, Durban. Supervisor : Mr Vincent Myeni Declaration</w:t>
            </w:r>
            <w:r w:rsidRPr="000E2FC3">
              <w:rPr>
                <w:rFonts w:ascii="Times New Roman" w:hAnsi="Times New Roman" w:cs="Times New Roman"/>
                <w:sz w:val="20"/>
                <w:szCs w:val="20"/>
              </w:rPr>
              <w:t xml:space="preserve"> (Issue January). University of KwaZulu-Natal, Howard College, South Africa.</w:t>
            </w:r>
            <w:r w:rsidRPr="000E2FC3">
              <w:rPr>
                <w:rFonts w:ascii="Times New Roman" w:hAnsi="Times New Roman" w:cs="Times New Roman"/>
                <w:sz w:val="20"/>
                <w:szCs w:val="20"/>
                <w:lang w:val="en-GB"/>
              </w:rPr>
              <w:t xml:space="preserve"> </w:t>
            </w:r>
            <w:r w:rsidRPr="000E2FC3">
              <w:rPr>
                <w:rFonts w:ascii="Times New Roman" w:hAnsi="Times New Roman" w:cs="Times New Roman"/>
                <w:sz w:val="20"/>
                <w:szCs w:val="20"/>
              </w:rPr>
              <w:t>2019</w:t>
            </w:r>
            <w:r w:rsidRPr="000E2FC3">
              <w:rPr>
                <w:rFonts w:ascii="Times New Roman" w:hAnsi="Times New Roman" w:cs="Times New Roman"/>
                <w:sz w:val="20"/>
                <w:szCs w:val="20"/>
                <w:lang w:val="en-GB"/>
              </w:rPr>
              <w:t xml:space="preserve">. </w:t>
            </w:r>
            <w:hyperlink r:id="rId15" w:history="1">
              <w:r w:rsidRPr="000E2FC3">
                <w:rPr>
                  <w:rStyle w:val="Hyperlink"/>
                  <w:rFonts w:ascii="Times New Roman" w:hAnsi="Times New Roman"/>
                  <w:color w:val="auto"/>
                  <w:sz w:val="20"/>
                  <w:szCs w:val="20"/>
                  <w:lang w:val="en-GB"/>
                </w:rPr>
                <w:t>https://researchspace.ukzn.ac.za/items/3a164c15-75d3-47b3-b301-4cacab008f1c</w:t>
              </w:r>
            </w:hyperlink>
          </w:p>
        </w:tc>
        <w:tc>
          <w:tcPr>
            <w:tcW w:w="1460" w:type="dxa"/>
          </w:tcPr>
          <w:p w:rsidR="00310F82" w:rsidRPr="000E2FC3" w:rsidRDefault="000E2FC3">
            <w:pPr>
              <w:rPr>
                <w:b/>
                <w:bCs/>
                <w:lang w:val="en-GB"/>
              </w:rPr>
            </w:pPr>
            <w:r w:rsidRPr="000E2FC3">
              <w:rPr>
                <w:b/>
                <w:bCs/>
                <w:lang w:val="en-GB"/>
              </w:rPr>
              <w:t>[29]</w:t>
            </w:r>
          </w:p>
        </w:tc>
      </w:tr>
    </w:tbl>
    <w:p w:rsidR="00310F82" w:rsidRPr="000E2FC3" w:rsidRDefault="00310F82">
      <w:pPr>
        <w:rPr>
          <w:lang w:val="en-GB"/>
        </w:rPr>
      </w:pPr>
    </w:p>
    <w:p w:rsidR="00310F82" w:rsidRPr="000E2FC3" w:rsidRDefault="00310F82"/>
    <w:sectPr w:rsidR="00310F82" w:rsidRPr="000E2FC3" w:rsidSect="000E2FC3">
      <w:type w:val="continuous"/>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F82" w:rsidRDefault="000E2FC3">
      <w:pPr>
        <w:spacing w:line="240" w:lineRule="auto"/>
      </w:pPr>
      <w:r>
        <w:separator/>
      </w:r>
    </w:p>
  </w:endnote>
  <w:endnote w:type="continuationSeparator" w:id="0">
    <w:p w:rsidR="00310F82" w:rsidRDefault="000E2F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F82" w:rsidRDefault="000E2FC3">
      <w:pPr>
        <w:spacing w:after="0"/>
      </w:pPr>
      <w:r>
        <w:separator/>
      </w:r>
    </w:p>
  </w:footnote>
  <w:footnote w:type="continuationSeparator" w:id="0">
    <w:p w:rsidR="00310F82" w:rsidRDefault="000E2FC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embedSystemFonts/>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B66AD3"/>
    <w:rsid w:val="000E2FC3"/>
    <w:rsid w:val="00310F82"/>
    <w:rsid w:val="06935BDB"/>
    <w:rsid w:val="11C96CC5"/>
    <w:rsid w:val="163259FE"/>
    <w:rsid w:val="1BBF0717"/>
    <w:rsid w:val="1FDC04D4"/>
    <w:rsid w:val="22582E38"/>
    <w:rsid w:val="269F554A"/>
    <w:rsid w:val="37B66AD3"/>
    <w:rsid w:val="3A6E7BF9"/>
    <w:rsid w:val="3C8961DF"/>
    <w:rsid w:val="416318D6"/>
    <w:rsid w:val="4222765B"/>
    <w:rsid w:val="4C1550E2"/>
    <w:rsid w:val="4D5B1B76"/>
    <w:rsid w:val="540260A0"/>
    <w:rsid w:val="5BA83556"/>
    <w:rsid w:val="5FA75845"/>
    <w:rsid w:val="63CB0C90"/>
    <w:rsid w:val="6591642E"/>
    <w:rsid w:val="68C21BF7"/>
    <w:rsid w:val="6DEE44A0"/>
    <w:rsid w:val="73633C7C"/>
    <w:rsid w:val="759A4ADB"/>
    <w:rsid w:val="7D4513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25BFF53-DD21-4777-BC98-2A45EAEC4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Calibri" w:eastAsia="Calibri" w:hAnsi="Calibri" w:cs="Calibri"/>
      <w:sz w:val="22"/>
      <w:szCs w:val="22"/>
      <w:lang w:val="en-US" w:eastAsia="en-US"/>
    </w:rPr>
  </w:style>
  <w:style w:type="paragraph" w:styleId="Heading3">
    <w:name w:val="heading 3"/>
    <w:next w:val="Normal"/>
    <w:semiHidden/>
    <w:unhideWhenUsed/>
    <w:qFormat/>
    <w:pPr>
      <w:spacing w:beforeAutospacing="1" w:afterAutospacing="1"/>
      <w:outlineLvl w:val="2"/>
    </w:pPr>
    <w:rPr>
      <w:rFonts w:ascii="SimSun" w:hAnsi="SimSun" w:hint="eastAsia"/>
      <w:b/>
      <w:bCs/>
      <w:sz w:val="27"/>
      <w:szCs w:val="27"/>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qFormat/>
    <w:rPr>
      <w:color w:val="0000FF"/>
      <w:u w:val="single"/>
    </w:rPr>
  </w:style>
  <w:style w:type="character" w:styleId="Strong">
    <w:name w:val="Strong"/>
    <w:basedOn w:val="DefaultParagraphFont"/>
    <w:qFormat/>
    <w:rPr>
      <w:b/>
      <w:bCs/>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0">
    <w:name w:val="_Style 10"/>
    <w:basedOn w:val="TableNormal1"/>
    <w:qFormat/>
    <w:tblPr>
      <w:tblCellMar>
        <w:top w:w="0" w:type="dxa"/>
        <w:left w:w="108" w:type="dxa"/>
        <w:bottom w:w="0" w:type="dxa"/>
        <w:right w:w="108" w:type="dxa"/>
      </w:tblCellMar>
    </w:tblPr>
  </w:style>
  <w:style w:type="table" w:customStyle="1" w:styleId="TableNormal1">
    <w:name w:val="Table Normal1"/>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oi.org/10.1177/0956247820935717" TargetMode="External"/><Relationship Id="rId13" Type="http://schemas.openxmlformats.org/officeDocument/2006/relationships/hyperlink" Target="https://www.mypsup.org/library_files/downloads/SDGs" TargetMode="External"/><Relationship Id="rId3" Type="http://schemas.openxmlformats.org/officeDocument/2006/relationships/webSettings" Target="webSettings.xml"/><Relationship Id="rId7" Type="http://schemas.openxmlformats.org/officeDocument/2006/relationships/hyperlink" Target="https://doi.org/10.1016/j.cacint.2020.100041" TargetMode="External"/><Relationship Id="rId12" Type="http://schemas.openxmlformats.org/officeDocument/2006/relationships/hyperlink" Target="https://doi.org/10.4236/cus.2020.84028"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i.org/10.2478/aup-2020-0004" TargetMode="External"/><Relationship Id="rId11" Type="http://schemas.openxmlformats.org/officeDocument/2006/relationships/hyperlink" Target="http://www.visual.se/pics/PDFs/Participatory_Planning_Approaches_Kisumu_Jack_Abuya.pdf" TargetMode="External"/><Relationship Id="rId5" Type="http://schemas.openxmlformats.org/officeDocument/2006/relationships/endnotes" Target="endnotes.xml"/><Relationship Id="rId15" Type="http://schemas.openxmlformats.org/officeDocument/2006/relationships/hyperlink" Target="https://researchspace.ukzn.ac.za/items/3a164c15-75d3-47b3-b301-4cacab008f1c" TargetMode="External"/><Relationship Id="rId10" Type="http://schemas.openxmlformats.org/officeDocument/2006/relationships/hyperlink" Target="https://hummedia.manchester.ac.uk/institutes/gdi/publications/workingpapers/scaling-participation-horn-et-al.pdf" TargetMode="External"/><Relationship Id="rId4" Type="http://schemas.openxmlformats.org/officeDocument/2006/relationships/footnotes" Target="footnotes.xml"/><Relationship Id="rId9" Type="http://schemas.openxmlformats.org/officeDocument/2006/relationships/hyperlink" Target="https://doi.org/10.1177/0956247818791043" TargetMode="External"/><Relationship Id="rId14" Type="http://schemas.openxmlformats.org/officeDocument/2006/relationships/hyperlink" Target="https://unhabitat.org/news/03-sep-2019/kenyas-coast-an-ongoing-project-is-transforming-two-slums-into-sustainabl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2191</Words>
  <Characters>12492</Characters>
  <Application>Microsoft Office Word</Application>
  <DocSecurity>0</DocSecurity>
  <Lines>104</Lines>
  <Paragraphs>29</Paragraphs>
  <ScaleCrop>false</ScaleCrop>
  <Company/>
  <LinksUpToDate>false</LinksUpToDate>
  <CharactersWithSpaces>14654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Revathi   Thangaraj</cp:lastModifiedBy>
  <cp:revision>2</cp:revision>
  <cp:lastPrinted>2024-03-18T06:34:00Z</cp:lastPrinted>
  <dcterms:created xsi:type="dcterms:W3CDTF">2024-03-18T06:33:00Z</dcterms:created>
  <dcterms:modified xsi:type="dcterms:W3CDTF">2024-11-05T07:31:00Z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2057-12.2.0.18165</vt:lpwstr>
  </property>
  <property fmtid="{D5CDD505-2E9C-101B-9397-08002B2CF9AE}" pid="3" name="ICV">
    <vt:lpwstr>D29B67EC3A34472781DD59018B0066BA_13</vt:lpwstr>
  </property>
</Properties>
</file>