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9755A" w14:textId="0A84F3E5" w:rsidR="002959F8" w:rsidRDefault="002959F8" w:rsidP="00A74CCD">
      <w:pPr>
        <w:spacing w:line="360" w:lineRule="auto"/>
        <w:jc w:val="both"/>
        <w:rPr>
          <w:rFonts w:ascii="Times New Roman" w:hAnsi="Times New Roman" w:cs="Times New Roman"/>
          <w:b/>
          <w:sz w:val="24"/>
          <w:szCs w:val="24"/>
        </w:rPr>
      </w:pPr>
      <w:r>
        <w:rPr>
          <w:rFonts w:ascii="Times New Roman" w:hAnsi="Times New Roman" w:cs="Times New Roman"/>
          <w:b/>
          <w:sz w:val="24"/>
          <w:szCs w:val="24"/>
        </w:rPr>
        <w:t>S</w:t>
      </w:r>
      <w:r w:rsidR="00510F1B">
        <w:rPr>
          <w:rFonts w:ascii="Times New Roman" w:hAnsi="Times New Roman" w:cs="Times New Roman"/>
          <w:b/>
          <w:sz w:val="24"/>
          <w:szCs w:val="24"/>
        </w:rPr>
        <w:t>1</w:t>
      </w:r>
      <w:r>
        <w:rPr>
          <w:rFonts w:ascii="Times New Roman" w:hAnsi="Times New Roman" w:cs="Times New Roman"/>
          <w:b/>
          <w:sz w:val="24"/>
          <w:szCs w:val="24"/>
        </w:rPr>
        <w:t>. Cyclone Hazard Map Preparation</w:t>
      </w:r>
    </w:p>
    <w:p w14:paraId="3580C781" w14:textId="2E76F5DB" w:rsidR="00A74CCD" w:rsidRDefault="00A74CCD" w:rsidP="00A74CC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review of Flood Action Plan 19 (FAP 19), it is found that during the </w:t>
      </w:r>
      <w:r w:rsidR="002959F8">
        <w:rPr>
          <w:rFonts w:ascii="Times New Roman" w:hAnsi="Times New Roman" w:cs="Times New Roman"/>
          <w:sz w:val="24"/>
          <w:szCs w:val="24"/>
        </w:rPr>
        <w:t xml:space="preserve">storm surge period, the flooding depth decays linearly </w:t>
      </w:r>
      <w:r>
        <w:rPr>
          <w:rFonts w:ascii="Times New Roman" w:hAnsi="Times New Roman" w:cs="Times New Roman"/>
          <w:sz w:val="24"/>
          <w:szCs w:val="24"/>
        </w:rPr>
        <w:t xml:space="preserve">towards the inland. It is also observed that the </w:t>
      </w:r>
      <w:r w:rsidRPr="000B2ECB">
        <w:rPr>
          <w:rFonts w:ascii="Times New Roman" w:hAnsi="Times New Roman" w:cs="Times New Roman"/>
          <w:noProof/>
          <w:sz w:val="24"/>
          <w:szCs w:val="24"/>
        </w:rPr>
        <w:t>inundated</w:t>
      </w:r>
      <w:r>
        <w:rPr>
          <w:rFonts w:ascii="Times New Roman" w:hAnsi="Times New Roman" w:cs="Times New Roman"/>
          <w:sz w:val="24"/>
          <w:szCs w:val="24"/>
        </w:rPr>
        <w:t xml:space="preserve"> area mainly depends on wave height. </w:t>
      </w:r>
      <w:r w:rsidR="002959F8">
        <w:rPr>
          <w:rFonts w:ascii="Times New Roman" w:hAnsi="Times New Roman" w:cs="Times New Roman"/>
          <w:sz w:val="24"/>
          <w:szCs w:val="24"/>
        </w:rPr>
        <w:t>As height increases</w:t>
      </w:r>
      <w:r>
        <w:rPr>
          <w:rFonts w:ascii="Times New Roman" w:hAnsi="Times New Roman" w:cs="Times New Roman"/>
          <w:sz w:val="24"/>
          <w:szCs w:val="24"/>
        </w:rPr>
        <w:t xml:space="preserve">, the inundated area will also increase. </w:t>
      </w:r>
    </w:p>
    <w:p w14:paraId="287276EF" w14:textId="3D518E55" w:rsidR="00A74CCD" w:rsidRPr="002B12F0" w:rsidRDefault="00A74CCD" w:rsidP="00A74CCD">
      <w:pPr>
        <w:spacing w:line="360" w:lineRule="auto"/>
        <w:jc w:val="center"/>
        <w:rPr>
          <w:rFonts w:ascii="Times New Roman" w:hAnsi="Times New Roman" w:cs="Times New Roman"/>
          <w:b/>
          <w:szCs w:val="24"/>
        </w:rPr>
      </w:pPr>
      <w:bookmarkStart w:id="0" w:name="_Hlk535575554"/>
      <w:r>
        <w:rPr>
          <w:rFonts w:ascii="Times New Roman" w:hAnsi="Times New Roman" w:cs="Times New Roman"/>
          <w:b/>
          <w:szCs w:val="24"/>
        </w:rPr>
        <w:t>Table</w:t>
      </w:r>
      <w:r w:rsidRPr="002B12F0">
        <w:rPr>
          <w:rFonts w:ascii="Times New Roman" w:hAnsi="Times New Roman" w:cs="Times New Roman"/>
          <w:b/>
          <w:szCs w:val="24"/>
        </w:rPr>
        <w:t xml:space="preserve"> </w:t>
      </w:r>
      <w:r w:rsidR="00AD42D6">
        <w:rPr>
          <w:rFonts w:ascii="Times New Roman" w:hAnsi="Times New Roman" w:cs="Times New Roman"/>
          <w:b/>
          <w:szCs w:val="24"/>
        </w:rPr>
        <w:t>1</w:t>
      </w:r>
      <w:r w:rsidRPr="002B12F0">
        <w:rPr>
          <w:rFonts w:ascii="Times New Roman" w:hAnsi="Times New Roman" w:cs="Times New Roman"/>
          <w:b/>
          <w:szCs w:val="24"/>
        </w:rPr>
        <w:t xml:space="preserve"> - Relation between Wave Height and Inundated Area at Coastline of Bangladesh</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5"/>
        <w:gridCol w:w="2970"/>
        <w:gridCol w:w="2430"/>
      </w:tblGrid>
      <w:tr w:rsidR="00A74CCD" w:rsidRPr="00785564" w14:paraId="3001F613"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bookmarkEnd w:id="0"/>
          <w:p w14:paraId="4A4964D9"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b/>
                <w:bCs/>
                <w:color w:val="000000"/>
              </w:rPr>
              <w:t>Wave Height at Coastline</w:t>
            </w:r>
            <w:r w:rsidRPr="00785564">
              <w:rPr>
                <w:rFonts w:ascii="Times New Roman" w:eastAsia="Times New Roman" w:hAnsi="Times New Roman" w:cs="Times New Roman"/>
                <w:b/>
                <w:bCs/>
                <w:color w:val="000000"/>
              </w:rPr>
              <w:br/>
            </w:r>
            <w:r w:rsidRPr="00785564">
              <w:rPr>
                <w:rFonts w:ascii="Times New Roman" w:eastAsia="Times New Roman" w:hAnsi="Times New Roman" w:cs="Times New Roman"/>
                <w:color w:val="000000"/>
              </w:rPr>
              <w:t>(meters)</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CAEB13E" w14:textId="77777777" w:rsidR="00A74CCD" w:rsidRPr="00785564" w:rsidRDefault="00A74CCD" w:rsidP="00CA0493">
            <w:pPr>
              <w:spacing w:before="20" w:after="20" w:line="240" w:lineRule="auto"/>
              <w:jc w:val="center"/>
              <w:rPr>
                <w:rFonts w:ascii="Times New Roman" w:eastAsia="Times New Roman" w:hAnsi="Times New Roman" w:cs="Times New Roman"/>
              </w:rPr>
            </w:pPr>
            <w:r>
              <w:rPr>
                <w:rFonts w:ascii="Times New Roman" w:eastAsia="Times New Roman" w:hAnsi="Times New Roman" w:cs="Times New Roman"/>
                <w:b/>
                <w:bCs/>
                <w:noProof/>
                <w:color w:val="000000"/>
              </w:rPr>
              <w:t>The a</w:t>
            </w:r>
            <w:r w:rsidRPr="000B2ECB">
              <w:rPr>
                <w:rFonts w:ascii="Times New Roman" w:eastAsia="Times New Roman" w:hAnsi="Times New Roman" w:cs="Times New Roman"/>
                <w:b/>
                <w:bCs/>
                <w:noProof/>
                <w:color w:val="000000"/>
              </w:rPr>
              <w:t>rea</w:t>
            </w:r>
            <w:r w:rsidRPr="00785564">
              <w:rPr>
                <w:rFonts w:ascii="Times New Roman" w:eastAsia="Times New Roman" w:hAnsi="Times New Roman" w:cs="Times New Roman"/>
                <w:b/>
                <w:bCs/>
                <w:color w:val="000000"/>
              </w:rPr>
              <w:t xml:space="preserve"> with Constant Surge</w:t>
            </w:r>
            <w:r w:rsidRPr="00785564">
              <w:rPr>
                <w:rFonts w:ascii="Times New Roman" w:eastAsia="Times New Roman" w:hAnsi="Times New Roman" w:cs="Times New Roman"/>
                <w:b/>
                <w:bCs/>
                <w:color w:val="000000"/>
              </w:rPr>
              <w:br/>
              <w:t>Depth</w:t>
            </w:r>
            <w:r w:rsidRPr="00785564">
              <w:rPr>
                <w:rFonts w:ascii="Times New Roman" w:eastAsia="Times New Roman" w:hAnsi="Times New Roman" w:cs="Times New Roman"/>
                <w:b/>
                <w:bCs/>
                <w:color w:val="000000"/>
              </w:rPr>
              <w:br/>
            </w:r>
            <w:r w:rsidRPr="00785564">
              <w:rPr>
                <w:rFonts w:ascii="Times New Roman" w:eastAsia="Times New Roman" w:hAnsi="Times New Roman" w:cs="Times New Roman"/>
                <w:color w:val="000000"/>
              </w:rPr>
              <w:t>(distance from the coastline</w:t>
            </w:r>
            <w:r w:rsidRPr="00785564">
              <w:rPr>
                <w:rFonts w:ascii="Times New Roman" w:eastAsia="Times New Roman" w:hAnsi="Times New Roman" w:cs="Times New Roman"/>
                <w:color w:val="000000"/>
              </w:rPr>
              <w:br/>
              <w:t>in meters)</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4D2A49D"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b/>
                <w:bCs/>
                <w:color w:val="000000"/>
              </w:rPr>
              <w:t>Total Inundated Area</w:t>
            </w:r>
            <w:r w:rsidRPr="00785564">
              <w:rPr>
                <w:rFonts w:ascii="Times New Roman" w:eastAsia="Times New Roman" w:hAnsi="Times New Roman" w:cs="Times New Roman"/>
                <w:b/>
                <w:bCs/>
                <w:color w:val="000000"/>
              </w:rPr>
              <w:br/>
            </w:r>
            <w:r w:rsidRPr="00785564">
              <w:rPr>
                <w:rFonts w:ascii="Times New Roman" w:eastAsia="Times New Roman" w:hAnsi="Times New Roman" w:cs="Times New Roman"/>
                <w:color w:val="000000"/>
              </w:rPr>
              <w:t xml:space="preserve">(distance from </w:t>
            </w:r>
            <w:r>
              <w:rPr>
                <w:rFonts w:ascii="Times New Roman" w:eastAsia="Times New Roman" w:hAnsi="Times New Roman" w:cs="Times New Roman"/>
                <w:color w:val="000000"/>
              </w:rPr>
              <w:t xml:space="preserve">the </w:t>
            </w:r>
            <w:r w:rsidRPr="000B2ECB">
              <w:rPr>
                <w:rFonts w:ascii="Times New Roman" w:eastAsia="Times New Roman" w:hAnsi="Times New Roman" w:cs="Times New Roman"/>
                <w:noProof/>
                <w:color w:val="000000"/>
              </w:rPr>
              <w:t>coast</w:t>
            </w:r>
            <w:r w:rsidRPr="00785564">
              <w:rPr>
                <w:rFonts w:ascii="Times New Roman" w:eastAsia="Times New Roman" w:hAnsi="Times New Roman" w:cs="Times New Roman"/>
                <w:color w:val="000000"/>
              </w:rPr>
              <w:t xml:space="preserve"> in</w:t>
            </w:r>
            <w:r w:rsidRPr="00785564">
              <w:rPr>
                <w:rFonts w:ascii="Times New Roman" w:eastAsia="Times New Roman" w:hAnsi="Times New Roman" w:cs="Times New Roman"/>
                <w:color w:val="000000"/>
              </w:rPr>
              <w:br/>
              <w:t>meters)</w:t>
            </w:r>
          </w:p>
        </w:tc>
      </w:tr>
      <w:tr w:rsidR="00A74CCD" w:rsidRPr="00785564" w14:paraId="1180CF7B"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564A04FA"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3.7</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0ADCEFF"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415</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6EB0738"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2000</w:t>
            </w:r>
          </w:p>
        </w:tc>
      </w:tr>
      <w:tr w:rsidR="00A74CCD" w:rsidRPr="00785564" w14:paraId="0D912211"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15A456E3"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4.1</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CA5F497"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520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A5328C"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2900</w:t>
            </w:r>
          </w:p>
        </w:tc>
      </w:tr>
      <w:tr w:rsidR="00A74CCD" w:rsidRPr="00785564" w14:paraId="3A9B5A00"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13D4ADA9"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4.7</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116EACF"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580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73AECCD"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3900</w:t>
            </w:r>
          </w:p>
        </w:tc>
      </w:tr>
      <w:tr w:rsidR="00A74CCD" w:rsidRPr="00785564" w14:paraId="71A78B71"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74D8908E"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5.1</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32EA0A2"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670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ED522DF"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4200</w:t>
            </w:r>
          </w:p>
        </w:tc>
      </w:tr>
      <w:tr w:rsidR="00A74CCD" w:rsidRPr="00785564" w14:paraId="4CE339FF"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439D645D"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5.6</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820166F"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760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2096136"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4400</w:t>
            </w:r>
          </w:p>
        </w:tc>
      </w:tr>
      <w:tr w:rsidR="00A74CCD" w:rsidRPr="00785564" w14:paraId="4B5FDE0B"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4434BC42"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6.0</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6271AE6"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880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53FCB1D"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4700</w:t>
            </w:r>
          </w:p>
        </w:tc>
      </w:tr>
      <w:tr w:rsidR="00A74CCD" w:rsidRPr="00785564" w14:paraId="71ACF0DF" w14:textId="77777777" w:rsidTr="00CA0493">
        <w:trP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14:paraId="37D622EA"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6.5</w:t>
            </w:r>
          </w:p>
        </w:tc>
        <w:tc>
          <w:tcPr>
            <w:tcW w:w="2970" w:type="dxa"/>
            <w:tcBorders>
              <w:top w:val="single" w:sz="4" w:space="0" w:color="auto"/>
              <w:left w:val="single" w:sz="4" w:space="0" w:color="auto"/>
              <w:bottom w:val="single" w:sz="4" w:space="0" w:color="auto"/>
              <w:right w:val="single" w:sz="4" w:space="0" w:color="auto"/>
            </w:tcBorders>
            <w:vAlign w:val="center"/>
            <w:hideMark/>
          </w:tcPr>
          <w:p w14:paraId="2D063976"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1000</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2D71E29" w14:textId="77777777" w:rsidR="00A74CCD" w:rsidRPr="00785564" w:rsidRDefault="00A74CCD" w:rsidP="00CA0493">
            <w:pPr>
              <w:spacing w:before="20" w:after="20" w:line="240" w:lineRule="auto"/>
              <w:jc w:val="center"/>
              <w:rPr>
                <w:rFonts w:ascii="Times New Roman" w:eastAsia="Times New Roman" w:hAnsi="Times New Roman" w:cs="Times New Roman"/>
              </w:rPr>
            </w:pPr>
            <w:r w:rsidRPr="00785564">
              <w:rPr>
                <w:rFonts w:ascii="Times New Roman" w:eastAsia="Times New Roman" w:hAnsi="Times New Roman" w:cs="Times New Roman"/>
                <w:color w:val="000000"/>
              </w:rPr>
              <w:t>5000</w:t>
            </w:r>
          </w:p>
        </w:tc>
      </w:tr>
    </w:tbl>
    <w:p w14:paraId="1C4380A0" w14:textId="77777777" w:rsidR="003A03E5" w:rsidRPr="003A03E5" w:rsidRDefault="003A03E5" w:rsidP="003A03E5">
      <w:pPr>
        <w:spacing w:before="240" w:line="360" w:lineRule="auto"/>
        <w:jc w:val="both"/>
        <w:rPr>
          <w:rFonts w:ascii="Times New Roman" w:hAnsi="Times New Roman" w:cs="Times New Roman"/>
          <w:sz w:val="24"/>
          <w:szCs w:val="24"/>
        </w:rPr>
      </w:pPr>
      <w:r w:rsidRPr="003A03E5">
        <w:rPr>
          <w:rFonts w:ascii="Times New Roman" w:hAnsi="Times New Roman" w:cs="Times New Roman"/>
          <w:sz w:val="24"/>
          <w:szCs w:val="24"/>
        </w:rPr>
        <w:t>To develop the cyclone hazard map, the Surge Decay Coefficient (SDC) was first calculated. This coefficient represents the reduction of storm surge height as water moves inland. The decrease in surge height mainly occurs because of surface friction created by terrain characteristics and land use patterns. Therefore, SDC was used to quantify the inland decay of surge water.</w:t>
      </w:r>
    </w:p>
    <w:p w14:paraId="5845F2C5" w14:textId="76C70114" w:rsidR="00A74CCD" w:rsidRDefault="003A03E5" w:rsidP="003A03E5">
      <w:pPr>
        <w:spacing w:before="240" w:line="360" w:lineRule="auto"/>
        <w:jc w:val="both"/>
        <w:rPr>
          <w:rFonts w:ascii="Times New Roman" w:hAnsi="Times New Roman" w:cs="Times New Roman"/>
          <w:sz w:val="24"/>
          <w:szCs w:val="24"/>
        </w:rPr>
      </w:pPr>
      <w:r w:rsidRPr="003A03E5">
        <w:rPr>
          <w:rFonts w:ascii="Times New Roman" w:hAnsi="Times New Roman" w:cs="Times New Roman"/>
          <w:sz w:val="24"/>
          <w:szCs w:val="24"/>
        </w:rPr>
        <w:t>The SDC for each return period was calculated using the following equation:</w:t>
      </w:r>
    </w:p>
    <w:tbl>
      <w:tblPr>
        <w:tblW w:w="0" w:type="auto"/>
        <w:jc w:val="center"/>
        <w:tblLook w:val="04A0" w:firstRow="1" w:lastRow="0" w:firstColumn="1" w:lastColumn="0" w:noHBand="0" w:noVBand="1"/>
      </w:tblPr>
      <w:tblGrid>
        <w:gridCol w:w="8533"/>
        <w:gridCol w:w="496"/>
      </w:tblGrid>
      <w:tr w:rsidR="00A74CCD" w14:paraId="16E41DE6" w14:textId="77777777" w:rsidTr="00AD42D6">
        <w:trPr>
          <w:jc w:val="center"/>
        </w:trPr>
        <w:tc>
          <w:tcPr>
            <w:tcW w:w="0" w:type="auto"/>
            <w:vAlign w:val="center"/>
          </w:tcPr>
          <w:p w14:paraId="0E7F5420" w14:textId="77777777" w:rsidR="00A74CCD" w:rsidRPr="00541A45" w:rsidRDefault="00000000" w:rsidP="00CA0493">
            <w:pPr>
              <w:spacing w:line="360" w:lineRule="auto"/>
              <w:jc w:val="both"/>
              <w:rPr>
                <w:rFonts w:ascii="Times New Roman" w:eastAsiaTheme="minorEastAsia" w:hAnsi="Times New Roman" w:cs="Times New Roman"/>
                <w:b/>
                <w:sz w:val="24"/>
                <w:szCs w:val="24"/>
              </w:rPr>
            </w:pPr>
            <m:oMathPara>
              <m:oMath>
                <m:sSub>
                  <m:sSubPr>
                    <m:ctrlPr>
                      <w:rPr>
                        <w:rFonts w:ascii="Cambria Math" w:hAnsi="Cambria Math" w:cs="Times New Roman"/>
                        <w:b/>
                        <w:sz w:val="24"/>
                        <w:szCs w:val="24"/>
                      </w:rPr>
                    </m:ctrlPr>
                  </m:sSubPr>
                  <m:e>
                    <m:r>
                      <m:rPr>
                        <m:sty m:val="b"/>
                      </m:rPr>
                      <w:rPr>
                        <w:rFonts w:ascii="Cambria Math" w:hAnsi="Cambria Math" w:cs="Times New Roman"/>
                        <w:sz w:val="24"/>
                        <w:szCs w:val="24"/>
                      </w:rPr>
                      <m:t>SDC</m:t>
                    </m:r>
                  </m:e>
                  <m:sub>
                    <m:r>
                      <m:rPr>
                        <m:sty m:val="b"/>
                      </m:rPr>
                      <w:rPr>
                        <w:rFonts w:ascii="Cambria Math" w:hAnsi="Cambria Math" w:cs="Times New Roman"/>
                        <w:sz w:val="24"/>
                        <w:szCs w:val="24"/>
                      </w:rPr>
                      <m:t>RP</m:t>
                    </m:r>
                  </m:sub>
                </m:sSub>
                <m:r>
                  <m:rPr>
                    <m:sty m:val="b"/>
                  </m:rPr>
                  <w:rPr>
                    <w:rFonts w:ascii="Cambria Math" w:hAnsi="Cambria Math" w:cs="Times New Roman"/>
                    <w:sz w:val="24"/>
                    <w:szCs w:val="24"/>
                  </w:rPr>
                  <m:t>=</m:t>
                </m:r>
                <m:f>
                  <m:fPr>
                    <m:ctrlPr>
                      <w:rPr>
                        <w:rFonts w:ascii="Cambria Math" w:hAnsi="Cambria Math" w:cs="Times New Roman"/>
                        <w:b/>
                        <w:sz w:val="24"/>
                        <w:szCs w:val="24"/>
                      </w:rPr>
                    </m:ctrlPr>
                  </m:fPr>
                  <m:num>
                    <m:r>
                      <m:rPr>
                        <m:sty m:val="b"/>
                      </m:rPr>
                      <w:rPr>
                        <w:rFonts w:ascii="Cambria Math" w:hAnsi="Cambria Math" w:cs="Times New Roman"/>
                        <w:sz w:val="24"/>
                        <w:szCs w:val="24"/>
                      </w:rPr>
                      <m:t>Wave height at coastline-Average elevation of terrian at end of surge</m:t>
                    </m:r>
                  </m:num>
                  <m:den>
                    <m:r>
                      <m:rPr>
                        <m:sty m:val="b"/>
                      </m:rPr>
                      <w:rPr>
                        <w:rFonts w:ascii="Cambria Math" w:hAnsi="Cambria Math" w:cs="Times New Roman"/>
                        <w:sz w:val="24"/>
                        <w:szCs w:val="24"/>
                      </w:rPr>
                      <m:t>Width total inundated area-Width area with constant surge</m:t>
                    </m:r>
                  </m:den>
                </m:f>
              </m:oMath>
            </m:oMathPara>
          </w:p>
        </w:tc>
        <w:tc>
          <w:tcPr>
            <w:tcW w:w="0" w:type="auto"/>
            <w:vAlign w:val="center"/>
          </w:tcPr>
          <w:p w14:paraId="45CAF9F6" w14:textId="06AC3798" w:rsidR="00A74CCD" w:rsidRPr="00541A45" w:rsidRDefault="00A74CCD" w:rsidP="00CA0493">
            <w:pPr>
              <w:spacing w:line="360" w:lineRule="auto"/>
              <w:jc w:val="both"/>
              <w:rPr>
                <w:rFonts w:ascii="Times New Roman" w:hAnsi="Times New Roman" w:cs="Times New Roman"/>
                <w:b/>
                <w:sz w:val="24"/>
                <w:szCs w:val="24"/>
              </w:rPr>
            </w:pPr>
            <w:r w:rsidRPr="00541A45">
              <w:rPr>
                <w:rFonts w:ascii="Times New Roman" w:hAnsi="Times New Roman" w:cs="Times New Roman"/>
                <w:b/>
                <w:sz w:val="24"/>
                <w:szCs w:val="24"/>
              </w:rPr>
              <w:t>(</w:t>
            </w:r>
            <w:r w:rsidR="00851FDB">
              <w:rPr>
                <w:rFonts w:ascii="Times New Roman" w:hAnsi="Times New Roman" w:cs="Times New Roman"/>
                <w:b/>
                <w:sz w:val="24"/>
                <w:szCs w:val="24"/>
              </w:rPr>
              <w:t>1</w:t>
            </w:r>
            <w:r w:rsidRPr="00541A45">
              <w:rPr>
                <w:rFonts w:ascii="Times New Roman" w:hAnsi="Times New Roman" w:cs="Times New Roman"/>
                <w:b/>
                <w:sz w:val="24"/>
                <w:szCs w:val="24"/>
              </w:rPr>
              <w:t>)</w:t>
            </w:r>
          </w:p>
        </w:tc>
      </w:tr>
    </w:tbl>
    <w:p w14:paraId="485BB7A0" w14:textId="3B5BAA7F" w:rsidR="00A74CCD" w:rsidRDefault="003A03E5" w:rsidP="00A74CC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bCs/>
                <w:sz w:val="24"/>
                <w:szCs w:val="24"/>
              </w:rPr>
            </m:ctrlPr>
          </m:sSubPr>
          <m:e>
            <m:r>
              <m:rPr>
                <m:sty m:val="p"/>
              </m:rPr>
              <w:rPr>
                <w:rFonts w:ascii="Cambria Math" w:hAnsi="Cambria Math" w:cs="Times New Roman"/>
                <w:sz w:val="24"/>
                <w:szCs w:val="24"/>
              </w:rPr>
              <m:t>SDC</m:t>
            </m:r>
          </m:e>
          <m:sub>
            <m:r>
              <m:rPr>
                <m:sty m:val="p"/>
              </m:rPr>
              <w:rPr>
                <w:rFonts w:ascii="Cambria Math" w:hAnsi="Cambria Math" w:cs="Times New Roman"/>
                <w:sz w:val="24"/>
                <w:szCs w:val="24"/>
              </w:rPr>
              <m:t>RP</m:t>
            </m:r>
          </m:sub>
        </m:sSub>
      </m:oMath>
      <w:r>
        <w:rPr>
          <w:rFonts w:ascii="Times New Roman" w:hAnsi="Times New Roman" w:cs="Times New Roman"/>
          <w:sz w:val="24"/>
          <w:szCs w:val="24"/>
        </w:rPr>
        <w:t xml:space="preserve"> </w:t>
      </w:r>
      <w:r w:rsidRPr="003A03E5">
        <w:rPr>
          <w:rFonts w:ascii="Times New Roman" w:hAnsi="Times New Roman" w:cs="Times New Roman"/>
          <w:sz w:val="24"/>
          <w:szCs w:val="24"/>
        </w:rPr>
        <w:t xml:space="preserve">is the surge decay coefficient for a specific return period, including 10-, 25-, and 50-year events. The calculated SDC values were then incorporated into the surge modelling process to generate the final cyclone hazard </w:t>
      </w:r>
      <w:proofErr w:type="gramStart"/>
      <w:r w:rsidRPr="003A03E5">
        <w:rPr>
          <w:rFonts w:ascii="Times New Roman" w:hAnsi="Times New Roman" w:cs="Times New Roman"/>
          <w:sz w:val="24"/>
          <w:szCs w:val="24"/>
        </w:rPr>
        <w:t>maps.</w:t>
      </w:r>
      <w:r w:rsidR="00A74CCD">
        <w:rPr>
          <w:rFonts w:ascii="Times New Roman" w:hAnsi="Times New Roman" w:cs="Times New Roman"/>
          <w:sz w:val="24"/>
          <w:szCs w:val="24"/>
        </w:rPr>
        <w:t>.</w:t>
      </w:r>
      <w:proofErr w:type="gramEnd"/>
    </w:p>
    <w:p w14:paraId="2575CFAB" w14:textId="77777777" w:rsidR="003A03E5" w:rsidRPr="003A03E5" w:rsidRDefault="003A03E5" w:rsidP="003A03E5">
      <w:pPr>
        <w:spacing w:after="120" w:line="360" w:lineRule="auto"/>
        <w:jc w:val="both"/>
        <w:rPr>
          <w:rFonts w:ascii="Times New Roman" w:eastAsia="Times New Roman" w:hAnsi="Times New Roman" w:cs="Times New Roman"/>
          <w:sz w:val="24"/>
          <w:szCs w:val="24"/>
          <w:lang w:eastAsia="ja-JP" w:bidi="bn-IN"/>
        </w:rPr>
      </w:pPr>
      <w:r w:rsidRPr="003A03E5">
        <w:rPr>
          <w:rFonts w:ascii="Times New Roman" w:eastAsia="Times New Roman" w:hAnsi="Times New Roman" w:cs="Times New Roman"/>
          <w:sz w:val="24"/>
          <w:szCs w:val="24"/>
          <w:lang w:eastAsia="ja-JP" w:bidi="bn-IN"/>
        </w:rPr>
        <w:t>The procedure for cyclone hazard mapping was carried out in two main stages.</w:t>
      </w:r>
    </w:p>
    <w:p w14:paraId="3A135861" w14:textId="77777777" w:rsidR="003A03E5" w:rsidRDefault="003A03E5" w:rsidP="003A03E5">
      <w:pPr>
        <w:spacing w:after="120" w:line="360" w:lineRule="auto"/>
        <w:jc w:val="both"/>
        <w:rPr>
          <w:rFonts w:ascii="Times New Roman" w:hAnsi="Times New Roman" w:cs="Times New Roman"/>
          <w:b/>
          <w:bCs/>
          <w:sz w:val="24"/>
          <w:szCs w:val="24"/>
          <w:lang w:eastAsia="ja-JP" w:bidi="bn-IN"/>
        </w:rPr>
      </w:pPr>
    </w:p>
    <w:p w14:paraId="33AC95CF" w14:textId="4B814A7C" w:rsidR="003A03E5" w:rsidRPr="003A03E5" w:rsidRDefault="003A03E5" w:rsidP="003A03E5">
      <w:pPr>
        <w:spacing w:after="120" w:line="360" w:lineRule="auto"/>
        <w:jc w:val="both"/>
        <w:rPr>
          <w:rFonts w:ascii="Times New Roman" w:hAnsi="Times New Roman" w:cs="Times New Roman"/>
          <w:b/>
          <w:bCs/>
          <w:sz w:val="24"/>
          <w:szCs w:val="24"/>
          <w:lang w:eastAsia="ja-JP" w:bidi="bn-IN"/>
        </w:rPr>
      </w:pPr>
      <w:r w:rsidRPr="003A03E5">
        <w:rPr>
          <w:rFonts w:ascii="Times New Roman" w:hAnsi="Times New Roman" w:cs="Times New Roman"/>
          <w:b/>
          <w:bCs/>
          <w:sz w:val="24"/>
          <w:szCs w:val="24"/>
          <w:lang w:eastAsia="ja-JP" w:bidi="bn-IN"/>
        </w:rPr>
        <w:lastRenderedPageBreak/>
        <w:t>Step 1: Preparation of the Surge Extent Area</w:t>
      </w:r>
    </w:p>
    <w:p w14:paraId="7EFBF2FF" w14:textId="77777777" w:rsidR="003A03E5" w:rsidRPr="003A03E5" w:rsidRDefault="003A03E5" w:rsidP="003A03E5">
      <w:pPr>
        <w:spacing w:after="120" w:line="360" w:lineRule="auto"/>
        <w:jc w:val="both"/>
        <w:rPr>
          <w:rFonts w:ascii="Times New Roman" w:eastAsia="Times New Roman" w:hAnsi="Times New Roman" w:cs="Times New Roman"/>
          <w:sz w:val="24"/>
          <w:szCs w:val="24"/>
          <w:lang w:eastAsia="ja-JP" w:bidi="bn-IN"/>
        </w:rPr>
      </w:pPr>
      <w:r w:rsidRPr="003A03E5">
        <w:rPr>
          <w:rFonts w:ascii="Times New Roman" w:eastAsia="Times New Roman" w:hAnsi="Times New Roman" w:cs="Times New Roman"/>
          <w:sz w:val="24"/>
          <w:szCs w:val="24"/>
          <w:lang w:eastAsia="ja-JP" w:bidi="bn-IN"/>
        </w:rPr>
        <w:t>First, a distance map was created from the coastline up to at least 5000 m inland for the initial surge height of 6.5 m. This distance range was selected to represent the potential inland reach of the storm surge. After preparing the distance surface, the corresponding area was clipped from the raster image, and the sea portion was removed so that only the land area affected by possible inundation remained for further analysis.</w:t>
      </w:r>
    </w:p>
    <w:p w14:paraId="22A627CF" w14:textId="77777777" w:rsidR="003A03E5" w:rsidRPr="003A03E5" w:rsidRDefault="003A03E5" w:rsidP="003A03E5">
      <w:pPr>
        <w:spacing w:after="120" w:line="360" w:lineRule="auto"/>
        <w:jc w:val="both"/>
        <w:rPr>
          <w:rFonts w:ascii="Times New Roman" w:hAnsi="Times New Roman" w:cs="Times New Roman"/>
          <w:b/>
          <w:bCs/>
          <w:sz w:val="24"/>
          <w:szCs w:val="24"/>
          <w:lang w:eastAsia="ja-JP" w:bidi="bn-IN"/>
        </w:rPr>
      </w:pPr>
      <w:r w:rsidRPr="003A03E5">
        <w:rPr>
          <w:rFonts w:ascii="Times New Roman" w:hAnsi="Times New Roman" w:cs="Times New Roman"/>
          <w:b/>
          <w:bCs/>
          <w:sz w:val="24"/>
          <w:szCs w:val="24"/>
          <w:lang w:eastAsia="ja-JP" w:bidi="bn-IN"/>
        </w:rPr>
        <w:t>Step 2: Surge Decay and Inundation Depth Estimation</w:t>
      </w:r>
    </w:p>
    <w:p w14:paraId="5B51FDC0" w14:textId="77777777" w:rsidR="003A03E5" w:rsidRPr="003A03E5" w:rsidRDefault="003A03E5" w:rsidP="003A03E5">
      <w:pPr>
        <w:spacing w:after="120" w:line="360" w:lineRule="auto"/>
        <w:jc w:val="both"/>
        <w:rPr>
          <w:rFonts w:ascii="Times New Roman" w:eastAsia="Times New Roman" w:hAnsi="Times New Roman" w:cs="Times New Roman"/>
          <w:sz w:val="24"/>
          <w:szCs w:val="24"/>
          <w:lang w:eastAsia="ja-JP" w:bidi="bn-IN"/>
        </w:rPr>
      </w:pPr>
      <w:r w:rsidRPr="003A03E5">
        <w:rPr>
          <w:rFonts w:ascii="Times New Roman" w:eastAsia="Times New Roman" w:hAnsi="Times New Roman" w:cs="Times New Roman"/>
          <w:sz w:val="24"/>
          <w:szCs w:val="24"/>
          <w:lang w:eastAsia="ja-JP" w:bidi="bn-IN"/>
        </w:rPr>
        <w:t xml:space="preserve">In the second stage, the inland surge behavior was modelled in two parts. A constant surge zone was first created from the coastline to 1000 m inland, </w:t>
      </w:r>
      <w:proofErr w:type="gramStart"/>
      <w:r w:rsidRPr="003A03E5">
        <w:rPr>
          <w:rFonts w:ascii="Times New Roman" w:eastAsia="Times New Roman" w:hAnsi="Times New Roman" w:cs="Times New Roman"/>
          <w:sz w:val="24"/>
          <w:szCs w:val="24"/>
          <w:lang w:eastAsia="ja-JP" w:bidi="bn-IN"/>
        </w:rPr>
        <w:t>assuming that</w:t>
      </w:r>
      <w:proofErr w:type="gramEnd"/>
      <w:r w:rsidRPr="003A03E5">
        <w:rPr>
          <w:rFonts w:ascii="Times New Roman" w:eastAsia="Times New Roman" w:hAnsi="Times New Roman" w:cs="Times New Roman"/>
          <w:sz w:val="24"/>
          <w:szCs w:val="24"/>
          <w:lang w:eastAsia="ja-JP" w:bidi="bn-IN"/>
        </w:rPr>
        <w:t xml:space="preserve"> no surge decay occurs within this initial section. Then, from 1000 m to 5000 m inland, a second map was generated to represent the linear decrease in surge height according to the calculated SDC value.</w:t>
      </w:r>
    </w:p>
    <w:p w14:paraId="73808883" w14:textId="77777777" w:rsidR="003A03E5" w:rsidRPr="003A03E5" w:rsidRDefault="003A03E5" w:rsidP="003A03E5">
      <w:pPr>
        <w:spacing w:after="120" w:line="360" w:lineRule="auto"/>
        <w:jc w:val="both"/>
        <w:rPr>
          <w:rFonts w:ascii="Times New Roman" w:eastAsia="Times New Roman" w:hAnsi="Times New Roman" w:cs="Times New Roman"/>
          <w:sz w:val="24"/>
          <w:szCs w:val="24"/>
          <w:lang w:eastAsia="ja-JP" w:bidi="bn-IN"/>
        </w:rPr>
      </w:pPr>
      <w:r w:rsidRPr="003A03E5">
        <w:rPr>
          <w:rFonts w:ascii="Times New Roman" w:eastAsia="Times New Roman" w:hAnsi="Times New Roman" w:cs="Times New Roman"/>
          <w:sz w:val="24"/>
          <w:szCs w:val="24"/>
          <w:lang w:eastAsia="ja-JP" w:bidi="bn-IN"/>
        </w:rPr>
        <w:t xml:space="preserve">Next, the decay surface was subtracted from the constant surge depth surface to obtain the adjusted inland surge height. This </w:t>
      </w:r>
      <w:proofErr w:type="gramStart"/>
      <w:r w:rsidRPr="003A03E5">
        <w:rPr>
          <w:rFonts w:ascii="Times New Roman" w:eastAsia="Times New Roman" w:hAnsi="Times New Roman" w:cs="Times New Roman"/>
          <w:sz w:val="24"/>
          <w:szCs w:val="24"/>
          <w:lang w:eastAsia="ja-JP" w:bidi="bn-IN"/>
        </w:rPr>
        <w:t>adjusted surge</w:t>
      </w:r>
      <w:proofErr w:type="gramEnd"/>
      <w:r w:rsidRPr="003A03E5">
        <w:rPr>
          <w:rFonts w:ascii="Times New Roman" w:eastAsia="Times New Roman" w:hAnsi="Times New Roman" w:cs="Times New Roman"/>
          <w:sz w:val="24"/>
          <w:szCs w:val="24"/>
          <w:lang w:eastAsia="ja-JP" w:bidi="bn-IN"/>
        </w:rPr>
        <w:t xml:space="preserve"> surface was then subtracted from the DEM to estimate the flood inundation depth caused by storm surge. The resulting inundation depth raster was used to classify hazard levels and prepare the final cyclone hazard map.</w:t>
      </w:r>
    </w:p>
    <w:p w14:paraId="2501FAA9" w14:textId="77777777" w:rsidR="003A03E5" w:rsidRDefault="003A03E5" w:rsidP="003A03E5">
      <w:pPr>
        <w:spacing w:after="120" w:line="360" w:lineRule="auto"/>
        <w:jc w:val="both"/>
        <w:rPr>
          <w:rFonts w:ascii="Times New Roman" w:eastAsia="Times New Roman" w:hAnsi="Times New Roman" w:cs="Times New Roman"/>
          <w:sz w:val="24"/>
          <w:szCs w:val="24"/>
          <w:lang w:eastAsia="ja-JP" w:bidi="bn-IN"/>
        </w:rPr>
      </w:pPr>
      <w:r w:rsidRPr="003A03E5">
        <w:rPr>
          <w:rFonts w:ascii="Times New Roman" w:eastAsia="Times New Roman" w:hAnsi="Times New Roman" w:cs="Times New Roman"/>
          <w:sz w:val="24"/>
          <w:szCs w:val="24"/>
          <w:lang w:eastAsia="ja-JP" w:bidi="bn-IN"/>
        </w:rPr>
        <w:t>This approach was applied not only for the 6.5 m surge height but can also be used for other surge heights under different return period scenarios.</w:t>
      </w:r>
    </w:p>
    <w:p w14:paraId="499B1CD6"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A71E247"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2829095D"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7864E3DD"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3172818F"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242E3A85"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1F67C922"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5817159"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A4C8111"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B456909"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4AAA7204"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7107A38E" w14:textId="67BD6E8F" w:rsidR="00510F1B" w:rsidRP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r w:rsidRPr="00510F1B">
        <w:rPr>
          <w:rFonts w:ascii="Times New Roman" w:eastAsia="Times New Roman" w:hAnsi="Times New Roman" w:cs="Times New Roman"/>
          <w:b/>
          <w:bCs/>
          <w:sz w:val="24"/>
          <w:szCs w:val="24"/>
          <w:lang w:eastAsia="ja-JP" w:bidi="bn-IN"/>
        </w:rPr>
        <w:lastRenderedPageBreak/>
        <w:t>S2. Flow Chart to Prepare Flood Inundation Depth Map</w:t>
      </w:r>
    </w:p>
    <w:p w14:paraId="70DA54DB" w14:textId="454F51B5" w:rsidR="00510F1B" w:rsidRDefault="00510F1B" w:rsidP="003A03E5">
      <w:pPr>
        <w:spacing w:after="120" w:line="360" w:lineRule="auto"/>
        <w:jc w:val="both"/>
        <w:rPr>
          <w:rFonts w:ascii="Times New Roman" w:eastAsia="Times New Roman" w:hAnsi="Times New Roman" w:cs="Times New Roman"/>
          <w:sz w:val="24"/>
          <w:szCs w:val="24"/>
          <w:lang w:eastAsia="ja-JP" w:bidi="bn-IN"/>
        </w:rPr>
      </w:pPr>
      <w:r>
        <w:rPr>
          <w:rFonts w:ascii="Times New Roman" w:hAnsi="Times New Roman" w:cs="Times New Roman"/>
          <w:noProof/>
          <w:sz w:val="24"/>
          <w:szCs w:val="24"/>
        </w:rPr>
        <w:drawing>
          <wp:inline distT="0" distB="0" distL="0" distR="0" wp14:anchorId="0EFE6BD7" wp14:editId="619C3778">
            <wp:extent cx="5486400" cy="4093077"/>
            <wp:effectExtent l="0" t="0" r="0" b="3175"/>
            <wp:docPr id="868729122" name="Picture 86872912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lood Depth.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093077"/>
                    </a:xfrm>
                    <a:prstGeom prst="rect">
                      <a:avLst/>
                    </a:prstGeom>
                    <a:ln>
                      <a:noFill/>
                    </a:ln>
                  </pic:spPr>
                </pic:pic>
              </a:graphicData>
            </a:graphic>
          </wp:inline>
        </w:drawing>
      </w:r>
    </w:p>
    <w:p w14:paraId="60616B9A"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3BA27884"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1C672329"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4DA0EC7E"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7FDD60E5"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75B2450E"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2F3B9EBC"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07391B98"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360E5646"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1B07608F"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54274C58"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1B97603E" w14:textId="77777777" w:rsid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p>
    <w:p w14:paraId="380FE6EA" w14:textId="02A8AA3C" w:rsidR="00510F1B" w:rsidRP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r w:rsidRPr="00510F1B">
        <w:rPr>
          <w:rFonts w:ascii="Times New Roman" w:eastAsia="Times New Roman" w:hAnsi="Times New Roman" w:cs="Times New Roman"/>
          <w:b/>
          <w:bCs/>
          <w:sz w:val="24"/>
          <w:szCs w:val="24"/>
          <w:lang w:eastAsia="ja-JP" w:bidi="bn-IN"/>
        </w:rPr>
        <w:lastRenderedPageBreak/>
        <w:t>S3: Flowchart for Geomorphological map Preparation</w:t>
      </w:r>
    </w:p>
    <w:p w14:paraId="1343A698" w14:textId="609D1F04" w:rsidR="00510F1B" w:rsidRDefault="00510F1B" w:rsidP="003A03E5">
      <w:pPr>
        <w:spacing w:after="120" w:line="360" w:lineRule="auto"/>
        <w:jc w:val="both"/>
        <w:rPr>
          <w:rFonts w:ascii="Times New Roman" w:eastAsia="Times New Roman" w:hAnsi="Times New Roman" w:cs="Times New Roman"/>
          <w:sz w:val="24"/>
          <w:szCs w:val="24"/>
          <w:lang w:eastAsia="ja-JP" w:bidi="bn-IN"/>
        </w:rPr>
      </w:pPr>
      <w:r>
        <w:rPr>
          <w:rFonts w:ascii="TimesNewRomanPS-BoldItalicMT" w:eastAsia="Times New Roman" w:hAnsi="TimesNewRomanPS-BoldItalicMT" w:cs="Times New Roman"/>
          <w:b/>
          <w:bCs/>
          <w:iCs/>
          <w:noProof/>
          <w:color w:val="000000"/>
          <w:sz w:val="24"/>
          <w:szCs w:val="20"/>
        </w:rPr>
        <w:drawing>
          <wp:inline distT="0" distB="0" distL="0" distR="0" wp14:anchorId="06BBD624" wp14:editId="4535C39C">
            <wp:extent cx="5486400" cy="4384139"/>
            <wp:effectExtent l="0" t="0" r="0" b="0"/>
            <wp:docPr id="30" name="Picture 30"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omorphology.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384139"/>
                    </a:xfrm>
                    <a:prstGeom prst="rect">
                      <a:avLst/>
                    </a:prstGeom>
                    <a:ln>
                      <a:noFill/>
                    </a:ln>
                  </pic:spPr>
                </pic:pic>
              </a:graphicData>
            </a:graphic>
          </wp:inline>
        </w:drawing>
      </w:r>
    </w:p>
    <w:p w14:paraId="5781E8F4"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06D3CD55"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6A409B56"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0DE78208"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3643D43"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9C223CC"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5AA401D4"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1C5B0410"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22601744"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749D4059"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41F79112"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7C2B501C" w14:textId="77777777" w:rsidR="00510F1B" w:rsidRDefault="00510F1B" w:rsidP="003A03E5">
      <w:pPr>
        <w:spacing w:after="120" w:line="360" w:lineRule="auto"/>
        <w:jc w:val="both"/>
        <w:rPr>
          <w:rFonts w:ascii="Times New Roman" w:eastAsia="Times New Roman" w:hAnsi="Times New Roman" w:cs="Times New Roman"/>
          <w:sz w:val="24"/>
          <w:szCs w:val="24"/>
          <w:lang w:eastAsia="ja-JP" w:bidi="bn-IN"/>
        </w:rPr>
      </w:pPr>
    </w:p>
    <w:p w14:paraId="183A3970" w14:textId="6AEFC921" w:rsidR="00510F1B" w:rsidRPr="00510F1B" w:rsidRDefault="00510F1B" w:rsidP="003A03E5">
      <w:pPr>
        <w:spacing w:after="120" w:line="360" w:lineRule="auto"/>
        <w:jc w:val="both"/>
        <w:rPr>
          <w:rFonts w:ascii="Times New Roman" w:eastAsia="Times New Roman" w:hAnsi="Times New Roman" w:cs="Times New Roman"/>
          <w:b/>
          <w:bCs/>
          <w:sz w:val="24"/>
          <w:szCs w:val="24"/>
          <w:lang w:eastAsia="ja-JP" w:bidi="bn-IN"/>
        </w:rPr>
      </w:pPr>
      <w:r w:rsidRPr="00510F1B">
        <w:rPr>
          <w:rFonts w:ascii="Times New Roman" w:eastAsia="Times New Roman" w:hAnsi="Times New Roman" w:cs="Times New Roman"/>
          <w:b/>
          <w:bCs/>
          <w:sz w:val="24"/>
          <w:szCs w:val="24"/>
          <w:lang w:eastAsia="ja-JP" w:bidi="bn-IN"/>
        </w:rPr>
        <w:lastRenderedPageBreak/>
        <w:t>S4. Flowchart to Delineate Shoreline Change</w:t>
      </w:r>
    </w:p>
    <w:p w14:paraId="59E31AEB" w14:textId="14C2DEDA" w:rsidR="00510F1B" w:rsidRPr="003A03E5" w:rsidRDefault="00510F1B" w:rsidP="003A03E5">
      <w:pPr>
        <w:spacing w:after="120" w:line="360" w:lineRule="auto"/>
        <w:jc w:val="both"/>
        <w:rPr>
          <w:rFonts w:ascii="Times New Roman" w:eastAsia="Times New Roman" w:hAnsi="Times New Roman" w:cs="Times New Roman"/>
          <w:sz w:val="24"/>
          <w:szCs w:val="24"/>
          <w:lang w:eastAsia="ja-JP" w:bidi="bn-IN"/>
        </w:rPr>
      </w:pPr>
      <w:r>
        <w:rPr>
          <w:rFonts w:ascii="Times New Roman" w:hAnsi="Times New Roman" w:cs="Times New Roman"/>
          <w:b/>
          <w:noProof/>
          <w:sz w:val="24"/>
          <w:szCs w:val="24"/>
        </w:rPr>
        <w:drawing>
          <wp:inline distT="0" distB="0" distL="0" distR="0" wp14:anchorId="12EC1E4D" wp14:editId="2D70A60A">
            <wp:extent cx="5486400" cy="6617230"/>
            <wp:effectExtent l="0" t="0" r="0" b="0"/>
            <wp:docPr id="31" name="Picture 3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reline.jpg"/>
                    <pic:cNvPicPr/>
                  </pic:nvPicPr>
                  <pic:blipFill rotWithShape="1">
                    <a:blip r:embed="rId10" cstate="print">
                      <a:extLst>
                        <a:ext uri="{28A0092B-C50C-407E-A947-70E740481C1C}">
                          <a14:useLocalDpi xmlns:a14="http://schemas.microsoft.com/office/drawing/2010/main" val="0"/>
                        </a:ext>
                      </a:extLst>
                    </a:blip>
                    <a:srcRect b="9544"/>
                    <a:stretch/>
                  </pic:blipFill>
                  <pic:spPr bwMode="auto">
                    <a:xfrm>
                      <a:off x="0" y="0"/>
                      <a:ext cx="5486400" cy="661723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EAE8704" w14:textId="77777777" w:rsidR="00A74CCD" w:rsidRDefault="00A74CCD" w:rsidP="00A74CCD">
      <w:pPr>
        <w:spacing w:line="360" w:lineRule="auto"/>
        <w:jc w:val="both"/>
        <w:rPr>
          <w:rFonts w:ascii="Times New Roman" w:hAnsi="Times New Roman" w:cs="Times New Roman"/>
          <w:sz w:val="24"/>
          <w:szCs w:val="24"/>
        </w:rPr>
      </w:pPr>
    </w:p>
    <w:p w14:paraId="0D95032D" w14:textId="77777777" w:rsidR="003A03E5" w:rsidRDefault="003A03E5" w:rsidP="00A74CCD">
      <w:pPr>
        <w:spacing w:line="360" w:lineRule="auto"/>
        <w:jc w:val="both"/>
        <w:rPr>
          <w:rFonts w:ascii="Times New Roman" w:hAnsi="Times New Roman" w:cs="Times New Roman"/>
          <w:sz w:val="24"/>
          <w:szCs w:val="24"/>
        </w:rPr>
      </w:pPr>
    </w:p>
    <w:p w14:paraId="40B713B6" w14:textId="77777777" w:rsidR="00510F1B" w:rsidRDefault="00510F1B" w:rsidP="00A74CCD">
      <w:pPr>
        <w:spacing w:line="360" w:lineRule="auto"/>
        <w:jc w:val="both"/>
        <w:rPr>
          <w:rFonts w:ascii="Times New Roman" w:hAnsi="Times New Roman" w:cs="Times New Roman"/>
          <w:sz w:val="24"/>
          <w:szCs w:val="24"/>
        </w:rPr>
      </w:pPr>
    </w:p>
    <w:p w14:paraId="1040F7EA" w14:textId="77777777" w:rsidR="00510F1B" w:rsidRDefault="00510F1B" w:rsidP="00A74CCD">
      <w:pPr>
        <w:spacing w:line="360" w:lineRule="auto"/>
        <w:jc w:val="both"/>
        <w:rPr>
          <w:rFonts w:ascii="Times New Roman" w:hAnsi="Times New Roman" w:cs="Times New Roman"/>
          <w:sz w:val="24"/>
          <w:szCs w:val="24"/>
        </w:rPr>
      </w:pPr>
    </w:p>
    <w:p w14:paraId="185B4247" w14:textId="77777777" w:rsidR="00510F1B" w:rsidRDefault="00510F1B" w:rsidP="00A74CCD">
      <w:pPr>
        <w:spacing w:line="360" w:lineRule="auto"/>
        <w:jc w:val="both"/>
        <w:rPr>
          <w:rFonts w:ascii="Times New Roman" w:hAnsi="Times New Roman" w:cs="Times New Roman"/>
          <w:sz w:val="24"/>
          <w:szCs w:val="24"/>
        </w:rPr>
      </w:pPr>
    </w:p>
    <w:p w14:paraId="3C58CDEC" w14:textId="1905CEE8" w:rsidR="003A03E5" w:rsidRPr="00510F1B" w:rsidRDefault="00510F1B" w:rsidP="00A74CCD">
      <w:pPr>
        <w:spacing w:line="360" w:lineRule="auto"/>
        <w:jc w:val="both"/>
        <w:rPr>
          <w:rFonts w:ascii="Times New Roman" w:hAnsi="Times New Roman" w:cs="Times New Roman"/>
          <w:b/>
          <w:bCs/>
          <w:sz w:val="24"/>
          <w:szCs w:val="24"/>
        </w:rPr>
      </w:pPr>
      <w:r w:rsidRPr="00510F1B">
        <w:rPr>
          <w:rFonts w:ascii="Times New Roman" w:hAnsi="Times New Roman" w:cs="Times New Roman"/>
          <w:b/>
          <w:bCs/>
          <w:sz w:val="24"/>
          <w:szCs w:val="24"/>
        </w:rPr>
        <w:lastRenderedPageBreak/>
        <w:t>S5</w:t>
      </w:r>
      <w:r>
        <w:rPr>
          <w:rFonts w:ascii="Times New Roman" w:hAnsi="Times New Roman" w:cs="Times New Roman"/>
          <w:b/>
          <w:bCs/>
          <w:sz w:val="24"/>
          <w:szCs w:val="24"/>
        </w:rPr>
        <w:t>.</w:t>
      </w:r>
      <w:r w:rsidRPr="00510F1B">
        <w:rPr>
          <w:rFonts w:ascii="Times New Roman" w:hAnsi="Times New Roman" w:cs="Times New Roman"/>
          <w:b/>
          <w:bCs/>
          <w:sz w:val="24"/>
          <w:szCs w:val="24"/>
        </w:rPr>
        <w:t xml:space="preserve"> Flowchart to Develop the Map based on Sea Level Change</w:t>
      </w:r>
    </w:p>
    <w:p w14:paraId="4571A3A9" w14:textId="5F580CD4" w:rsidR="00510F1B" w:rsidRDefault="00510F1B" w:rsidP="00A74CC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F1038C" wp14:editId="69C7FBB4">
            <wp:extent cx="5486400" cy="6522097"/>
            <wp:effectExtent l="0" t="0" r="0" b="0"/>
            <wp:docPr id="1850142798" name="Picture 1850142798"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SL.jpg"/>
                    <pic:cNvPicPr/>
                  </pic:nvPicPr>
                  <pic:blipFill>
                    <a:blip r:embed="rId11">
                      <a:extLst>
                        <a:ext uri="{28A0092B-C50C-407E-A947-70E740481C1C}">
                          <a14:useLocalDpi xmlns:a14="http://schemas.microsoft.com/office/drawing/2010/main" val="0"/>
                        </a:ext>
                      </a:extLst>
                    </a:blip>
                    <a:stretch>
                      <a:fillRect/>
                    </a:stretch>
                  </pic:blipFill>
                  <pic:spPr>
                    <a:xfrm>
                      <a:off x="0" y="0"/>
                      <a:ext cx="5486400" cy="6522097"/>
                    </a:xfrm>
                    <a:prstGeom prst="rect">
                      <a:avLst/>
                    </a:prstGeom>
                    <a:ln>
                      <a:noFill/>
                    </a:ln>
                  </pic:spPr>
                </pic:pic>
              </a:graphicData>
            </a:graphic>
          </wp:inline>
        </w:drawing>
      </w:r>
    </w:p>
    <w:p w14:paraId="07786DDD" w14:textId="77777777" w:rsidR="003A03E5" w:rsidRDefault="003A03E5" w:rsidP="00A74CCD">
      <w:pPr>
        <w:spacing w:line="360" w:lineRule="auto"/>
        <w:jc w:val="both"/>
        <w:rPr>
          <w:rFonts w:ascii="Times New Roman" w:hAnsi="Times New Roman" w:cs="Times New Roman"/>
          <w:sz w:val="24"/>
          <w:szCs w:val="24"/>
        </w:rPr>
      </w:pPr>
    </w:p>
    <w:p w14:paraId="60A4EEF8" w14:textId="77777777" w:rsidR="003A03E5" w:rsidRDefault="003A03E5" w:rsidP="00A74CCD">
      <w:pPr>
        <w:spacing w:line="360" w:lineRule="auto"/>
        <w:jc w:val="both"/>
        <w:rPr>
          <w:rFonts w:ascii="Times New Roman" w:hAnsi="Times New Roman" w:cs="Times New Roman"/>
          <w:sz w:val="24"/>
          <w:szCs w:val="24"/>
        </w:rPr>
      </w:pPr>
    </w:p>
    <w:p w14:paraId="202DB58F" w14:textId="77777777" w:rsidR="003A03E5" w:rsidRDefault="003A03E5" w:rsidP="00A74CCD">
      <w:pPr>
        <w:spacing w:line="360" w:lineRule="auto"/>
        <w:jc w:val="both"/>
        <w:rPr>
          <w:rFonts w:ascii="Times New Roman" w:hAnsi="Times New Roman" w:cs="Times New Roman"/>
          <w:sz w:val="24"/>
          <w:szCs w:val="24"/>
        </w:rPr>
      </w:pPr>
    </w:p>
    <w:p w14:paraId="17180850" w14:textId="77777777" w:rsidR="003A03E5" w:rsidRDefault="003A03E5" w:rsidP="00A74CCD">
      <w:pPr>
        <w:spacing w:line="360" w:lineRule="auto"/>
        <w:jc w:val="both"/>
        <w:rPr>
          <w:rFonts w:ascii="Times New Roman" w:hAnsi="Times New Roman" w:cs="Times New Roman"/>
          <w:sz w:val="24"/>
          <w:szCs w:val="24"/>
        </w:rPr>
      </w:pPr>
    </w:p>
    <w:p w14:paraId="573610DB" w14:textId="77777777" w:rsidR="003A03E5" w:rsidRDefault="003A03E5" w:rsidP="00A74CCD">
      <w:pPr>
        <w:spacing w:line="360" w:lineRule="auto"/>
        <w:jc w:val="both"/>
        <w:rPr>
          <w:rFonts w:ascii="Times New Roman" w:hAnsi="Times New Roman" w:cs="Times New Roman"/>
          <w:sz w:val="24"/>
          <w:szCs w:val="24"/>
        </w:rPr>
      </w:pPr>
    </w:p>
    <w:sectPr w:rsidR="003A03E5" w:rsidSect="00AD42D6">
      <w:footerReference w:type="default" r:id="rId12"/>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4BFB" w14:textId="77777777" w:rsidR="00F94340" w:rsidRDefault="00F94340">
      <w:pPr>
        <w:spacing w:after="0" w:line="240" w:lineRule="auto"/>
      </w:pPr>
      <w:r>
        <w:separator/>
      </w:r>
    </w:p>
  </w:endnote>
  <w:endnote w:type="continuationSeparator" w:id="0">
    <w:p w14:paraId="4A0D99CA" w14:textId="77777777" w:rsidR="00F94340" w:rsidRDefault="00F94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FrutigerLTPro-CondensedIta">
    <w:altName w:val="Cambria"/>
    <w:panose1 w:val="00000000000000000000"/>
    <w:charset w:val="00"/>
    <w:family w:val="roman"/>
    <w:notTrueType/>
    <w:pitch w:val="default"/>
  </w:font>
  <w:font w:name="TTE2t00">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Bold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225224"/>
      <w:docPartObj>
        <w:docPartGallery w:val="Page Numbers (Bottom of Page)"/>
        <w:docPartUnique/>
      </w:docPartObj>
    </w:sdtPr>
    <w:sdtEndPr>
      <w:rPr>
        <w:rFonts w:ascii="Arial" w:hAnsi="Arial" w:cs="Arial"/>
        <w:noProof/>
      </w:rPr>
    </w:sdtEndPr>
    <w:sdtContent>
      <w:p w14:paraId="4ACF0B82" w14:textId="77777777" w:rsidR="00CA0493" w:rsidRDefault="00CA0493">
        <w:pPr>
          <w:pStyle w:val="Footer"/>
          <w:jc w:val="center"/>
        </w:pPr>
      </w:p>
      <w:p w14:paraId="03F9600F" w14:textId="77777777" w:rsidR="00CA0493" w:rsidRPr="00017738" w:rsidRDefault="00CA0493">
        <w:pPr>
          <w:pStyle w:val="Footer"/>
          <w:jc w:val="center"/>
          <w:rPr>
            <w:rFonts w:ascii="Arial" w:hAnsi="Arial" w:cs="Arial"/>
          </w:rPr>
        </w:pPr>
        <w:r w:rsidRPr="00017738">
          <w:rPr>
            <w:rFonts w:ascii="Arial" w:hAnsi="Arial" w:cs="Arial"/>
          </w:rPr>
          <w:fldChar w:fldCharType="begin"/>
        </w:r>
        <w:r w:rsidRPr="00017738">
          <w:rPr>
            <w:rFonts w:ascii="Arial" w:hAnsi="Arial" w:cs="Arial"/>
          </w:rPr>
          <w:instrText xml:space="preserve"> PAGE    \* MERGEFORMAT </w:instrText>
        </w:r>
        <w:r w:rsidRPr="00017738">
          <w:rPr>
            <w:rFonts w:ascii="Arial" w:hAnsi="Arial" w:cs="Arial"/>
          </w:rPr>
          <w:fldChar w:fldCharType="separate"/>
        </w:r>
        <w:r w:rsidRPr="00017738">
          <w:rPr>
            <w:rFonts w:ascii="Arial" w:hAnsi="Arial" w:cs="Arial"/>
            <w:noProof/>
          </w:rPr>
          <w:t>2</w:t>
        </w:r>
        <w:r w:rsidRPr="00017738">
          <w:rPr>
            <w:rFonts w:ascii="Arial" w:hAnsi="Arial" w:cs="Arial"/>
            <w:noProof/>
          </w:rPr>
          <w:fldChar w:fldCharType="end"/>
        </w:r>
      </w:p>
    </w:sdtContent>
  </w:sdt>
  <w:p w14:paraId="10E6CD29" w14:textId="77777777" w:rsidR="00CA0493" w:rsidRDefault="00CA0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DD87" w14:textId="77777777" w:rsidR="00F94340" w:rsidRDefault="00F94340">
      <w:pPr>
        <w:spacing w:after="0" w:line="240" w:lineRule="auto"/>
      </w:pPr>
      <w:r>
        <w:separator/>
      </w:r>
    </w:p>
  </w:footnote>
  <w:footnote w:type="continuationSeparator" w:id="0">
    <w:p w14:paraId="0F88C794" w14:textId="77777777" w:rsidR="00F94340" w:rsidRDefault="00F943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DFF"/>
    <w:multiLevelType w:val="hybridMultilevel"/>
    <w:tmpl w:val="363AB31E"/>
    <w:lvl w:ilvl="0" w:tplc="8B06E754">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83A2F"/>
    <w:multiLevelType w:val="hybridMultilevel"/>
    <w:tmpl w:val="C5E0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33228"/>
    <w:multiLevelType w:val="hybridMultilevel"/>
    <w:tmpl w:val="C7E8A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01F61"/>
    <w:multiLevelType w:val="hybridMultilevel"/>
    <w:tmpl w:val="FFDA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A7078"/>
    <w:multiLevelType w:val="hybridMultilevel"/>
    <w:tmpl w:val="1AAA4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B6CA4"/>
    <w:multiLevelType w:val="hybridMultilevel"/>
    <w:tmpl w:val="5DA01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23E19"/>
    <w:multiLevelType w:val="hybridMultilevel"/>
    <w:tmpl w:val="2562A952"/>
    <w:lvl w:ilvl="0" w:tplc="8B06E754">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250F7A"/>
    <w:multiLevelType w:val="hybridMultilevel"/>
    <w:tmpl w:val="22265B1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419C47D5"/>
    <w:multiLevelType w:val="hybridMultilevel"/>
    <w:tmpl w:val="71925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CA6152"/>
    <w:multiLevelType w:val="hybridMultilevel"/>
    <w:tmpl w:val="FA54F946"/>
    <w:lvl w:ilvl="0" w:tplc="8B06E754">
      <w:start w:val="1"/>
      <w:numFmt w:val="bullet"/>
      <w:lvlText w:val="—"/>
      <w:lvlJc w:val="left"/>
      <w:pPr>
        <w:ind w:left="1440" w:hanging="360"/>
      </w:pPr>
      <w:rPr>
        <w:rFonts w:ascii="Verdana" w:hAnsi="Verdan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F6381F"/>
    <w:multiLevelType w:val="hybridMultilevel"/>
    <w:tmpl w:val="662075EE"/>
    <w:lvl w:ilvl="0" w:tplc="8B06E754">
      <w:start w:val="1"/>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971CB"/>
    <w:multiLevelType w:val="hybridMultilevel"/>
    <w:tmpl w:val="7D0CA724"/>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00901CB"/>
    <w:multiLevelType w:val="hybridMultilevel"/>
    <w:tmpl w:val="6FE0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021AC"/>
    <w:multiLevelType w:val="hybridMultilevel"/>
    <w:tmpl w:val="14102CD8"/>
    <w:lvl w:ilvl="0" w:tplc="8B06E754">
      <w:start w:val="1"/>
      <w:numFmt w:val="bullet"/>
      <w:lvlText w:val="—"/>
      <w:lvlJc w:val="left"/>
      <w:pPr>
        <w:ind w:left="1080" w:hanging="360"/>
      </w:pPr>
      <w:rPr>
        <w:rFonts w:ascii="Verdana" w:hAnsi="Verdan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FD169F4"/>
    <w:multiLevelType w:val="hybridMultilevel"/>
    <w:tmpl w:val="30B8738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75E231D6"/>
    <w:multiLevelType w:val="hybridMultilevel"/>
    <w:tmpl w:val="240ADF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0204F1"/>
    <w:multiLevelType w:val="hybridMultilevel"/>
    <w:tmpl w:val="7E44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70325"/>
    <w:multiLevelType w:val="hybridMultilevel"/>
    <w:tmpl w:val="13D2B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009829">
    <w:abstractNumId w:val="5"/>
  </w:num>
  <w:num w:numId="2" w16cid:durableId="452797740">
    <w:abstractNumId w:val="1"/>
  </w:num>
  <w:num w:numId="3" w16cid:durableId="258220849">
    <w:abstractNumId w:val="8"/>
  </w:num>
  <w:num w:numId="4" w16cid:durableId="768158308">
    <w:abstractNumId w:val="11"/>
  </w:num>
  <w:num w:numId="5" w16cid:durableId="336620292">
    <w:abstractNumId w:val="4"/>
  </w:num>
  <w:num w:numId="6" w16cid:durableId="383143512">
    <w:abstractNumId w:val="3"/>
  </w:num>
  <w:num w:numId="7" w16cid:durableId="299656944">
    <w:abstractNumId w:val="16"/>
  </w:num>
  <w:num w:numId="8" w16cid:durableId="1039742173">
    <w:abstractNumId w:val="17"/>
  </w:num>
  <w:num w:numId="9" w16cid:durableId="922568358">
    <w:abstractNumId w:val="6"/>
  </w:num>
  <w:num w:numId="10" w16cid:durableId="453602814">
    <w:abstractNumId w:val="13"/>
  </w:num>
  <w:num w:numId="11" w16cid:durableId="541484403">
    <w:abstractNumId w:val="14"/>
  </w:num>
  <w:num w:numId="12" w16cid:durableId="878515165">
    <w:abstractNumId w:val="15"/>
  </w:num>
  <w:num w:numId="13" w16cid:durableId="892424052">
    <w:abstractNumId w:val="0"/>
  </w:num>
  <w:num w:numId="14" w16cid:durableId="1124421216">
    <w:abstractNumId w:val="10"/>
  </w:num>
  <w:num w:numId="15" w16cid:durableId="2064333499">
    <w:abstractNumId w:val="9"/>
  </w:num>
  <w:num w:numId="16" w16cid:durableId="337317171">
    <w:abstractNumId w:val="7"/>
  </w:num>
  <w:num w:numId="17" w16cid:durableId="1923442499">
    <w:abstractNumId w:val="12"/>
  </w:num>
  <w:num w:numId="18" w16cid:durableId="5391724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wMDU1NjcxNrAwMzVS0lEKTi0uzszPAykwqgUAbmOVIiwAAAA="/>
  </w:docVars>
  <w:rsids>
    <w:rsidRoot w:val="00A74CCD"/>
    <w:rsid w:val="00133365"/>
    <w:rsid w:val="001476A1"/>
    <w:rsid w:val="002959F8"/>
    <w:rsid w:val="003A03E5"/>
    <w:rsid w:val="00510F1B"/>
    <w:rsid w:val="006C30EF"/>
    <w:rsid w:val="00851FDB"/>
    <w:rsid w:val="0092047C"/>
    <w:rsid w:val="00957296"/>
    <w:rsid w:val="009F0646"/>
    <w:rsid w:val="00A74CCD"/>
    <w:rsid w:val="00AD42D6"/>
    <w:rsid w:val="00C82EA3"/>
    <w:rsid w:val="00C8500E"/>
    <w:rsid w:val="00CA0493"/>
    <w:rsid w:val="00E76DB6"/>
    <w:rsid w:val="00F94340"/>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800A"/>
  <w15:chartTrackingRefBased/>
  <w15:docId w15:val="{3F33CE4D-0586-4BFF-8799-65164637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CCD"/>
  </w:style>
  <w:style w:type="paragraph" w:styleId="Heading3">
    <w:name w:val="heading 3"/>
    <w:basedOn w:val="Normal"/>
    <w:link w:val="Heading3Char"/>
    <w:uiPriority w:val="9"/>
    <w:qFormat/>
    <w:rsid w:val="003A03E5"/>
    <w:pPr>
      <w:spacing w:before="100" w:beforeAutospacing="1" w:after="100" w:afterAutospacing="1" w:line="240" w:lineRule="auto"/>
      <w:outlineLvl w:val="2"/>
    </w:pPr>
    <w:rPr>
      <w:rFonts w:ascii="Times New Roman" w:eastAsia="Times New Roman" w:hAnsi="Times New Roman" w:cs="Times New Roman"/>
      <w:b/>
      <w:bCs/>
      <w:sz w:val="27"/>
      <w:szCs w:val="27"/>
      <w:lang w:eastAsia="ja-JP"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74CCD"/>
    <w:pPr>
      <w:spacing w:after="0" w:line="240" w:lineRule="auto"/>
    </w:pPr>
    <w:rPr>
      <w:sz w:val="20"/>
      <w:szCs w:val="20"/>
    </w:rPr>
  </w:style>
  <w:style w:type="character" w:customStyle="1" w:styleId="FootnoteTextChar">
    <w:name w:val="Footnote Text Char"/>
    <w:basedOn w:val="DefaultParagraphFont"/>
    <w:link w:val="FootnoteText"/>
    <w:uiPriority w:val="99"/>
    <w:rsid w:val="00A74CCD"/>
    <w:rPr>
      <w:sz w:val="20"/>
      <w:szCs w:val="20"/>
    </w:rPr>
  </w:style>
  <w:style w:type="character" w:styleId="Hyperlink">
    <w:name w:val="Hyperlink"/>
    <w:basedOn w:val="DefaultParagraphFont"/>
    <w:uiPriority w:val="99"/>
    <w:unhideWhenUsed/>
    <w:rsid w:val="00A74CCD"/>
    <w:rPr>
      <w:color w:val="0563C1" w:themeColor="hyperlink"/>
      <w:u w:val="single"/>
    </w:rPr>
  </w:style>
  <w:style w:type="character" w:customStyle="1" w:styleId="fontstyle01">
    <w:name w:val="fontstyle01"/>
    <w:basedOn w:val="DefaultParagraphFont"/>
    <w:rsid w:val="00A74CCD"/>
    <w:rPr>
      <w:b w:val="0"/>
      <w:bCs w:val="0"/>
      <w:i w:val="0"/>
      <w:iCs w:val="0"/>
      <w:color w:val="000000"/>
      <w:sz w:val="22"/>
      <w:szCs w:val="22"/>
    </w:rPr>
  </w:style>
  <w:style w:type="character" w:customStyle="1" w:styleId="fontstyle21">
    <w:name w:val="fontstyle21"/>
    <w:basedOn w:val="DefaultParagraphFont"/>
    <w:rsid w:val="00A74CCD"/>
    <w:rPr>
      <w:rFonts w:ascii="FrutigerLTPro-CondensedIta" w:hAnsi="FrutigerLTPro-CondensedIta" w:hint="default"/>
      <w:b w:val="0"/>
      <w:bCs w:val="0"/>
      <w:i/>
      <w:iCs/>
      <w:color w:val="19305B"/>
      <w:sz w:val="20"/>
      <w:szCs w:val="20"/>
    </w:rPr>
  </w:style>
  <w:style w:type="table" w:styleId="TableGrid">
    <w:name w:val="Table Grid"/>
    <w:basedOn w:val="TableNormal"/>
    <w:uiPriority w:val="39"/>
    <w:rsid w:val="00A74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4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CCD"/>
  </w:style>
  <w:style w:type="paragraph" w:styleId="Footer">
    <w:name w:val="footer"/>
    <w:basedOn w:val="Normal"/>
    <w:link w:val="FooterChar"/>
    <w:uiPriority w:val="99"/>
    <w:unhideWhenUsed/>
    <w:rsid w:val="00A74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CCD"/>
  </w:style>
  <w:style w:type="paragraph" w:styleId="ListParagraph">
    <w:name w:val="List Paragraph"/>
    <w:basedOn w:val="Normal"/>
    <w:uiPriority w:val="34"/>
    <w:qFormat/>
    <w:rsid w:val="00A74CCD"/>
    <w:pPr>
      <w:ind w:left="720"/>
      <w:contextualSpacing/>
    </w:pPr>
  </w:style>
  <w:style w:type="character" w:customStyle="1" w:styleId="fontstyle31">
    <w:name w:val="fontstyle31"/>
    <w:basedOn w:val="DefaultParagraphFont"/>
    <w:rsid w:val="00A74CCD"/>
    <w:rPr>
      <w:rFonts w:ascii="TTE2t00" w:hAnsi="TTE2t00" w:hint="default"/>
      <w:b w:val="0"/>
      <w:bCs w:val="0"/>
      <w:i w:val="0"/>
      <w:iCs w:val="0"/>
      <w:color w:val="000000"/>
      <w:sz w:val="20"/>
      <w:szCs w:val="20"/>
    </w:rPr>
  </w:style>
  <w:style w:type="paragraph" w:styleId="BalloonText">
    <w:name w:val="Balloon Text"/>
    <w:basedOn w:val="Normal"/>
    <w:link w:val="BalloonTextChar"/>
    <w:uiPriority w:val="99"/>
    <w:semiHidden/>
    <w:unhideWhenUsed/>
    <w:rsid w:val="00A74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CCD"/>
    <w:rPr>
      <w:rFonts w:ascii="Segoe UI" w:hAnsi="Segoe UI" w:cs="Segoe UI"/>
      <w:sz w:val="18"/>
      <w:szCs w:val="18"/>
    </w:rPr>
  </w:style>
  <w:style w:type="character" w:customStyle="1" w:styleId="Heading3Char">
    <w:name w:val="Heading 3 Char"/>
    <w:basedOn w:val="DefaultParagraphFont"/>
    <w:link w:val="Heading3"/>
    <w:uiPriority w:val="9"/>
    <w:rsid w:val="003A03E5"/>
    <w:rPr>
      <w:rFonts w:ascii="Times New Roman" w:eastAsia="Times New Roman" w:hAnsi="Times New Roman" w:cs="Times New Roman"/>
      <w:b/>
      <w:bCs/>
      <w:sz w:val="27"/>
      <w:szCs w:val="27"/>
      <w:lang w:eastAsia="ja-JP" w:bidi="bn-IN"/>
    </w:rPr>
  </w:style>
  <w:style w:type="paragraph" w:styleId="NormalWeb">
    <w:name w:val="Normal (Web)"/>
    <w:basedOn w:val="Normal"/>
    <w:uiPriority w:val="99"/>
    <w:semiHidden/>
    <w:unhideWhenUsed/>
    <w:rsid w:val="003A03E5"/>
    <w:pPr>
      <w:spacing w:before="100" w:beforeAutospacing="1" w:after="100" w:afterAutospacing="1" w:line="240" w:lineRule="auto"/>
    </w:pPr>
    <w:rPr>
      <w:rFonts w:ascii="Times New Roman" w:eastAsia="Times New Roman" w:hAnsi="Times New Roman" w:cs="Times New Roman"/>
      <w:sz w:val="24"/>
      <w:szCs w:val="24"/>
      <w:lang w:eastAsia="ja-JP" w:bidi="bn-IN"/>
    </w:rPr>
  </w:style>
  <w:style w:type="character" w:styleId="Emphasis">
    <w:name w:val="Emphasis"/>
    <w:basedOn w:val="DefaultParagraphFont"/>
    <w:uiPriority w:val="20"/>
    <w:qFormat/>
    <w:rsid w:val="003A03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6150C48-23EC-4DDF-B3C0-6E767DFC2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Najmul Kabir</dc:creator>
  <cp:keywords/>
  <dc:description/>
  <cp:lastModifiedBy>カビル　モハマド　ナジュムル</cp:lastModifiedBy>
  <cp:revision>5</cp:revision>
  <dcterms:created xsi:type="dcterms:W3CDTF">2026-03-31T03:55:00Z</dcterms:created>
  <dcterms:modified xsi:type="dcterms:W3CDTF">2026-08-13T03:20:00Z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ef5fd6f8-5f97-42a7-a13f-e7cd762be0c4</vt:lpwstr>
  </property>
</Properties>
</file>