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6F8" w:rsidRDefault="003B36F8" w:rsidP="003B36F8">
      <w:pPr>
        <w:spacing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bookmarkStart w:id="0" w:name="_GoBack"/>
    </w:p>
    <w:p w:rsidR="003B36F8" w:rsidRDefault="003B36F8" w:rsidP="003B36F8">
      <w:pPr>
        <w:pStyle w:val="Heading2"/>
      </w:pPr>
      <w:r>
        <w:t>Supporting Materials.</w:t>
      </w:r>
    </w:p>
    <w:p w:rsidR="003B36F8" w:rsidRDefault="003B36F8" w:rsidP="003B36F8">
      <w:pPr>
        <w:keepNext/>
      </w:pPr>
      <w:r w:rsidRPr="004807DF">
        <w:rPr>
          <w:rFonts w:ascii="Calibri" w:hAnsi="Calibri" w:cs="Calibri"/>
          <w:noProof/>
          <w:lang w:val="en-IN" w:eastAsia="en-IN"/>
        </w:rPr>
        <w:drawing>
          <wp:inline distT="0" distB="0" distL="0" distR="0" wp14:anchorId="097AB0DA" wp14:editId="42DF4801">
            <wp:extent cx="5162552" cy="2781300"/>
            <wp:effectExtent l="0" t="0" r="0" b="0"/>
            <wp:docPr id="216885547" name="Picture 216885547" descr="A graph with a line and a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85547" name="Picture 216885547" descr="A graph with a line and a lin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2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6F8" w:rsidRDefault="003B36F8" w:rsidP="003B36F8">
      <w:pPr>
        <w:pStyle w:val="Caption"/>
        <w:rPr>
          <w:noProof/>
        </w:rPr>
      </w:pPr>
      <w:r w:rsidRPr="00917186">
        <w:t>Figure 2: Number of eligible studies per year of publication.</w:t>
      </w:r>
      <w:r w:rsidRPr="001E1FF2">
        <w:rPr>
          <w:noProof/>
        </w:rPr>
        <w:t xml:space="preserve"> </w:t>
      </w:r>
    </w:p>
    <w:p w:rsidR="003B36F8" w:rsidRPr="0026283D" w:rsidRDefault="003B36F8" w:rsidP="003B36F8"/>
    <w:p w:rsidR="003B36F8" w:rsidRDefault="003B36F8" w:rsidP="003B36F8">
      <w:pPr>
        <w:pStyle w:val="Caption"/>
      </w:pPr>
      <w:r>
        <w:rPr>
          <w:noProof/>
          <w:lang w:val="en-IN" w:eastAsia="en-IN"/>
        </w:rPr>
        <w:drawing>
          <wp:inline distT="0" distB="0" distL="0" distR="0" wp14:anchorId="0ADA19AB" wp14:editId="6C177DA6">
            <wp:extent cx="4905375" cy="3762375"/>
            <wp:effectExtent l="0" t="0" r="9525" b="9525"/>
            <wp:docPr id="112331522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157C3E-E6F9-997E-2A1F-91F637CEEA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B36F8" w:rsidRDefault="003B36F8" w:rsidP="003B36F8">
      <w:pPr>
        <w:spacing w:line="259" w:lineRule="auto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6E878310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en-IE"/>
        </w:rPr>
        <w:t>Figure 3. Exploration of gender in eligible studies (n=10)</w:t>
      </w:r>
    </w:p>
    <w:p w:rsidR="003B36F8" w:rsidRDefault="003B36F8" w:rsidP="003B36F8"/>
    <w:bookmarkEnd w:id="0"/>
    <w:p w:rsidR="00AD4AFA" w:rsidRDefault="00AD4AFA"/>
    <w:sectPr w:rsidR="00AD4AFA" w:rsidSect="003B3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F8"/>
    <w:rsid w:val="00102DD0"/>
    <w:rsid w:val="001040D5"/>
    <w:rsid w:val="00135323"/>
    <w:rsid w:val="00174D97"/>
    <w:rsid w:val="001D68A3"/>
    <w:rsid w:val="0021049E"/>
    <w:rsid w:val="002A4F2E"/>
    <w:rsid w:val="002F2C16"/>
    <w:rsid w:val="00306D54"/>
    <w:rsid w:val="003856DB"/>
    <w:rsid w:val="003B36F8"/>
    <w:rsid w:val="00402F9C"/>
    <w:rsid w:val="00410CA3"/>
    <w:rsid w:val="0044240E"/>
    <w:rsid w:val="004932D6"/>
    <w:rsid w:val="005E53F5"/>
    <w:rsid w:val="006F3C28"/>
    <w:rsid w:val="006F61FB"/>
    <w:rsid w:val="00753FAA"/>
    <w:rsid w:val="00796B0F"/>
    <w:rsid w:val="0080128E"/>
    <w:rsid w:val="00903E6D"/>
    <w:rsid w:val="00931F60"/>
    <w:rsid w:val="00A7267B"/>
    <w:rsid w:val="00A95D7F"/>
    <w:rsid w:val="00AD4AFA"/>
    <w:rsid w:val="00B426A2"/>
    <w:rsid w:val="00BE536E"/>
    <w:rsid w:val="00C32F6D"/>
    <w:rsid w:val="00C465EB"/>
    <w:rsid w:val="00C50B3D"/>
    <w:rsid w:val="00C7338A"/>
    <w:rsid w:val="00C80F00"/>
    <w:rsid w:val="00E02508"/>
    <w:rsid w:val="00E20132"/>
    <w:rsid w:val="00E21288"/>
    <w:rsid w:val="00ED039F"/>
    <w:rsid w:val="00EF0B86"/>
    <w:rsid w:val="00F7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A0ABA7-AADD-44E2-A11F-04AC827A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6F8"/>
    <w:pPr>
      <w:spacing w:line="279" w:lineRule="auto"/>
    </w:pPr>
    <w:rPr>
      <w:rFonts w:eastAsiaTheme="minorEastAsia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3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36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3B36F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ccireland-my.sharepoint.com/personal/sagnew_ucc_ie/Documents/Response/Response%202023/Systematic%20Lit%20Review/Scicom_SR_Screen%20Oc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E"/>
              <a:t>Demographic: Gender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Demographics!$AA$43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Demographics!$Z$44:$Z$52</c:f>
              <c:strCache>
                <c:ptCount val="9"/>
                <c:pt idx="0">
                  <c:v>Abalo and Olausson (2023)</c:v>
                </c:pt>
                <c:pt idx="1">
                  <c:v>Anderson et al (2016)</c:v>
                </c:pt>
                <c:pt idx="2">
                  <c:v>Cammalleri et al (2020)</c:v>
                </c:pt>
                <c:pt idx="3">
                  <c:v>Deng et al (2020)</c:v>
                </c:pt>
                <c:pt idx="4">
                  <c:v>Henderson &amp; Green (2020)</c:v>
                </c:pt>
                <c:pt idx="5">
                  <c:v>Janzik et al (2023)</c:v>
                </c:pt>
                <c:pt idx="6">
                  <c:v>Kramm et al (2022)</c:v>
                </c:pt>
                <c:pt idx="7">
                  <c:v>Raab &amp; Bogner (2021)</c:v>
                </c:pt>
                <c:pt idx="8">
                  <c:v>Thiele &amp; Hudson (2022)</c:v>
                </c:pt>
              </c:strCache>
              <c:extLst xmlns:c16r2="http://schemas.microsoft.com/office/drawing/2015/06/chart"/>
            </c:strRef>
          </c:cat>
          <c:val>
            <c:numRef>
              <c:f>Demographics!$AA$44:$AA$52</c:f>
              <c:numCache>
                <c:formatCode>0.0%</c:formatCode>
                <c:ptCount val="9"/>
                <c:pt idx="0">
                  <c:v>0.46700000000000003</c:v>
                </c:pt>
                <c:pt idx="1">
                  <c:v>0.90900000000000003</c:v>
                </c:pt>
                <c:pt idx="2">
                  <c:v>0.59599999999999997</c:v>
                </c:pt>
                <c:pt idx="3">
                  <c:v>0.45300000000000001</c:v>
                </c:pt>
                <c:pt idx="4">
                  <c:v>0.66700000000000004</c:v>
                </c:pt>
                <c:pt idx="5">
                  <c:v>0.53300000000000003</c:v>
                </c:pt>
                <c:pt idx="6">
                  <c:v>0.49299999999999999</c:v>
                </c:pt>
                <c:pt idx="7">
                  <c:v>0.56599999999999995</c:v>
                </c:pt>
                <c:pt idx="8">
                  <c:v>0.84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66-4F8D-87C5-00FBA2108A56}"/>
            </c:ext>
          </c:extLst>
        </c:ser>
        <c:ser>
          <c:idx val="1"/>
          <c:order val="1"/>
          <c:tx>
            <c:strRef>
              <c:f>Demographics!$AB$43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Demographics!$Z$44:$Z$52</c:f>
              <c:strCache>
                <c:ptCount val="9"/>
                <c:pt idx="0">
                  <c:v>Abalo and Olausson (2023)</c:v>
                </c:pt>
                <c:pt idx="1">
                  <c:v>Anderson et al (2016)</c:v>
                </c:pt>
                <c:pt idx="2">
                  <c:v>Cammalleri et al (2020)</c:v>
                </c:pt>
                <c:pt idx="3">
                  <c:v>Deng et al (2020)</c:v>
                </c:pt>
                <c:pt idx="4">
                  <c:v>Henderson &amp; Green (2020)</c:v>
                </c:pt>
                <c:pt idx="5">
                  <c:v>Janzik et al (2023)</c:v>
                </c:pt>
                <c:pt idx="6">
                  <c:v>Kramm et al (2022)</c:v>
                </c:pt>
                <c:pt idx="7">
                  <c:v>Raab &amp; Bogner (2021)</c:v>
                </c:pt>
                <c:pt idx="8">
                  <c:v>Thiele &amp; Hudson (2022)</c:v>
                </c:pt>
              </c:strCache>
              <c:extLst xmlns:c16r2="http://schemas.microsoft.com/office/drawing/2015/06/chart"/>
            </c:strRef>
          </c:cat>
          <c:val>
            <c:numRef>
              <c:f>Demographics!$AB$44:$AB$52</c:f>
              <c:numCache>
                <c:formatCode>0.0%</c:formatCode>
                <c:ptCount val="9"/>
                <c:pt idx="0">
                  <c:v>0.53300000000000003</c:v>
                </c:pt>
                <c:pt idx="1">
                  <c:v>9.0999999999999998E-2</c:v>
                </c:pt>
                <c:pt idx="2">
                  <c:v>0.40400000000000003</c:v>
                </c:pt>
                <c:pt idx="3">
                  <c:v>0.54700000000000004</c:v>
                </c:pt>
                <c:pt idx="4">
                  <c:v>0.33300000000000002</c:v>
                </c:pt>
                <c:pt idx="5">
                  <c:v>0.46700000000000003</c:v>
                </c:pt>
                <c:pt idx="6">
                  <c:v>0.504</c:v>
                </c:pt>
                <c:pt idx="7">
                  <c:v>0.434</c:v>
                </c:pt>
                <c:pt idx="8">
                  <c:v>0.14799999999999999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166-4F8D-87C5-00FBA2108A56}"/>
            </c:ext>
          </c:extLst>
        </c:ser>
        <c:ser>
          <c:idx val="2"/>
          <c:order val="2"/>
          <c:tx>
            <c:strRef>
              <c:f>Demographics!$AC$43</c:f>
              <c:strCache>
                <c:ptCount val="1"/>
                <c:pt idx="0">
                  <c:v>Prefer not to say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Demographics!$Z$44:$Z$52</c:f>
              <c:strCache>
                <c:ptCount val="9"/>
                <c:pt idx="0">
                  <c:v>Abalo and Olausson (2023)</c:v>
                </c:pt>
                <c:pt idx="1">
                  <c:v>Anderson et al (2016)</c:v>
                </c:pt>
                <c:pt idx="2">
                  <c:v>Cammalleri et al (2020)</c:v>
                </c:pt>
                <c:pt idx="3">
                  <c:v>Deng et al (2020)</c:v>
                </c:pt>
                <c:pt idx="4">
                  <c:v>Henderson &amp; Green (2020)</c:v>
                </c:pt>
                <c:pt idx="5">
                  <c:v>Janzik et al (2023)</c:v>
                </c:pt>
                <c:pt idx="6">
                  <c:v>Kramm et al (2022)</c:v>
                </c:pt>
                <c:pt idx="7">
                  <c:v>Raab &amp; Bogner (2021)</c:v>
                </c:pt>
                <c:pt idx="8">
                  <c:v>Thiele &amp; Hudson (2022)</c:v>
                </c:pt>
              </c:strCache>
              <c:extLst xmlns:c16r2="http://schemas.microsoft.com/office/drawing/2015/06/chart"/>
            </c:strRef>
          </c:cat>
          <c:val>
            <c:numRef>
              <c:f>Demographics!$AC$44:$AC$52</c:f>
              <c:numCache>
                <c:formatCode>General</c:formatCode>
                <c:ptCount val="9"/>
                <c:pt idx="7" formatCode="0.00%">
                  <c:v>1.2E-2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166-4F8D-87C5-00FBA2108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9585200"/>
        <c:axId val="819587376"/>
      </c:barChart>
      <c:catAx>
        <c:axId val="81958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819587376"/>
        <c:crosses val="autoZero"/>
        <c:auto val="1"/>
        <c:lblAlgn val="ctr"/>
        <c:lblOffset val="100"/>
        <c:noMultiLvlLbl val="0"/>
      </c:catAx>
      <c:valAx>
        <c:axId val="819587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819585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Rajalakshmi Thangaraj</dc:creator>
  <cp:keywords/>
  <dc:description/>
  <cp:lastModifiedBy>Rajalakshmi Thangaraj</cp:lastModifiedBy>
  <cp:revision>1</cp:revision>
  <dcterms:created xsi:type="dcterms:W3CDTF">2024-10-24T05:18:00Z</dcterms:created>
  <dcterms:modified xsi:type="dcterms:W3CDTF">2024-10-24T05:18:00Z</dcterms:modified>
</cp:coreProperties>
</file>