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29549B" w14:textId="05107B7E" w:rsidR="00B818BE" w:rsidRDefault="00522F85" w:rsidP="00BA7882">
      <w:pPr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E928E2D" wp14:editId="10A0D4CD">
            <wp:extent cx="5269865" cy="3250565"/>
            <wp:effectExtent l="0" t="0" r="6985" b="698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9865" cy="3250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70AF3E" w14:textId="77777777" w:rsidR="00007B06" w:rsidRDefault="00BA7882" w:rsidP="00BA7882">
      <w:pPr>
        <w:rPr>
          <w:rFonts w:ascii="Times New Roman" w:hAnsi="Times New Roman" w:cs="Times New Roman"/>
          <w:sz w:val="24"/>
          <w:szCs w:val="24"/>
        </w:rPr>
      </w:pPr>
      <w:r w:rsidRPr="00F75FB7">
        <w:rPr>
          <w:rFonts w:ascii="Times New Roman" w:hAnsi="Times New Roman" w:cs="Times New Roman"/>
          <w:b/>
          <w:bCs/>
          <w:sz w:val="24"/>
          <w:szCs w:val="24"/>
        </w:rPr>
        <w:t>Figure S1</w:t>
      </w:r>
      <w:r w:rsidRPr="00F75FB7">
        <w:rPr>
          <w:rFonts w:ascii="Times New Roman" w:hAnsi="Times New Roman" w:cs="Times New Roman"/>
          <w:sz w:val="24"/>
          <w:szCs w:val="24"/>
        </w:rPr>
        <w:t xml:space="preserve"> </w:t>
      </w:r>
      <w:r w:rsidR="00B818BE">
        <w:rPr>
          <w:rFonts w:ascii="Times New Roman" w:hAnsi="Times New Roman" w:cs="Times New Roman"/>
          <w:sz w:val="24"/>
          <w:szCs w:val="24"/>
        </w:rPr>
        <w:t xml:space="preserve">A. </w:t>
      </w:r>
      <w:r w:rsidR="00B818BE" w:rsidRPr="00B818BE">
        <w:rPr>
          <w:rFonts w:ascii="Times New Roman" w:hAnsi="Times New Roman" w:cs="Times New Roman"/>
          <w:sz w:val="24"/>
          <w:szCs w:val="24"/>
        </w:rPr>
        <w:t xml:space="preserve">Heatmap illustrating </w:t>
      </w:r>
      <w:r w:rsidR="00B818BE">
        <w:rPr>
          <w:rFonts w:ascii="Times New Roman" w:hAnsi="Times New Roman" w:cs="Times New Roman"/>
          <w:sz w:val="24"/>
          <w:szCs w:val="24"/>
        </w:rPr>
        <w:t>whole</w:t>
      </w:r>
      <w:r w:rsidR="00B818BE" w:rsidRPr="00B818BE">
        <w:rPr>
          <w:rFonts w:ascii="Times New Roman" w:hAnsi="Times New Roman" w:cs="Times New Roman"/>
          <w:sz w:val="24"/>
          <w:szCs w:val="24"/>
        </w:rPr>
        <w:t xml:space="preserve"> proteins abundance, clustered by k-means.</w:t>
      </w:r>
      <w:r w:rsidR="00B818BE">
        <w:rPr>
          <w:rFonts w:ascii="Times New Roman" w:hAnsi="Times New Roman" w:cs="Times New Roman"/>
          <w:sz w:val="24"/>
          <w:szCs w:val="24"/>
        </w:rPr>
        <w:t xml:space="preserve"> B</w:t>
      </w:r>
      <w:r w:rsidRPr="00F75FB7">
        <w:rPr>
          <w:rFonts w:ascii="Times New Roman" w:hAnsi="Times New Roman" w:cs="Times New Roman"/>
          <w:sz w:val="24"/>
          <w:szCs w:val="24"/>
        </w:rPr>
        <w:t xml:space="preserve">, </w:t>
      </w:r>
      <w:r w:rsidR="00B818BE">
        <w:rPr>
          <w:rFonts w:ascii="Times New Roman" w:hAnsi="Times New Roman" w:cs="Times New Roman"/>
          <w:sz w:val="24"/>
          <w:szCs w:val="24"/>
        </w:rPr>
        <w:t>C</w:t>
      </w:r>
      <w:r w:rsidRPr="00F75FB7">
        <w:rPr>
          <w:rFonts w:ascii="Times New Roman" w:hAnsi="Times New Roman" w:cs="Times New Roman"/>
          <w:sz w:val="24"/>
          <w:szCs w:val="24"/>
        </w:rPr>
        <w:t>. The number of decreas</w:t>
      </w:r>
      <w:r w:rsidR="00522F85">
        <w:rPr>
          <w:rFonts w:ascii="Times New Roman" w:hAnsi="Times New Roman" w:cs="Times New Roman"/>
          <w:sz w:val="24"/>
          <w:szCs w:val="24"/>
        </w:rPr>
        <w:t>ing</w:t>
      </w:r>
      <w:r w:rsidRPr="00F75FB7">
        <w:rPr>
          <w:rFonts w:ascii="Times New Roman" w:hAnsi="Times New Roman" w:cs="Times New Roman"/>
          <w:sz w:val="24"/>
          <w:szCs w:val="24"/>
        </w:rPr>
        <w:t xml:space="preserve"> identified proteins (</w:t>
      </w:r>
      <w:r w:rsidR="00B818BE">
        <w:rPr>
          <w:rFonts w:ascii="Times New Roman" w:hAnsi="Times New Roman" w:cs="Times New Roman"/>
          <w:sz w:val="24"/>
          <w:szCs w:val="24"/>
        </w:rPr>
        <w:t>B</w:t>
      </w:r>
      <w:r w:rsidRPr="00F75FB7">
        <w:rPr>
          <w:rFonts w:ascii="Times New Roman" w:hAnsi="Times New Roman" w:cs="Times New Roman"/>
          <w:sz w:val="24"/>
          <w:szCs w:val="24"/>
        </w:rPr>
        <w:t>) and decreas</w:t>
      </w:r>
      <w:r w:rsidR="00522F85">
        <w:rPr>
          <w:rFonts w:ascii="Times New Roman" w:hAnsi="Times New Roman" w:cs="Times New Roman"/>
          <w:sz w:val="24"/>
          <w:szCs w:val="24"/>
        </w:rPr>
        <w:t>ing</w:t>
      </w:r>
      <w:r w:rsidRPr="00F75FB7">
        <w:rPr>
          <w:rFonts w:ascii="Times New Roman" w:hAnsi="Times New Roman" w:cs="Times New Roman"/>
          <w:sz w:val="24"/>
          <w:szCs w:val="24"/>
        </w:rPr>
        <w:t xml:space="preserve"> enriched biological processes (</w:t>
      </w:r>
      <w:r w:rsidR="00B818BE">
        <w:rPr>
          <w:rFonts w:ascii="Times New Roman" w:hAnsi="Times New Roman" w:cs="Times New Roman"/>
          <w:sz w:val="24"/>
          <w:szCs w:val="24"/>
        </w:rPr>
        <w:t>C</w:t>
      </w:r>
      <w:r w:rsidRPr="00F75FB7">
        <w:rPr>
          <w:rFonts w:ascii="Times New Roman" w:hAnsi="Times New Roman" w:cs="Times New Roman"/>
          <w:sz w:val="24"/>
          <w:szCs w:val="24"/>
        </w:rPr>
        <w:t xml:space="preserve">) in the LD and SD regions when comparing adjacent stages. </w:t>
      </w:r>
    </w:p>
    <w:p w14:paraId="5AF95EA7" w14:textId="77777777" w:rsidR="00007B06" w:rsidRDefault="00007B06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0A7CE83" w14:textId="1713C5E0" w:rsidR="00007B06" w:rsidRDefault="00007B06" w:rsidP="00007B06">
      <w:pPr>
        <w:widowControl/>
        <w:spacing w:line="36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488F3BC8" w14:textId="6C9AD88C" w:rsidR="00757F75" w:rsidRDefault="00757F75">
      <w:pPr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623E410" wp14:editId="344B1CB9">
            <wp:extent cx="5272405" cy="4189730"/>
            <wp:effectExtent l="0" t="0" r="4445" b="127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2405" cy="4189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6DAB15" w14:textId="1DE147BF" w:rsidR="00757F75" w:rsidRDefault="00757F75">
      <w:pPr>
        <w:widowControl/>
        <w:jc w:val="left"/>
        <w:rPr>
          <w:rFonts w:ascii="Times New Roman" w:hAnsi="Times New Roman" w:cs="Times New Roman"/>
          <w:noProof/>
          <w:sz w:val="24"/>
          <w:szCs w:val="24"/>
        </w:rPr>
      </w:pPr>
      <w:r w:rsidRPr="00757F75">
        <w:rPr>
          <w:rFonts w:ascii="Times New Roman" w:hAnsi="Times New Roman" w:cs="Times New Roman"/>
          <w:b/>
          <w:bCs/>
          <w:noProof/>
          <w:sz w:val="24"/>
          <w:szCs w:val="24"/>
        </w:rPr>
        <w:t>Figure S</w:t>
      </w:r>
      <w:r w:rsidR="00BE0CA4">
        <w:rPr>
          <w:rFonts w:ascii="Times New Roman" w:hAnsi="Times New Roman" w:cs="Times New Roman"/>
          <w:b/>
          <w:bCs/>
          <w:noProof/>
          <w:sz w:val="24"/>
          <w:szCs w:val="24"/>
        </w:rPr>
        <w:t>2</w:t>
      </w:r>
      <w:r w:rsidRPr="00757F75">
        <w:rPr>
          <w:rFonts w:ascii="Times New Roman" w:hAnsi="Times New Roman" w:cs="Times New Roman"/>
          <w:noProof/>
          <w:sz w:val="24"/>
          <w:szCs w:val="24"/>
        </w:rPr>
        <w:t xml:space="preserve"> Top 10 G</w:t>
      </w:r>
      <w:r>
        <w:rPr>
          <w:rFonts w:ascii="Times New Roman" w:hAnsi="Times New Roman" w:cs="Times New Roman"/>
          <w:noProof/>
          <w:sz w:val="24"/>
          <w:szCs w:val="24"/>
        </w:rPr>
        <w:t>O</w:t>
      </w:r>
      <w:r w:rsidRPr="00757F75">
        <w:rPr>
          <w:rFonts w:ascii="Times New Roman" w:hAnsi="Times New Roman" w:cs="Times New Roman"/>
          <w:noProof/>
          <w:sz w:val="24"/>
          <w:szCs w:val="24"/>
        </w:rPr>
        <w:t xml:space="preserve"> significantly enriched pathways of LD across four distinct tendencies.</w:t>
      </w:r>
    </w:p>
    <w:p w14:paraId="5B1A220A" w14:textId="77777777" w:rsidR="00757F75" w:rsidRDefault="00757F75">
      <w:pPr>
        <w:widowControl/>
        <w:jc w:val="left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br w:type="page"/>
      </w:r>
    </w:p>
    <w:p w14:paraId="5E71D869" w14:textId="77777777" w:rsidR="00757F75" w:rsidRDefault="00757F75">
      <w:pPr>
        <w:widowControl/>
        <w:jc w:val="left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5B6C083A" wp14:editId="4027F2D4">
            <wp:extent cx="5272405" cy="3952875"/>
            <wp:effectExtent l="0" t="0" r="4445" b="952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2405" cy="395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96FD0C" w14:textId="5C12D42C" w:rsidR="00757F75" w:rsidRDefault="00757F75">
      <w:pPr>
        <w:widowControl/>
        <w:jc w:val="left"/>
        <w:rPr>
          <w:rFonts w:ascii="Times New Roman" w:hAnsi="Times New Roman" w:cs="Times New Roman"/>
          <w:noProof/>
          <w:sz w:val="24"/>
          <w:szCs w:val="24"/>
        </w:rPr>
      </w:pPr>
      <w:r w:rsidRPr="00757F75">
        <w:rPr>
          <w:rFonts w:ascii="Times New Roman" w:hAnsi="Times New Roman" w:cs="Times New Roman"/>
          <w:b/>
          <w:bCs/>
          <w:noProof/>
          <w:sz w:val="24"/>
          <w:szCs w:val="24"/>
        </w:rPr>
        <w:t>Figure S</w:t>
      </w:r>
      <w:r w:rsidR="00BE0CA4">
        <w:rPr>
          <w:rFonts w:ascii="Times New Roman" w:hAnsi="Times New Roman" w:cs="Times New Roman"/>
          <w:b/>
          <w:bCs/>
          <w:noProof/>
          <w:sz w:val="24"/>
          <w:szCs w:val="24"/>
        </w:rPr>
        <w:t>3</w:t>
      </w:r>
      <w:r w:rsidRPr="00757F75">
        <w:rPr>
          <w:rFonts w:ascii="Times New Roman" w:hAnsi="Times New Roman" w:cs="Times New Roman"/>
          <w:noProof/>
          <w:sz w:val="24"/>
          <w:szCs w:val="24"/>
        </w:rPr>
        <w:t xml:space="preserve"> Top 10 KEGG significantly enriched pathways of LD across four distinct tendencies.</w:t>
      </w:r>
    </w:p>
    <w:p w14:paraId="40E9E09D" w14:textId="77777777" w:rsidR="00757F75" w:rsidRDefault="00757F75">
      <w:pPr>
        <w:widowControl/>
        <w:jc w:val="left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br w:type="page"/>
      </w:r>
    </w:p>
    <w:p w14:paraId="64DA0A89" w14:textId="77777777" w:rsidR="00757F75" w:rsidRDefault="00757F75">
      <w:pPr>
        <w:widowControl/>
        <w:jc w:val="left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08544DB1" wp14:editId="1CA56C3A">
            <wp:extent cx="5272405" cy="4166870"/>
            <wp:effectExtent l="0" t="0" r="4445" b="508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2405" cy="4166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39663F" w14:textId="3163106C" w:rsidR="00757F75" w:rsidRDefault="00757F75">
      <w:pPr>
        <w:widowControl/>
        <w:jc w:val="left"/>
        <w:rPr>
          <w:rFonts w:ascii="Times New Roman" w:hAnsi="Times New Roman" w:cs="Times New Roman"/>
          <w:noProof/>
          <w:sz w:val="24"/>
          <w:szCs w:val="24"/>
        </w:rPr>
      </w:pPr>
      <w:r w:rsidRPr="00757F75">
        <w:rPr>
          <w:rFonts w:ascii="Times New Roman" w:hAnsi="Times New Roman" w:cs="Times New Roman"/>
          <w:b/>
          <w:bCs/>
          <w:noProof/>
          <w:sz w:val="24"/>
          <w:szCs w:val="24"/>
        </w:rPr>
        <w:t>Figure S</w:t>
      </w:r>
      <w:r w:rsidR="00BE0CA4">
        <w:rPr>
          <w:rFonts w:ascii="Times New Roman" w:hAnsi="Times New Roman" w:cs="Times New Roman"/>
          <w:b/>
          <w:bCs/>
          <w:noProof/>
          <w:sz w:val="24"/>
          <w:szCs w:val="24"/>
        </w:rPr>
        <w:t>4</w:t>
      </w:r>
      <w:r w:rsidRPr="00757F75">
        <w:rPr>
          <w:rFonts w:ascii="Times New Roman" w:hAnsi="Times New Roman" w:cs="Times New Roman"/>
          <w:noProof/>
          <w:sz w:val="24"/>
          <w:szCs w:val="24"/>
        </w:rPr>
        <w:t xml:space="preserve"> Top 10 </w:t>
      </w:r>
      <w:r>
        <w:rPr>
          <w:rFonts w:ascii="Times New Roman" w:hAnsi="Times New Roman" w:cs="Times New Roman"/>
          <w:noProof/>
          <w:sz w:val="24"/>
          <w:szCs w:val="24"/>
        </w:rPr>
        <w:t>GO</w:t>
      </w:r>
      <w:r w:rsidRPr="00757F75">
        <w:rPr>
          <w:rFonts w:ascii="Times New Roman" w:hAnsi="Times New Roman" w:cs="Times New Roman"/>
          <w:noProof/>
          <w:sz w:val="24"/>
          <w:szCs w:val="24"/>
        </w:rPr>
        <w:t xml:space="preserve"> significantly enriched pathways of </w:t>
      </w:r>
      <w:r>
        <w:rPr>
          <w:rFonts w:ascii="Times New Roman" w:hAnsi="Times New Roman" w:cs="Times New Roman"/>
          <w:noProof/>
          <w:sz w:val="24"/>
          <w:szCs w:val="24"/>
        </w:rPr>
        <w:t>S</w:t>
      </w:r>
      <w:r w:rsidRPr="00757F75">
        <w:rPr>
          <w:rFonts w:ascii="Times New Roman" w:hAnsi="Times New Roman" w:cs="Times New Roman"/>
          <w:noProof/>
          <w:sz w:val="24"/>
          <w:szCs w:val="24"/>
        </w:rPr>
        <w:t>D across four distinct tendencies.</w:t>
      </w:r>
    </w:p>
    <w:p w14:paraId="257D61B0" w14:textId="77777777" w:rsidR="00757F75" w:rsidRDefault="00757F75">
      <w:pPr>
        <w:widowControl/>
        <w:jc w:val="left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br w:type="page"/>
      </w:r>
    </w:p>
    <w:p w14:paraId="1A832985" w14:textId="77777777" w:rsidR="00757F75" w:rsidRDefault="00757F75">
      <w:pPr>
        <w:widowControl/>
        <w:jc w:val="left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5C5693FB" wp14:editId="6E797431">
            <wp:extent cx="5272405" cy="3999230"/>
            <wp:effectExtent l="0" t="0" r="4445" b="127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2405" cy="3999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C2F71D" w14:textId="19259225" w:rsidR="00757F75" w:rsidRDefault="00757F75">
      <w:pPr>
        <w:widowControl/>
        <w:jc w:val="left"/>
        <w:rPr>
          <w:rFonts w:ascii="Times New Roman" w:hAnsi="Times New Roman" w:cs="Times New Roman"/>
          <w:noProof/>
          <w:sz w:val="24"/>
          <w:szCs w:val="24"/>
        </w:rPr>
      </w:pPr>
      <w:r w:rsidRPr="00757F75">
        <w:rPr>
          <w:rFonts w:ascii="Times New Roman" w:hAnsi="Times New Roman" w:cs="Times New Roman"/>
          <w:b/>
          <w:bCs/>
          <w:noProof/>
          <w:sz w:val="24"/>
          <w:szCs w:val="24"/>
        </w:rPr>
        <w:t>Figure S</w:t>
      </w:r>
      <w:r w:rsidR="00BE0CA4">
        <w:rPr>
          <w:rFonts w:ascii="Times New Roman" w:hAnsi="Times New Roman" w:cs="Times New Roman"/>
          <w:b/>
          <w:bCs/>
          <w:noProof/>
          <w:sz w:val="24"/>
          <w:szCs w:val="24"/>
        </w:rPr>
        <w:t>5</w:t>
      </w:r>
      <w:r w:rsidRPr="00757F75">
        <w:rPr>
          <w:rFonts w:ascii="Times New Roman" w:hAnsi="Times New Roman" w:cs="Times New Roman"/>
          <w:noProof/>
          <w:sz w:val="24"/>
          <w:szCs w:val="24"/>
        </w:rPr>
        <w:t xml:space="preserve"> Top 10 KEGG significantly enriched pathways of </w:t>
      </w:r>
      <w:r>
        <w:rPr>
          <w:rFonts w:ascii="Times New Roman" w:hAnsi="Times New Roman" w:cs="Times New Roman"/>
          <w:noProof/>
          <w:sz w:val="24"/>
          <w:szCs w:val="24"/>
        </w:rPr>
        <w:t>S</w:t>
      </w:r>
      <w:r w:rsidRPr="00757F75">
        <w:rPr>
          <w:rFonts w:ascii="Times New Roman" w:hAnsi="Times New Roman" w:cs="Times New Roman"/>
          <w:noProof/>
          <w:sz w:val="24"/>
          <w:szCs w:val="24"/>
        </w:rPr>
        <w:t>D across four distinct tendencies.</w:t>
      </w:r>
      <w:r>
        <w:rPr>
          <w:rFonts w:ascii="Times New Roman" w:hAnsi="Times New Roman" w:cs="Times New Roman"/>
          <w:noProof/>
          <w:sz w:val="24"/>
          <w:szCs w:val="24"/>
        </w:rPr>
        <w:br w:type="page"/>
      </w:r>
    </w:p>
    <w:p w14:paraId="2207ADD6" w14:textId="13B0F97F" w:rsidR="00BA7882" w:rsidRPr="00F75FB7" w:rsidRDefault="00C67136">
      <w:pPr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2F132527" wp14:editId="0492ED94">
            <wp:extent cx="5272405" cy="3709670"/>
            <wp:effectExtent l="0" t="0" r="4445" b="508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2405" cy="3709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7C3185" w14:textId="7AF9AFD1" w:rsidR="008933CF" w:rsidRDefault="00BA7882" w:rsidP="00BA7882">
      <w:pPr>
        <w:rPr>
          <w:rFonts w:ascii="Times New Roman" w:hAnsi="Times New Roman" w:cs="Times New Roman"/>
          <w:sz w:val="24"/>
          <w:szCs w:val="24"/>
        </w:rPr>
      </w:pPr>
      <w:r w:rsidRPr="00F75FB7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 w:rsidR="00BE0CA4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F75FB7">
        <w:rPr>
          <w:rFonts w:ascii="Times New Roman" w:hAnsi="Times New Roman" w:cs="Times New Roman"/>
          <w:sz w:val="24"/>
          <w:szCs w:val="24"/>
        </w:rPr>
        <w:t xml:space="preserve"> A. Line plots illustrating protein abundance levels for selected genes from the proteomics data. B. Line plots depicting gene expression levels for selected genes from the transcriptome data. </w:t>
      </w:r>
      <w:r w:rsidR="008648DA" w:rsidRPr="00F75FB7">
        <w:rPr>
          <w:rFonts w:ascii="Times New Roman" w:hAnsi="Times New Roman" w:cs="Times New Roman"/>
          <w:sz w:val="24"/>
          <w:szCs w:val="24"/>
        </w:rPr>
        <w:t>C. Line plots showing gene expression levels for selected genes from the previously published Landrace longissimus dorsi transcriptome data.</w:t>
      </w:r>
    </w:p>
    <w:p w14:paraId="57DAD2B2" w14:textId="77777777" w:rsidR="008933CF" w:rsidRDefault="008933CF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38B8852" w14:textId="200534DB" w:rsidR="00BA7882" w:rsidRDefault="00DA1D4A" w:rsidP="00BA788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02C97F4B" wp14:editId="21B1A6F6">
            <wp:extent cx="5274310" cy="2830195"/>
            <wp:effectExtent l="0" t="0" r="2540" b="825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30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35C7CF" w14:textId="7EFEC8B3" w:rsidR="008933CF" w:rsidRPr="00F75FB7" w:rsidRDefault="008933CF" w:rsidP="008933CF">
      <w:pPr>
        <w:rPr>
          <w:rFonts w:ascii="Times New Roman" w:hAnsi="Times New Roman" w:cs="Times New Roman"/>
          <w:sz w:val="24"/>
          <w:szCs w:val="24"/>
        </w:rPr>
      </w:pPr>
      <w:r w:rsidRPr="00F75FB7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 w:rsidR="009E1032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F75FB7">
        <w:rPr>
          <w:rFonts w:ascii="Times New Roman" w:hAnsi="Times New Roman" w:cs="Times New Roman"/>
          <w:sz w:val="24"/>
          <w:szCs w:val="24"/>
        </w:rPr>
        <w:t xml:space="preserve"> A. </w:t>
      </w:r>
      <w:r>
        <w:rPr>
          <w:rFonts w:ascii="Times New Roman" w:hAnsi="Times New Roman" w:cs="Times New Roman"/>
          <w:sz w:val="24"/>
          <w:szCs w:val="24"/>
        </w:rPr>
        <w:t xml:space="preserve">RNA </w:t>
      </w:r>
      <w:r>
        <w:rPr>
          <w:rFonts w:ascii="Times New Roman" w:hAnsi="Times New Roman" w:cs="Times New Roman"/>
          <w:sz w:val="20"/>
          <w:szCs w:val="20"/>
        </w:rPr>
        <w:t>expression</w:t>
      </w:r>
      <w:r w:rsidRPr="00890C2D">
        <w:rPr>
          <w:rFonts w:ascii="Times New Roman" w:hAnsi="Times New Roman" w:cs="Times New Roman"/>
          <w:sz w:val="20"/>
          <w:szCs w:val="20"/>
        </w:rPr>
        <w:t xml:space="preserve"> patterns of NEK3 in LD and SD.</w:t>
      </w:r>
      <w:r w:rsidRPr="00F75FB7">
        <w:rPr>
          <w:rFonts w:ascii="Times New Roman" w:hAnsi="Times New Roman" w:cs="Times New Roman"/>
          <w:sz w:val="24"/>
          <w:szCs w:val="24"/>
        </w:rPr>
        <w:t xml:space="preserve"> </w:t>
      </w:r>
      <w:r w:rsidR="00DA1D4A">
        <w:rPr>
          <w:rFonts w:ascii="Times New Roman" w:hAnsi="Times New Roman" w:cs="Times New Roman"/>
          <w:sz w:val="24"/>
          <w:szCs w:val="24"/>
        </w:rPr>
        <w:t>B</w:t>
      </w:r>
      <w:r w:rsidR="00DA1D4A" w:rsidRPr="00DA1D4A">
        <w:rPr>
          <w:rFonts w:ascii="Times New Roman" w:hAnsi="Times New Roman" w:cs="Times New Roman"/>
          <w:sz w:val="24"/>
          <w:szCs w:val="24"/>
        </w:rPr>
        <w:t xml:space="preserve">. MyHC immunofluorescence staining after four days of myogenic induction. Upper panel: MyHC (green); DAPI (blue). Scale bar: 100 μm (n = 3). Lower panel: Fusion index of cells. </w:t>
      </w:r>
      <w:r w:rsidR="00DA1D4A">
        <w:rPr>
          <w:rFonts w:ascii="Times New Roman" w:hAnsi="Times New Roman" w:cs="Times New Roman"/>
          <w:sz w:val="24"/>
          <w:szCs w:val="24"/>
        </w:rPr>
        <w:t>C</w:t>
      </w:r>
      <w:r w:rsidR="00DA1D4A" w:rsidRPr="00DA1D4A">
        <w:rPr>
          <w:rFonts w:ascii="Times New Roman" w:hAnsi="Times New Roman" w:cs="Times New Roman"/>
          <w:sz w:val="24"/>
          <w:szCs w:val="24"/>
        </w:rPr>
        <w:t xml:space="preserve">. Quantification of NEK3 and MyHC mRNA levels in NC C2C12 cells and NEK3-overexpressing C2C12 cells (n = 3). </w:t>
      </w:r>
      <w:r w:rsidR="00DA1D4A">
        <w:rPr>
          <w:rFonts w:ascii="Times New Roman" w:hAnsi="Times New Roman" w:cs="Times New Roman"/>
          <w:sz w:val="24"/>
          <w:szCs w:val="24"/>
        </w:rPr>
        <w:t>D</w:t>
      </w:r>
      <w:r w:rsidR="00DA1D4A" w:rsidRPr="00DA1D4A">
        <w:rPr>
          <w:rFonts w:ascii="Times New Roman" w:hAnsi="Times New Roman" w:cs="Times New Roman"/>
          <w:sz w:val="24"/>
          <w:szCs w:val="24"/>
        </w:rPr>
        <w:t>. Western blot analysis of Myh4, Myh7, and PGC-1α expression in C2C12 cells and NEK3-overexpressing cells (n = 3). *P &lt; 0.05, **P &lt; 0.01, **P &lt; 0.001 (Student’s t-test).</w:t>
      </w:r>
      <w:r w:rsidR="00DA1D4A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E. </w:t>
      </w:r>
      <w:r w:rsidRPr="008933CF">
        <w:rPr>
          <w:rFonts w:ascii="Times New Roman" w:hAnsi="Times New Roman" w:cs="Times New Roman"/>
          <w:sz w:val="24"/>
          <w:szCs w:val="24"/>
        </w:rPr>
        <w:t>GSEA enrichment analysis of the Type 2 gene set at P28.</w:t>
      </w:r>
    </w:p>
    <w:sectPr w:rsidR="008933CF" w:rsidRPr="00F75FB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0D1C23" w14:textId="77777777" w:rsidR="00662CC2" w:rsidRDefault="00662CC2" w:rsidP="00B03EA6">
      <w:r>
        <w:separator/>
      </w:r>
    </w:p>
  </w:endnote>
  <w:endnote w:type="continuationSeparator" w:id="0">
    <w:p w14:paraId="5B4ABAA4" w14:textId="77777777" w:rsidR="00662CC2" w:rsidRDefault="00662CC2" w:rsidP="00B03E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41A7CD" w14:textId="77777777" w:rsidR="00662CC2" w:rsidRDefault="00662CC2" w:rsidP="00B03EA6">
      <w:r>
        <w:separator/>
      </w:r>
    </w:p>
  </w:footnote>
  <w:footnote w:type="continuationSeparator" w:id="0">
    <w:p w14:paraId="0AFF5A40" w14:textId="77777777" w:rsidR="00662CC2" w:rsidRDefault="00662CC2" w:rsidP="00B03E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6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NDOztDA3NDYxNDa0MDFW0lEKTi0uzszPAykwrgUAKAYE2iwAAAA="/>
  </w:docVars>
  <w:rsids>
    <w:rsidRoot w:val="00265626"/>
    <w:rsid w:val="00007B06"/>
    <w:rsid w:val="001C4B82"/>
    <w:rsid w:val="001E7ED3"/>
    <w:rsid w:val="00265626"/>
    <w:rsid w:val="00435291"/>
    <w:rsid w:val="004E39DC"/>
    <w:rsid w:val="00522F85"/>
    <w:rsid w:val="00533A6C"/>
    <w:rsid w:val="00654B1B"/>
    <w:rsid w:val="00662CC2"/>
    <w:rsid w:val="006D4BBC"/>
    <w:rsid w:val="00757F75"/>
    <w:rsid w:val="00781CBD"/>
    <w:rsid w:val="008648DA"/>
    <w:rsid w:val="008933CF"/>
    <w:rsid w:val="008B1ADC"/>
    <w:rsid w:val="008F5A78"/>
    <w:rsid w:val="00946B78"/>
    <w:rsid w:val="009A0136"/>
    <w:rsid w:val="009E1032"/>
    <w:rsid w:val="00B03EA6"/>
    <w:rsid w:val="00B818BE"/>
    <w:rsid w:val="00BA7882"/>
    <w:rsid w:val="00BE0CA4"/>
    <w:rsid w:val="00C67136"/>
    <w:rsid w:val="00D05A78"/>
    <w:rsid w:val="00DA1D4A"/>
    <w:rsid w:val="00E64321"/>
    <w:rsid w:val="00EF4238"/>
    <w:rsid w:val="00F75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FD1E31"/>
  <w15:chartTrackingRefBased/>
  <w15:docId w15:val="{6EA5E7AE-B326-4B1B-8A21-4D109C674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03E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03EA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03EA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03EA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7</Pages>
  <Words>232</Words>
  <Characters>1326</Characters>
  <Application>Microsoft Office Word</Application>
  <DocSecurity>0</DocSecurity>
  <Lines>11</Lines>
  <Paragraphs>3</Paragraphs>
  <ScaleCrop>false</ScaleCrop>
  <Company>中山大学</Company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芷汀 冯</dc:creator>
  <cp:keywords/>
  <dc:description/>
  <cp:lastModifiedBy>芷汀 冯</cp:lastModifiedBy>
  <cp:revision>18</cp:revision>
  <dcterms:created xsi:type="dcterms:W3CDTF">2025-02-02T08:43:00Z</dcterms:created>
  <dcterms:modified xsi:type="dcterms:W3CDTF">2025-07-14T06:52:00Z</dcterms:modified>
</cp:coreProperties>
</file>