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6C39C" w14:textId="77777777" w:rsidR="00E823F4" w:rsidRPr="00D42CD6" w:rsidRDefault="009F63D6" w:rsidP="003B0C8A">
      <w:pPr>
        <w:pStyle w:val="1"/>
        <w:spacing w:before="0" w:after="0" w:line="360" w:lineRule="auto"/>
        <w:rPr>
          <w:rFonts w:ascii="Times New Roman" w:hAnsi="Times New Roman" w:cs="Times New Roman"/>
          <w:color w:val="auto"/>
        </w:rPr>
      </w:pPr>
      <w:bookmarkStart w:id="0" w:name="supplementary-information"/>
      <w:r w:rsidRPr="00D42CD6">
        <w:rPr>
          <w:rFonts w:ascii="Times New Roman" w:hAnsi="Times New Roman" w:cs="Times New Roman"/>
          <w:color w:val="auto"/>
        </w:rPr>
        <w:t>Supplementary Information</w:t>
      </w:r>
    </w:p>
    <w:p w14:paraId="6F6C73EA" w14:textId="77777777" w:rsidR="00E823F4" w:rsidRPr="00D42CD6" w:rsidRDefault="009F63D6" w:rsidP="003B0C8A">
      <w:pPr>
        <w:pStyle w:val="a0"/>
        <w:spacing w:before="0" w:after="0" w:line="360" w:lineRule="auto"/>
        <w:rPr>
          <w:rFonts w:cs="Times New Roman"/>
        </w:rPr>
      </w:pPr>
      <w:r w:rsidRPr="00D42CD6">
        <w:rPr>
          <w:rFonts w:cs="Times New Roman"/>
        </w:rPr>
        <w:t xml:space="preserve">Tables S1–S4 provide additional examples of bacterial intrinsic and Rho-dependent termination, archaeal termination, and eukaryotic nuclear termination discussed in the main text; Table S5 summarizes computational </w:t>
      </w:r>
      <w:r w:rsidRPr="00D42CD6">
        <w:rPr>
          <w:rFonts w:cs="Times New Roman"/>
        </w:rPr>
        <w:t>resources, task labels, and validation contexts. Each table retains the signal or measurement, key finding, and scope or limitation needed to interpret the cited study.</w:t>
      </w:r>
    </w:p>
    <w:p w14:paraId="315BBD37" w14:textId="77777777" w:rsidR="00625AA0" w:rsidRPr="00D42CD6" w:rsidRDefault="00625AA0" w:rsidP="003B0C8A">
      <w:pPr>
        <w:pStyle w:val="a0"/>
        <w:spacing w:before="0" w:after="0" w:line="360" w:lineRule="auto"/>
        <w:rPr>
          <w:rFonts w:cs="Times New Roman"/>
        </w:rPr>
      </w:pPr>
    </w:p>
    <w:p w14:paraId="2EA7DE22" w14:textId="77777777" w:rsidR="00E823F4" w:rsidRPr="00D42CD6" w:rsidRDefault="009F63D6" w:rsidP="003B0C8A">
      <w:pPr>
        <w:pStyle w:val="2"/>
        <w:spacing w:before="0" w:after="0" w:line="360" w:lineRule="auto"/>
        <w:rPr>
          <w:rFonts w:ascii="Times New Roman" w:hAnsi="Times New Roman" w:cs="Times New Roman"/>
          <w:color w:val="auto"/>
        </w:rPr>
      </w:pPr>
      <w:bookmarkStart w:id="1" w:name="Xeafa5dcee9c0fd3a6f935bad700450971fdcb06"/>
      <w:r w:rsidRPr="00D42CD6">
        <w:rPr>
          <w:rFonts w:ascii="Times New Roman" w:hAnsi="Times New Roman" w:cs="Times New Roman"/>
          <w:color w:val="auto"/>
        </w:rPr>
        <w:t>Table S1. Bacterial intrinsic terminators</w:t>
      </w:r>
    </w:p>
    <w:p w14:paraId="79018DFF" w14:textId="77777777" w:rsidR="00E823F4" w:rsidRPr="00D42CD6" w:rsidRDefault="009F63D6" w:rsidP="003B0C8A">
      <w:pPr>
        <w:pStyle w:val="FirstParagraph"/>
        <w:spacing w:before="0" w:after="0" w:line="360" w:lineRule="auto"/>
        <w:rPr>
          <w:rFonts w:cs="Times New Roman"/>
        </w:rPr>
      </w:pPr>
      <w:r w:rsidRPr="00D42CD6">
        <w:rPr>
          <w:rFonts w:cs="Times New Roman"/>
        </w:rPr>
        <w:t>Examples of bacterial intrinsic terminators,</w:t>
      </w:r>
      <w:r w:rsidRPr="00D42CD6">
        <w:rPr>
          <w:rFonts w:cs="Times New Roman"/>
        </w:rPr>
        <w:t xml:space="preserve"> organized by reference and system, signal feature and evidence, key finding, and scope or limitation. The table compares terminator-strength measurements, transcript-end mapping, candidate annotation, cross-host portability, and synthetic-part performance</w:t>
      </w:r>
      <w:r w:rsidRPr="00D42CD6">
        <w:rPr>
          <w:rFonts w:cs="Times New Roman"/>
        </w:rPr>
        <w:t>.</w:t>
      </w:r>
    </w:p>
    <w:tbl>
      <w:tblPr>
        <w:tblStyle w:val="11"/>
        <w:tblW w:w="5000" w:type="pct"/>
        <w:tblInd w:w="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240"/>
        <w:gridCol w:w="3240"/>
        <w:gridCol w:w="3240"/>
        <w:gridCol w:w="3240"/>
      </w:tblGrid>
      <w:tr w:rsidR="00D42CD6" w:rsidRPr="00D42CD6" w14:paraId="7B944B2A" w14:textId="77777777">
        <w:trPr>
          <w:cantSplit/>
          <w:tblHeader/>
        </w:trPr>
        <w:tc>
          <w:tcPr>
            <w:tcW w:w="1980" w:type="dxa"/>
          </w:tcPr>
          <w:p w14:paraId="4BB1731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D42CD6">
              <w:rPr>
                <w:rFonts w:cs="Times New Roman"/>
                <w:b/>
                <w:bCs/>
                <w:sz w:val="15"/>
                <w:szCs w:val="15"/>
              </w:rPr>
              <w:t>Reference and system</w:t>
            </w:r>
          </w:p>
        </w:tc>
        <w:tc>
          <w:tcPr>
            <w:tcW w:w="1980" w:type="dxa"/>
          </w:tcPr>
          <w:p w14:paraId="7197F73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D42CD6">
              <w:rPr>
                <w:rFonts w:cs="Times New Roman"/>
                <w:b/>
                <w:bCs/>
                <w:sz w:val="15"/>
                <w:szCs w:val="15"/>
              </w:rPr>
              <w:t>Signal and evidence</w:t>
            </w:r>
          </w:p>
        </w:tc>
        <w:tc>
          <w:tcPr>
            <w:tcW w:w="1980" w:type="dxa"/>
          </w:tcPr>
          <w:p w14:paraId="6DF3E0FA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D42CD6">
              <w:rPr>
                <w:rFonts w:cs="Times New Roman"/>
                <w:b/>
                <w:bCs/>
                <w:sz w:val="15"/>
                <w:szCs w:val="15"/>
              </w:rPr>
              <w:t>Key finding</w:t>
            </w:r>
          </w:p>
        </w:tc>
        <w:tc>
          <w:tcPr>
            <w:tcW w:w="1980" w:type="dxa"/>
          </w:tcPr>
          <w:p w14:paraId="400ADB8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D42CD6">
              <w:rPr>
                <w:rFonts w:cs="Times New Roman"/>
                <w:b/>
                <w:bCs/>
                <w:sz w:val="15"/>
                <w:szCs w:val="15"/>
              </w:rPr>
              <w:t>Context and limitation</w:t>
            </w:r>
          </w:p>
        </w:tc>
      </w:tr>
      <w:tr w:rsidR="00D42CD6" w:rsidRPr="00D42CD6" w14:paraId="5E6AAC4D" w14:textId="77777777">
        <w:trPr>
          <w:cantSplit/>
        </w:trPr>
        <w:tc>
          <w:tcPr>
            <w:tcW w:w="1980" w:type="dxa"/>
          </w:tcPr>
          <w:p w14:paraId="03147FE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Chen et al. (2013) | bacterial intrinsic termination</w:t>
            </w:r>
          </w:p>
        </w:tc>
        <w:tc>
          <w:tcPr>
            <w:tcW w:w="1980" w:type="dxa"/>
          </w:tcPr>
          <w:p w14:paraId="447B54C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Hairpin/U-tract architecture and sequence diversity; 582-member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E. coli</w:t>
            </w:r>
            <w:r w:rsidRPr="00D42CD6">
              <w:rPr>
                <w:rFonts w:cs="Times New Roman"/>
                <w:sz w:val="15"/>
                <w:szCs w:val="15"/>
              </w:rPr>
              <w:t xml:space="preserve"> terminator library.</w:t>
            </w:r>
          </w:p>
        </w:tc>
        <w:tc>
          <w:tcPr>
            <w:tcW w:w="1980" w:type="dxa"/>
          </w:tcPr>
          <w:p w14:paraId="4A700EF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Identified strong terminators wi</w:t>
            </w:r>
            <w:r w:rsidRPr="00D42CD6">
              <w:rPr>
                <w:rFonts w:cs="Times New Roman"/>
                <w:sz w:val="15"/>
                <w:szCs w:val="15"/>
              </w:rPr>
              <w:t>th limited shared sequence for recombination-aware circuit design.</w:t>
            </w:r>
          </w:p>
        </w:tc>
        <w:tc>
          <w:tcPr>
            <w:tcW w:w="1980" w:type="dxa"/>
          </w:tcPr>
          <w:p w14:paraId="47FA0A5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i/>
                <w:iCs/>
                <w:sz w:val="15"/>
                <w:szCs w:val="15"/>
              </w:rPr>
              <w:t>E. coli</w:t>
            </w:r>
            <w:r w:rsidRPr="00D42CD6">
              <w:rPr>
                <w:rFonts w:cs="Times New Roman"/>
                <w:sz w:val="15"/>
                <w:szCs w:val="15"/>
              </w:rPr>
              <w:t xml:space="preserve"> synthetic context; cross-species transfer untested.</w:t>
            </w:r>
          </w:p>
        </w:tc>
      </w:tr>
      <w:tr w:rsidR="00D42CD6" w:rsidRPr="00D42CD6" w14:paraId="4CC0D0AE" w14:textId="77777777">
        <w:trPr>
          <w:cantSplit/>
        </w:trPr>
        <w:tc>
          <w:tcPr>
            <w:tcW w:w="1980" w:type="dxa"/>
          </w:tcPr>
          <w:p w14:paraId="3D60EED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Cambray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(2013) | bacterial intrinsic prediction/resource</w:t>
            </w:r>
          </w:p>
        </w:tc>
        <w:tc>
          <w:tcPr>
            <w:tcW w:w="1980" w:type="dxa"/>
          </w:tcPr>
          <w:p w14:paraId="4AB8C63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GC-rich hairpin/U-tract features; 61-terminator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E. coli</w:t>
            </w:r>
            <w:r w:rsidRPr="00D42CD6">
              <w:rPr>
                <w:rFonts w:cs="Times New Roman"/>
                <w:sz w:val="15"/>
                <w:szCs w:val="15"/>
              </w:rPr>
              <w:t xml:space="preserve"> dual-fluorescent assay.</w:t>
            </w:r>
          </w:p>
        </w:tc>
        <w:tc>
          <w:tcPr>
            <w:tcW w:w="1980" w:type="dxa"/>
          </w:tcPr>
          <w:p w14:paraId="2D99FB3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Four features predicted canonical efficiency (r = 0.90; cross-validated r = 0.85; n = 31).</w:t>
            </w:r>
          </w:p>
        </w:tc>
        <w:tc>
          <w:tcPr>
            <w:tcW w:w="1980" w:type="dxa"/>
          </w:tcPr>
          <w:p w14:paraId="0747136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Weak or extended terminators were poorly fit.</w:t>
            </w:r>
          </w:p>
        </w:tc>
      </w:tr>
      <w:tr w:rsidR="00D42CD6" w:rsidRPr="00D42CD6" w14:paraId="1CD2A8CC" w14:textId="77777777">
        <w:trPr>
          <w:cantSplit/>
        </w:trPr>
        <w:tc>
          <w:tcPr>
            <w:tcW w:w="1980" w:type="dxa"/>
          </w:tcPr>
          <w:p w14:paraId="1C1270C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Mondal et al. (2016) | bacterial intri</w:t>
            </w:r>
            <w:r w:rsidRPr="00D42CD6">
              <w:rPr>
                <w:rFonts w:cs="Times New Roman"/>
                <w:sz w:val="15"/>
                <w:szCs w:val="15"/>
              </w:rPr>
              <w:t>nsic termination</w:t>
            </w:r>
          </w:p>
        </w:tc>
        <w:tc>
          <w:tcPr>
            <w:tcW w:w="1980" w:type="dxa"/>
          </w:tcPr>
          <w:p w14:paraId="0A7CC29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Interrupted U-tracts and weak hairpins; RNA-seq plus in vitro/in vivo assays in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B. subtilis</w:t>
            </w:r>
            <w:r w:rsidRPr="00D42CD6">
              <w:rPr>
                <w:rFonts w:cs="Times New Roman"/>
                <w:sz w:val="15"/>
                <w:szCs w:val="15"/>
              </w:rPr>
              <w:t>.</w:t>
            </w:r>
          </w:p>
        </w:tc>
        <w:tc>
          <w:tcPr>
            <w:tcW w:w="1980" w:type="dxa"/>
          </w:tcPr>
          <w:p w14:paraId="6F427F0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NusA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promotes termination by supporting hairpin folding and pausing at weak terminators.</w:t>
            </w:r>
          </w:p>
        </w:tc>
        <w:tc>
          <w:tcPr>
            <w:tcW w:w="1980" w:type="dxa"/>
          </w:tcPr>
          <w:p w14:paraId="650F739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Effects are not uniform across terminators.</w:t>
            </w:r>
          </w:p>
        </w:tc>
      </w:tr>
      <w:tr w:rsidR="00D42CD6" w:rsidRPr="00D42CD6" w14:paraId="72E51E0E" w14:textId="77777777">
        <w:trPr>
          <w:cantSplit/>
        </w:trPr>
        <w:tc>
          <w:tcPr>
            <w:tcW w:w="1980" w:type="dxa"/>
          </w:tcPr>
          <w:p w14:paraId="58A2696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Dar et </w:t>
            </w:r>
            <w:r w:rsidRPr="00D42CD6">
              <w:rPr>
                <w:rFonts w:cs="Times New Roman"/>
                <w:sz w:val="15"/>
                <w:szCs w:val="15"/>
              </w:rPr>
              <w:t>al. (2016b) | bacterial intrinsic termination</w:t>
            </w:r>
          </w:p>
        </w:tc>
        <w:tc>
          <w:tcPr>
            <w:tcW w:w="1980" w:type="dxa"/>
          </w:tcPr>
          <w:p w14:paraId="69B1B52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Conditional RNA structures and premature RNA ends; Term-seq under regulatory conditions.</w:t>
            </w:r>
          </w:p>
        </w:tc>
        <w:tc>
          <w:tcPr>
            <w:tcW w:w="1980" w:type="dxa"/>
          </w:tcPr>
          <w:p w14:paraId="6180AB1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Ribosome stalling and metabolite-responsive leaders regulate antibiotic-resistance readthrough.</w:t>
            </w:r>
          </w:p>
        </w:tc>
        <w:tc>
          <w:tcPr>
            <w:tcW w:w="1980" w:type="dxa"/>
          </w:tcPr>
          <w:p w14:paraId="20302AC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Condition-dependent; broa</w:t>
            </w:r>
            <w:r w:rsidRPr="00D42CD6">
              <w:rPr>
                <w:rFonts w:cs="Times New Roman"/>
                <w:sz w:val="15"/>
                <w:szCs w:val="15"/>
              </w:rPr>
              <w:t>der attenuation mechanisms require validation.</w:t>
            </w:r>
          </w:p>
        </w:tc>
      </w:tr>
      <w:tr w:rsidR="00D42CD6" w:rsidRPr="00D42CD6" w14:paraId="3A36EB80" w14:textId="77777777">
        <w:trPr>
          <w:cantSplit/>
        </w:trPr>
        <w:tc>
          <w:tcPr>
            <w:tcW w:w="1980" w:type="dxa"/>
          </w:tcPr>
          <w:p w14:paraId="5ABEE72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Lalanne et al. (2018) | bacterial intrinsic termination</w:t>
            </w:r>
          </w:p>
        </w:tc>
        <w:tc>
          <w:tcPr>
            <w:tcW w:w="1980" w:type="dxa"/>
          </w:tcPr>
          <w:p w14:paraId="68B6F54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RNA-end and hairpin/U-tract features; Rend-seq with structural filters and deletion mutants.</w:t>
            </w:r>
          </w:p>
        </w:tc>
        <w:tc>
          <w:tcPr>
            <w:tcW w:w="1980" w:type="dxa"/>
          </w:tcPr>
          <w:p w14:paraId="4DEC4F0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Combined end mapping and structure filters identify high-co</w:t>
            </w:r>
            <w:r w:rsidRPr="00D42CD6">
              <w:rPr>
                <w:rFonts w:cs="Times New Roman"/>
                <w:sz w:val="15"/>
                <w:szCs w:val="15"/>
              </w:rPr>
              <w:t>nfidence intrinsic terminators.</w:t>
            </w:r>
          </w:p>
        </w:tc>
        <w:tc>
          <w:tcPr>
            <w:tcW w:w="1980" w:type="dxa"/>
          </w:tcPr>
          <w:p w14:paraId="7DA190A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Thresholds vary by organism; Rho-dependent termination can confound calls.</w:t>
            </w:r>
          </w:p>
        </w:tc>
      </w:tr>
      <w:tr w:rsidR="00D42CD6" w:rsidRPr="00D42CD6" w14:paraId="4C88A086" w14:textId="77777777">
        <w:trPr>
          <w:cantSplit/>
        </w:trPr>
        <w:tc>
          <w:tcPr>
            <w:tcW w:w="1980" w:type="dxa"/>
          </w:tcPr>
          <w:p w14:paraId="67F5540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Yan et al. (2018) | bacterial intrinsic termination</w:t>
            </w:r>
          </w:p>
        </w:tc>
        <w:tc>
          <w:tcPr>
            <w:tcW w:w="1980" w:type="dxa"/>
          </w:tcPr>
          <w:p w14:paraId="49A4A7A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Transcript boundaries and readthrough; SMRT-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Cappable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-seq full-length primary </w:t>
            </w:r>
            <w:r w:rsidRPr="00D42CD6">
              <w:rPr>
                <w:rFonts w:cs="Times New Roman"/>
                <w:sz w:val="15"/>
                <w:szCs w:val="15"/>
              </w:rPr>
              <w:t>transcripts.</w:t>
            </w:r>
          </w:p>
        </w:tc>
        <w:tc>
          <w:tcPr>
            <w:tcW w:w="1980" w:type="dxa"/>
          </w:tcPr>
          <w:p w14:paraId="4CC0336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Readthrough changes operon variants and extends transcript structures.</w:t>
            </w:r>
          </w:p>
        </w:tc>
        <w:tc>
          <w:tcPr>
            <w:tcW w:w="1980" w:type="dxa"/>
          </w:tcPr>
          <w:p w14:paraId="048063F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May miss processed RNAs; condition-specific validation is required.</w:t>
            </w:r>
          </w:p>
        </w:tc>
      </w:tr>
      <w:tr w:rsidR="00D42CD6" w:rsidRPr="00D42CD6" w14:paraId="53C65F80" w14:textId="77777777">
        <w:trPr>
          <w:cantSplit/>
        </w:trPr>
        <w:tc>
          <w:tcPr>
            <w:tcW w:w="1980" w:type="dxa"/>
          </w:tcPr>
          <w:p w14:paraId="308316B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Ju et al. (2019) | bacterial intrinsic termination</w:t>
            </w:r>
          </w:p>
        </w:tc>
        <w:tc>
          <w:tcPr>
            <w:tcW w:w="1980" w:type="dxa"/>
          </w:tcPr>
          <w:p w14:paraId="300A27E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Paired 5′/3′ transcript ends;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SEnd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>-seq full-length p</w:t>
            </w:r>
            <w:r w:rsidRPr="00D42CD6">
              <w:rPr>
                <w:rFonts w:cs="Times New Roman"/>
                <w:sz w:val="15"/>
                <w:szCs w:val="15"/>
              </w:rPr>
              <w:t>rofiling.</w:t>
            </w:r>
          </w:p>
        </w:tc>
        <w:tc>
          <w:tcPr>
            <w:tcW w:w="1980" w:type="dxa"/>
          </w:tcPr>
          <w:p w14:paraId="10A93A6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Revealed widespread bidirectional termination and convergent-boundary effects.</w:t>
            </w:r>
          </w:p>
        </w:tc>
        <w:tc>
          <w:tcPr>
            <w:tcW w:w="1980" w:type="dxa"/>
          </w:tcPr>
          <w:p w14:paraId="4731924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Length/circularization bias and cross-species generality remain uncertain.</w:t>
            </w:r>
          </w:p>
        </w:tc>
      </w:tr>
      <w:tr w:rsidR="00D42CD6" w:rsidRPr="00D42CD6" w14:paraId="13C87371" w14:textId="77777777">
        <w:trPr>
          <w:cantSplit/>
        </w:trPr>
        <w:tc>
          <w:tcPr>
            <w:tcW w:w="1980" w:type="dxa"/>
          </w:tcPr>
          <w:p w14:paraId="7C4A8EE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Bellecourt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(2019) | bacterial intrinsic termination</w:t>
            </w:r>
          </w:p>
        </w:tc>
        <w:tc>
          <w:tcPr>
            <w:tcW w:w="1980" w:type="dxa"/>
          </w:tcPr>
          <w:p w14:paraId="535A541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Hairpin/U-tract and RNAP clamp/t</w:t>
            </w:r>
            <w:r w:rsidRPr="00D42CD6">
              <w:rPr>
                <w:rFonts w:cs="Times New Roman"/>
                <w:sz w:val="15"/>
                <w:szCs w:val="15"/>
              </w:rPr>
              <w:t>rigger-loop perturbations; in vitro kinetics.</w:t>
            </w:r>
          </w:p>
        </w:tc>
        <w:tc>
          <w:tcPr>
            <w:tcW w:w="1980" w:type="dxa"/>
          </w:tcPr>
          <w:p w14:paraId="4B5809E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Clamp movement aids DNA dissociation but is not essential for RNA release.</w:t>
            </w:r>
          </w:p>
        </w:tc>
        <w:tc>
          <w:tcPr>
            <w:tcW w:w="1980" w:type="dxa"/>
          </w:tcPr>
          <w:p w14:paraId="0B81F60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In vitro mechanism may not capture cellular context.</w:t>
            </w:r>
          </w:p>
        </w:tc>
      </w:tr>
      <w:tr w:rsidR="00D42CD6" w:rsidRPr="00D42CD6" w14:paraId="37735CFA" w14:textId="77777777">
        <w:trPr>
          <w:cantSplit/>
        </w:trPr>
        <w:tc>
          <w:tcPr>
            <w:tcW w:w="1980" w:type="dxa"/>
          </w:tcPr>
          <w:p w14:paraId="0C01640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Hudson and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Wieden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(2019) | bacterial intrinsic termination</w:t>
            </w:r>
          </w:p>
        </w:tc>
        <w:tc>
          <w:tcPr>
            <w:tcW w:w="1980" w:type="dxa"/>
          </w:tcPr>
          <w:p w14:paraId="2C685B2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GC-rich hairpins, exte</w:t>
            </w:r>
            <w:r w:rsidRPr="00D42CD6">
              <w:rPr>
                <w:rFonts w:cs="Times New Roman"/>
                <w:sz w:val="15"/>
                <w:szCs w:val="15"/>
                <w:highlight w:val="yellow"/>
              </w:rPr>
              <w:t>nded poly(U) and upstream poly(A) tracts; high-throughput Term-seq of a sequence-diverse synthetic library.</w:t>
            </w:r>
          </w:p>
        </w:tc>
        <w:tc>
          <w:tcPr>
            <w:tcW w:w="1980" w:type="dxa"/>
          </w:tcPr>
          <w:p w14:paraId="3A7DE0DA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Stronger hairpin pairing and an extended perfect poly(U) tract were associated with higher termination efficiency.</w:t>
            </w:r>
          </w:p>
        </w:tc>
        <w:tc>
          <w:tcPr>
            <w:tcW w:w="1980" w:type="dxa"/>
          </w:tcPr>
          <w:p w14:paraId="0A27E47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Primarily a synthetic library/res</w:t>
            </w:r>
            <w:r w:rsidRPr="00D42CD6">
              <w:rPr>
                <w:rFonts w:cs="Times New Roman"/>
                <w:sz w:val="15"/>
                <w:szCs w:val="15"/>
              </w:rPr>
              <w:t>ource workflow; mechanistic conclusions should be framed as feature associations.</w:t>
            </w:r>
          </w:p>
        </w:tc>
      </w:tr>
      <w:tr w:rsidR="00D42CD6" w:rsidRPr="00D42CD6" w14:paraId="64D6B4E3" w14:textId="77777777">
        <w:trPr>
          <w:cantSplit/>
        </w:trPr>
        <w:tc>
          <w:tcPr>
            <w:tcW w:w="1980" w:type="dxa"/>
          </w:tcPr>
          <w:p w14:paraId="5FC2B6D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Johnson et al. (2020) | bacterial intrinsic termination</w:t>
            </w:r>
          </w:p>
        </w:tc>
        <w:tc>
          <w:tcPr>
            <w:tcW w:w="1980" w:type="dxa"/>
          </w:tcPr>
          <w:p w14:paraId="4BEC3B2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Stop-codon-to-hairpin distance; comparative genomic and phylogenetic analysis.</w:t>
            </w:r>
          </w:p>
        </w:tc>
        <w:tc>
          <w:tcPr>
            <w:tcW w:w="1980" w:type="dxa"/>
          </w:tcPr>
          <w:p w14:paraId="40A62F1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Short-distance signatures </w:t>
            </w:r>
            <w:r w:rsidRPr="00D42CD6">
              <w:rPr>
                <w:rFonts w:cs="Times New Roman"/>
                <w:sz w:val="15"/>
                <w:szCs w:val="15"/>
              </w:rPr>
              <w:t>suggest uncoupled transcription-translation in some lineages.</w:t>
            </w:r>
          </w:p>
        </w:tc>
        <w:tc>
          <w:tcPr>
            <w:tcW w:w="1980" w:type="dxa"/>
          </w:tcPr>
          <w:p w14:paraId="4269831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Computational, lineage-dependent inference rather than direct proof.</w:t>
            </w:r>
          </w:p>
        </w:tc>
      </w:tr>
      <w:tr w:rsidR="00D42CD6" w:rsidRPr="00D42CD6" w14:paraId="5E437E1D" w14:textId="77777777">
        <w:trPr>
          <w:cantSplit/>
        </w:trPr>
        <w:tc>
          <w:tcPr>
            <w:tcW w:w="1980" w:type="dxa"/>
          </w:tcPr>
          <w:p w14:paraId="1BE656C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lastRenderedPageBreak/>
              <w:t>Gale et al. (2021) | bacterial intrinsic termination</w:t>
            </w:r>
          </w:p>
        </w:tc>
        <w:tc>
          <w:tcPr>
            <w:tcW w:w="1980" w:type="dxa"/>
          </w:tcPr>
          <w:p w14:paraId="6E9B38B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Hairpin/U-tract architecture; cyanobacterial reporter and sequence-stru</w:t>
            </w:r>
            <w:r w:rsidRPr="00D42CD6">
              <w:rPr>
                <w:rFonts w:cs="Times New Roman"/>
                <w:sz w:val="15"/>
                <w:szCs w:val="15"/>
              </w:rPr>
              <w:t>cture tests.</w:t>
            </w:r>
          </w:p>
        </w:tc>
        <w:tc>
          <w:tcPr>
            <w:tcW w:w="1980" w:type="dxa"/>
          </w:tcPr>
          <w:p w14:paraId="53DB1E4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Efficiency varied among cyanobacterial terminators, supporting empirical selection.</w:t>
            </w:r>
          </w:p>
        </w:tc>
        <w:tc>
          <w:tcPr>
            <w:tcW w:w="1980" w:type="dxa"/>
          </w:tcPr>
          <w:p w14:paraId="1824FE7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Generality outside cyanobacteria is uncertain.</w:t>
            </w:r>
          </w:p>
        </w:tc>
      </w:tr>
      <w:tr w:rsidR="00D42CD6" w:rsidRPr="00D42CD6" w14:paraId="342A128D" w14:textId="77777777">
        <w:trPr>
          <w:cantSplit/>
        </w:trPr>
        <w:tc>
          <w:tcPr>
            <w:tcW w:w="1980" w:type="dxa"/>
          </w:tcPr>
          <w:p w14:paraId="5E49F8A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Mandell et al. (2021) | bacterial intrinsic termination</w:t>
            </w:r>
          </w:p>
        </w:tc>
        <w:tc>
          <w:tcPr>
            <w:tcW w:w="1980" w:type="dxa"/>
          </w:tcPr>
          <w:p w14:paraId="56D5CC0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Hairpin/U-tract quality and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NusA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>/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NusG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perturbations; Te</w:t>
            </w:r>
            <w:r w:rsidRPr="00D42CD6">
              <w:rPr>
                <w:rFonts w:cs="Times New Roman"/>
                <w:sz w:val="15"/>
                <w:szCs w:val="15"/>
              </w:rPr>
              <w:t xml:space="preserve">rm-seq in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B. subtilis</w:t>
            </w:r>
            <w:r w:rsidRPr="00D42CD6">
              <w:rPr>
                <w:rFonts w:cs="Times New Roman"/>
                <w:sz w:val="15"/>
                <w:szCs w:val="15"/>
              </w:rPr>
              <w:t>.</w:t>
            </w:r>
          </w:p>
        </w:tc>
        <w:tc>
          <w:tcPr>
            <w:tcW w:w="1980" w:type="dxa"/>
          </w:tcPr>
          <w:p w14:paraId="630117C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NusG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cooperates with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NusA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and promotes pausing at suboptimal terminators.</w:t>
            </w:r>
          </w:p>
        </w:tc>
        <w:tc>
          <w:tcPr>
            <w:tcW w:w="1980" w:type="dxa"/>
          </w:tcPr>
          <w:p w14:paraId="3BFB564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i/>
                <w:iCs/>
                <w:sz w:val="15"/>
                <w:szCs w:val="15"/>
              </w:rPr>
              <w:t>B. subtilis</w:t>
            </w:r>
            <w:r w:rsidRPr="00D42CD6">
              <w:rPr>
                <w:rFonts w:cs="Times New Roman"/>
                <w:sz w:val="15"/>
                <w:szCs w:val="15"/>
              </w:rPr>
              <w:t>-specific evidence.</w:t>
            </w:r>
          </w:p>
        </w:tc>
      </w:tr>
      <w:tr w:rsidR="00D42CD6" w:rsidRPr="00D42CD6" w14:paraId="0744CD75" w14:textId="77777777">
        <w:trPr>
          <w:cantSplit/>
        </w:trPr>
        <w:tc>
          <w:tcPr>
            <w:tcW w:w="1980" w:type="dxa"/>
          </w:tcPr>
          <w:p w14:paraId="4D16718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Adams et al. (2021) | engineered transcription context</w:t>
            </w:r>
          </w:p>
        </w:tc>
        <w:tc>
          <w:tcPr>
            <w:tcW w:w="1980" w:type="dxa"/>
          </w:tcPr>
          <w:p w14:paraId="710D4A3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5′ UTR and ORF-internal RNA ends; RNA-seq and 3′-end mapping in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E. coli</w:t>
            </w:r>
            <w:r w:rsidRPr="00D42CD6">
              <w:rPr>
                <w:rFonts w:cs="Times New Roman"/>
                <w:sz w:val="15"/>
                <w:szCs w:val="15"/>
              </w:rPr>
              <w:t>.</w:t>
            </w:r>
          </w:p>
        </w:tc>
        <w:tc>
          <w:tcPr>
            <w:tcW w:w="1980" w:type="dxa"/>
          </w:tcPr>
          <w:p w14:paraId="25E5E0FA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Premature termination or processing generates many short RNAs, some with regulatory potential.</w:t>
            </w:r>
          </w:p>
        </w:tc>
        <w:tc>
          <w:tcPr>
            <w:tcW w:w="1980" w:type="dxa"/>
          </w:tcPr>
          <w:p w14:paraId="7EF48FF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Functional roles require targeted tests.</w:t>
            </w:r>
          </w:p>
        </w:tc>
      </w:tr>
      <w:tr w:rsidR="00D42CD6" w:rsidRPr="00D42CD6" w14:paraId="35B75568" w14:textId="77777777">
        <w:trPr>
          <w:cantSplit/>
        </w:trPr>
        <w:tc>
          <w:tcPr>
            <w:tcW w:w="1980" w:type="dxa"/>
          </w:tcPr>
          <w:p w14:paraId="758AAE3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Zhai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(2022) | bacterial </w:t>
            </w:r>
            <w:r w:rsidRPr="00D42CD6">
              <w:rPr>
                <w:rFonts w:cs="Times New Roman"/>
                <w:sz w:val="15"/>
                <w:szCs w:val="15"/>
              </w:rPr>
              <w:t>intrinsic termination</w:t>
            </w:r>
          </w:p>
        </w:tc>
        <w:tc>
          <w:tcPr>
            <w:tcW w:w="1980" w:type="dxa"/>
          </w:tcPr>
          <w:p w14:paraId="644B1E7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Hairpin/U-tract and thermodynamic features; FlowSeq strength measurements.</w:t>
            </w:r>
          </w:p>
        </w:tc>
        <w:tc>
          <w:tcPr>
            <w:tcW w:w="1980" w:type="dxa"/>
          </w:tcPr>
          <w:p w14:paraId="30DDBACA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Sequence and thermodynamic descriptors distinguish terminator strength.</w:t>
            </w:r>
          </w:p>
        </w:tc>
        <w:tc>
          <w:tcPr>
            <w:tcW w:w="1980" w:type="dxa"/>
          </w:tcPr>
          <w:p w14:paraId="4553AA4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Synthetic assay context may not capture native diversity.</w:t>
            </w:r>
          </w:p>
        </w:tc>
      </w:tr>
      <w:tr w:rsidR="00D42CD6" w:rsidRPr="00D42CD6" w14:paraId="3910D873" w14:textId="77777777">
        <w:trPr>
          <w:cantSplit/>
        </w:trPr>
        <w:tc>
          <w:tcPr>
            <w:tcW w:w="1980" w:type="dxa"/>
          </w:tcPr>
          <w:p w14:paraId="55544FC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Petroni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(2023) | bact</w:t>
            </w:r>
            <w:r w:rsidRPr="00D42CD6">
              <w:rPr>
                <w:rFonts w:cs="Times New Roman"/>
                <w:sz w:val="15"/>
                <w:szCs w:val="15"/>
              </w:rPr>
              <w:t>erial intrinsic termination</w:t>
            </w:r>
          </w:p>
        </w:tc>
        <w:tc>
          <w:tcPr>
            <w:tcW w:w="1980" w:type="dxa"/>
          </w:tcPr>
          <w:p w14:paraId="1E8616D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Upstream/internal RNA ends; Term-seq/RNA-seq in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Borrelia burgdorferi</w:t>
            </w:r>
            <w:r w:rsidRPr="00D42CD6">
              <w:rPr>
                <w:rFonts w:cs="Times New Roman"/>
                <w:sz w:val="15"/>
                <w:szCs w:val="15"/>
              </w:rPr>
              <w:t>.</w:t>
            </w:r>
          </w:p>
        </w:tc>
        <w:tc>
          <w:tcPr>
            <w:tcW w:w="1980" w:type="dxa"/>
          </w:tcPr>
          <w:p w14:paraId="1927AFE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Premature termination or processing generates diverse truncated RNAs and responds to spermidine.</w:t>
            </w:r>
          </w:p>
        </w:tc>
        <w:tc>
          <w:tcPr>
            <w:tcW w:w="1980" w:type="dxa"/>
          </w:tcPr>
          <w:p w14:paraId="2294947A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Pathogen-specific atlas; broader effects require validation.</w:t>
            </w:r>
          </w:p>
        </w:tc>
      </w:tr>
      <w:tr w:rsidR="00D42CD6" w:rsidRPr="00D42CD6" w14:paraId="32CB5116" w14:textId="77777777">
        <w:trPr>
          <w:cantSplit/>
        </w:trPr>
        <w:tc>
          <w:tcPr>
            <w:tcW w:w="1980" w:type="dxa"/>
          </w:tcPr>
          <w:p w14:paraId="564C7C3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Gupta et al. (2023) | bacterial intrinsic prediction/resource</w:t>
            </w:r>
          </w:p>
        </w:tc>
        <w:tc>
          <w:tcPr>
            <w:tcW w:w="1980" w:type="dxa"/>
          </w:tcPr>
          <w:p w14:paraId="4F46D61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Predicted single and clustered hairpins; INTERPIN genome database.</w:t>
            </w:r>
          </w:p>
        </w:tc>
        <w:tc>
          <w:tcPr>
            <w:tcW w:w="1980" w:type="dxa"/>
          </w:tcPr>
          <w:p w14:paraId="6B8F6D4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Catalogues ~25 million hairpins across 12,745 bacterial genomes; 58% are cluster hairpins.</w:t>
            </w:r>
          </w:p>
        </w:tc>
        <w:tc>
          <w:tcPr>
            <w:tcW w:w="1980" w:type="dxa"/>
          </w:tcPr>
          <w:p w14:paraId="7860C0A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Computational, chromosome-focused p</w:t>
            </w:r>
            <w:r w:rsidRPr="00D42CD6">
              <w:rPr>
                <w:rFonts w:cs="Times New Roman"/>
                <w:sz w:val="15"/>
                <w:szCs w:val="15"/>
              </w:rPr>
              <w:t>redictions require experimental confirmation.</w:t>
            </w:r>
          </w:p>
        </w:tc>
      </w:tr>
      <w:tr w:rsidR="00D42CD6" w:rsidRPr="00D42CD6" w14:paraId="474ED3E6" w14:textId="77777777">
        <w:trPr>
          <w:cantSplit/>
        </w:trPr>
        <w:tc>
          <w:tcPr>
            <w:tcW w:w="1980" w:type="dxa"/>
          </w:tcPr>
          <w:p w14:paraId="3CF2760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You et al. (2023) | bacterial intrinsic termination</w:t>
            </w:r>
          </w:p>
        </w:tc>
        <w:tc>
          <w:tcPr>
            <w:tcW w:w="1980" w:type="dxa"/>
          </w:tcPr>
          <w:p w14:paraId="3CA7F8B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Pause motif, hairpin, and RNA-DNA hybrid changes; cryo-EM plus biochemical interpretation.</w:t>
            </w:r>
          </w:p>
        </w:tc>
        <w:tc>
          <w:tcPr>
            <w:tcW w:w="1980" w:type="dxa"/>
          </w:tcPr>
          <w:p w14:paraId="12FD411A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Hairpin completion can promote release through DNA rewinding and h</w:t>
            </w:r>
            <w:r w:rsidRPr="00D42CD6">
              <w:rPr>
                <w:rFonts w:cs="Times New Roman"/>
                <w:sz w:val="15"/>
                <w:szCs w:val="15"/>
              </w:rPr>
              <w:t>ybrid disruption.</w:t>
            </w:r>
          </w:p>
        </w:tc>
        <w:tc>
          <w:tcPr>
            <w:tcW w:w="1980" w:type="dxa"/>
          </w:tcPr>
          <w:p w14:paraId="18B733E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Structures support multiple routes, not a single in vivo trajectory.</w:t>
            </w:r>
          </w:p>
        </w:tc>
      </w:tr>
      <w:tr w:rsidR="00D42CD6" w:rsidRPr="00D42CD6" w14:paraId="09F2C820" w14:textId="77777777">
        <w:trPr>
          <w:cantSplit/>
        </w:trPr>
        <w:tc>
          <w:tcPr>
            <w:tcW w:w="1980" w:type="dxa"/>
          </w:tcPr>
          <w:p w14:paraId="3623F42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Bar et al. (2023) | bacterial intrinsic termination</w:t>
            </w:r>
          </w:p>
        </w:tc>
        <w:tc>
          <w:tcPr>
            <w:tcW w:w="1980" w:type="dxa"/>
          </w:tcPr>
          <w:p w14:paraId="1C5933B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RNAtag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>-seq read-start patterns; TRS computational terminus calling.</w:t>
            </w:r>
          </w:p>
        </w:tc>
        <w:tc>
          <w:tcPr>
            <w:tcW w:w="1980" w:type="dxa"/>
          </w:tcPr>
          <w:p w14:paraId="2522916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Infers transcript termini without </w:t>
            </w:r>
            <w:r w:rsidRPr="00D42CD6">
              <w:rPr>
                <w:rFonts w:cs="Times New Roman"/>
                <w:sz w:val="15"/>
                <w:szCs w:val="15"/>
              </w:rPr>
              <w:t>terminus-specific libraries.</w:t>
            </w:r>
          </w:p>
        </w:tc>
        <w:tc>
          <w:tcPr>
            <w:tcW w:w="1980" w:type="dxa"/>
          </w:tcPr>
          <w:p w14:paraId="3A31220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Calls depend on protocol-specific read patterns.</w:t>
            </w:r>
          </w:p>
        </w:tc>
      </w:tr>
      <w:tr w:rsidR="00D42CD6" w:rsidRPr="00D42CD6" w14:paraId="72510EE4" w14:textId="77777777">
        <w:trPr>
          <w:cantSplit/>
        </w:trPr>
        <w:tc>
          <w:tcPr>
            <w:tcW w:w="1980" w:type="dxa"/>
          </w:tcPr>
          <w:p w14:paraId="41F430D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Cui et al. (2021) | cross-host bacterial engineering</w:t>
            </w:r>
          </w:p>
        </w:tc>
        <w:tc>
          <w:tcPr>
            <w:tcW w:w="1980" w:type="dxa"/>
          </w:tcPr>
          <w:p w14:paraId="5002914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Minimal hairpin/U-tract designs; dual-fluorescent tests in four bacterial hosts.</w:t>
            </w:r>
          </w:p>
        </w:tc>
        <w:tc>
          <w:tcPr>
            <w:tcW w:w="1980" w:type="dxa"/>
          </w:tcPr>
          <w:p w14:paraId="0D8D381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Designed terminators performed efficiently </w:t>
            </w:r>
            <w:r w:rsidRPr="00D42CD6">
              <w:rPr>
                <w:rFonts w:cs="Times New Roman"/>
                <w:sz w:val="15"/>
                <w:szCs w:val="15"/>
              </w:rPr>
              <w:t>across the tested hosts.</w:t>
            </w:r>
          </w:p>
        </w:tc>
        <w:tc>
          <w:tcPr>
            <w:tcW w:w="1980" w:type="dxa"/>
          </w:tcPr>
          <w:p w14:paraId="7DAD097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Four strains do not establish general portability.</w:t>
            </w:r>
          </w:p>
        </w:tc>
      </w:tr>
      <w:tr w:rsidR="00D42CD6" w:rsidRPr="00D42CD6" w14:paraId="64B5D9BF" w14:textId="77777777">
        <w:trPr>
          <w:cantSplit/>
        </w:trPr>
        <w:tc>
          <w:tcPr>
            <w:tcW w:w="1980" w:type="dxa"/>
          </w:tcPr>
          <w:p w14:paraId="2AB539F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Amarelle et al. (2019) | cross-host bacterial engineering</w:t>
            </w:r>
          </w:p>
        </w:tc>
        <w:tc>
          <w:tcPr>
            <w:tcW w:w="1980" w:type="dxa"/>
          </w:tcPr>
          <w:p w14:paraId="057E6DD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Metagenomic candidates; terminator-trap and reporter tests across Proteobacteria.</w:t>
            </w:r>
          </w:p>
        </w:tc>
        <w:tc>
          <w:tcPr>
            <w:tcW w:w="1980" w:type="dxa"/>
          </w:tcPr>
          <w:p w14:paraId="5E47824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Several candidates were active in multi</w:t>
            </w:r>
            <w:r w:rsidRPr="00D42CD6">
              <w:rPr>
                <w:rFonts w:cs="Times New Roman"/>
                <w:sz w:val="15"/>
                <w:szCs w:val="15"/>
              </w:rPr>
              <w:t>ple Proteobacterial hosts.</w:t>
            </w:r>
          </w:p>
        </w:tc>
        <w:tc>
          <w:tcPr>
            <w:tcW w:w="1980" w:type="dxa"/>
          </w:tcPr>
          <w:p w14:paraId="785EB79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Mechanisms and broader host transfer remain unresolved.</w:t>
            </w:r>
          </w:p>
        </w:tc>
      </w:tr>
      <w:tr w:rsidR="00E823F4" w:rsidRPr="00D42CD6" w14:paraId="6E3BA6B1" w14:textId="77777777">
        <w:trPr>
          <w:cantSplit/>
        </w:trPr>
        <w:tc>
          <w:tcPr>
            <w:tcW w:w="1980" w:type="dxa"/>
          </w:tcPr>
          <w:p w14:paraId="2F6F4F9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Xu et al. (2022) | cross-host bacterial engineering</w:t>
            </w:r>
          </w:p>
        </w:tc>
        <w:tc>
          <w:tcPr>
            <w:tcW w:w="1980" w:type="dxa"/>
          </w:tcPr>
          <w:p w14:paraId="5C4C966A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Hairpin/poly-U designs; reporter and PHB-production tests in </w:t>
            </w:r>
            <w:proofErr w:type="spellStart"/>
            <w:r w:rsidRPr="00D42CD6">
              <w:rPr>
                <w:rFonts w:cs="Times New Roman"/>
                <w:i/>
                <w:iCs/>
                <w:sz w:val="15"/>
                <w:szCs w:val="15"/>
              </w:rPr>
              <w:t>Halomonas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>.</w:t>
            </w:r>
          </w:p>
        </w:tc>
        <w:tc>
          <w:tcPr>
            <w:tcW w:w="1980" w:type="dxa"/>
          </w:tcPr>
          <w:p w14:paraId="01333C7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Terminator strength was linked to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phaC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expression and PHB output.</w:t>
            </w:r>
          </w:p>
        </w:tc>
        <w:tc>
          <w:tcPr>
            <w:tcW w:w="1980" w:type="dxa"/>
          </w:tcPr>
          <w:p w14:paraId="25A2B66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Single-host pathway context limits transfer.</w:t>
            </w:r>
          </w:p>
        </w:tc>
      </w:tr>
    </w:tbl>
    <w:p w14:paraId="66399AA3" w14:textId="663D7298" w:rsidR="00D42CD6" w:rsidRDefault="00D42CD6" w:rsidP="00625AA0">
      <w:pPr>
        <w:pStyle w:val="a0"/>
        <w:spacing w:before="0" w:after="0" w:line="360" w:lineRule="auto"/>
        <w:rPr>
          <w:rFonts w:cs="Times New Roman"/>
        </w:rPr>
      </w:pPr>
      <w:bookmarkStart w:id="2" w:name="Xee20652520fcbcae508c45d67888484e275a926"/>
      <w:bookmarkEnd w:id="1"/>
    </w:p>
    <w:p w14:paraId="2B794449" w14:textId="73DBBE45" w:rsidR="00625AA0" w:rsidRPr="00D42CD6" w:rsidRDefault="00D42CD6" w:rsidP="00D42CD6">
      <w:pPr>
        <w:spacing w:after="200" w:line="240" w:lineRule="auto"/>
        <w:rPr>
          <w:rFonts w:cs="Times New Roman" w:hint="eastAsia"/>
        </w:rPr>
      </w:pPr>
      <w:r>
        <w:rPr>
          <w:rFonts w:cs="Times New Roman"/>
        </w:rPr>
        <w:br w:type="page"/>
      </w:r>
    </w:p>
    <w:p w14:paraId="0176B886" w14:textId="1B8F5EEE" w:rsidR="00E823F4" w:rsidRPr="00D42CD6" w:rsidRDefault="009F63D6" w:rsidP="003B0C8A">
      <w:pPr>
        <w:pStyle w:val="2"/>
        <w:spacing w:before="0" w:after="0" w:line="360" w:lineRule="auto"/>
        <w:rPr>
          <w:rFonts w:ascii="Times New Roman" w:hAnsi="Times New Roman" w:cs="Times New Roman"/>
          <w:color w:val="auto"/>
        </w:rPr>
      </w:pPr>
      <w:r w:rsidRPr="00D42CD6">
        <w:rPr>
          <w:rFonts w:ascii="Times New Roman" w:hAnsi="Times New Roman" w:cs="Times New Roman"/>
          <w:color w:val="auto"/>
        </w:rPr>
        <w:lastRenderedPageBreak/>
        <w:t>T</w:t>
      </w:r>
      <w:r w:rsidRPr="00D42CD6">
        <w:rPr>
          <w:rFonts w:ascii="Times New Roman" w:hAnsi="Times New Roman" w:cs="Times New Roman"/>
          <w:color w:val="auto"/>
        </w:rPr>
        <w:t>able S2. Bacterial Rho-dependent termination</w:t>
      </w:r>
    </w:p>
    <w:p w14:paraId="42918AE0" w14:textId="77777777" w:rsidR="00E823F4" w:rsidRPr="00D42CD6" w:rsidRDefault="009F63D6" w:rsidP="003B0C8A">
      <w:pPr>
        <w:pStyle w:val="FirstParagraph"/>
        <w:spacing w:before="0" w:after="0" w:line="360" w:lineRule="auto"/>
        <w:rPr>
          <w:rFonts w:cs="Times New Roman"/>
        </w:rPr>
      </w:pPr>
      <w:r w:rsidRPr="00D42CD6">
        <w:rPr>
          <w:rFonts w:cs="Times New Roman"/>
        </w:rPr>
        <w:t xml:space="preserve">Examples of Rho-dependent termination, organized by reference and system, signal feature and evidence, key finding, and scope or limitation. The table compares </w:t>
      </w:r>
      <w:r w:rsidRPr="00D42CD6">
        <w:rPr>
          <w:rFonts w:cs="Times New Roman"/>
          <w:i/>
          <w:iCs/>
        </w:rPr>
        <w:t>rut</w:t>
      </w:r>
      <w:r w:rsidRPr="00D42CD6">
        <w:rPr>
          <w:rFonts w:cs="Times New Roman"/>
        </w:rPr>
        <w:t>-like features, factor perturbations, readthrough measurements, RNA-end maps, and termination</w:t>
      </w:r>
      <w:r w:rsidRPr="00D42CD6">
        <w:rPr>
          <w:rFonts w:cs="Times New Roman"/>
        </w:rPr>
        <w:t>-zone analyses.</w:t>
      </w:r>
    </w:p>
    <w:tbl>
      <w:tblPr>
        <w:tblStyle w:val="11"/>
        <w:tblW w:w="5000" w:type="pct"/>
        <w:tblInd w:w="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240"/>
        <w:gridCol w:w="3240"/>
        <w:gridCol w:w="3240"/>
        <w:gridCol w:w="3240"/>
      </w:tblGrid>
      <w:tr w:rsidR="00D42CD6" w:rsidRPr="00D42CD6" w14:paraId="1A244FA2" w14:textId="77777777">
        <w:trPr>
          <w:cantSplit/>
          <w:tblHeader/>
        </w:trPr>
        <w:tc>
          <w:tcPr>
            <w:tcW w:w="1980" w:type="dxa"/>
          </w:tcPr>
          <w:p w14:paraId="648994E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D42CD6">
              <w:rPr>
                <w:rFonts w:cs="Times New Roman"/>
                <w:b/>
                <w:bCs/>
                <w:sz w:val="15"/>
                <w:szCs w:val="15"/>
              </w:rPr>
              <w:t>Reference and system</w:t>
            </w:r>
          </w:p>
        </w:tc>
        <w:tc>
          <w:tcPr>
            <w:tcW w:w="1980" w:type="dxa"/>
          </w:tcPr>
          <w:p w14:paraId="0D2366C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D42CD6">
              <w:rPr>
                <w:rFonts w:cs="Times New Roman"/>
                <w:b/>
                <w:bCs/>
                <w:sz w:val="15"/>
                <w:szCs w:val="15"/>
              </w:rPr>
              <w:t>Signal and evidence</w:t>
            </w:r>
          </w:p>
        </w:tc>
        <w:tc>
          <w:tcPr>
            <w:tcW w:w="1980" w:type="dxa"/>
          </w:tcPr>
          <w:p w14:paraId="222B6F0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D42CD6">
              <w:rPr>
                <w:rFonts w:cs="Times New Roman"/>
                <w:b/>
                <w:bCs/>
                <w:sz w:val="15"/>
                <w:szCs w:val="15"/>
              </w:rPr>
              <w:t>Key finding</w:t>
            </w:r>
          </w:p>
        </w:tc>
        <w:tc>
          <w:tcPr>
            <w:tcW w:w="1980" w:type="dxa"/>
          </w:tcPr>
          <w:p w14:paraId="774E83D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D42CD6">
              <w:rPr>
                <w:rFonts w:cs="Times New Roman"/>
                <w:b/>
                <w:bCs/>
                <w:sz w:val="15"/>
                <w:szCs w:val="15"/>
              </w:rPr>
              <w:t>Context and limitation</w:t>
            </w:r>
          </w:p>
        </w:tc>
      </w:tr>
      <w:tr w:rsidR="00D42CD6" w:rsidRPr="00D42CD6" w14:paraId="2E5363F0" w14:textId="77777777">
        <w:trPr>
          <w:cantSplit/>
        </w:trPr>
        <w:tc>
          <w:tcPr>
            <w:tcW w:w="1980" w:type="dxa"/>
          </w:tcPr>
          <w:p w14:paraId="7E0FB7D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Peters et al. (2009) | bacterial Rho-dependent termination</w:t>
            </w:r>
          </w:p>
        </w:tc>
        <w:tc>
          <w:tcPr>
            <w:tcW w:w="1980" w:type="dxa"/>
          </w:tcPr>
          <w:p w14:paraId="3C0BAF1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Rho perturbation and transcript/RNAP mapping in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E. coli</w:t>
            </w:r>
            <w:r w:rsidRPr="00D42CD6">
              <w:rPr>
                <w:rFonts w:cs="Times New Roman"/>
                <w:sz w:val="15"/>
                <w:szCs w:val="15"/>
              </w:rPr>
              <w:t>.</w:t>
            </w:r>
          </w:p>
        </w:tc>
        <w:tc>
          <w:tcPr>
            <w:tcW w:w="1980" w:type="dxa"/>
          </w:tcPr>
          <w:p w14:paraId="2748908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Rho broadly suppresses intragenic and </w:t>
            </w:r>
            <w:r w:rsidRPr="00D42CD6">
              <w:rPr>
                <w:rFonts w:cs="Times New Roman"/>
                <w:sz w:val="15"/>
                <w:szCs w:val="15"/>
              </w:rPr>
              <w:t>stable-RNA transcription.</w:t>
            </w:r>
          </w:p>
        </w:tc>
        <w:tc>
          <w:tcPr>
            <w:tcW w:w="1980" w:type="dxa"/>
          </w:tcPr>
          <w:p w14:paraId="25DD1AA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Genome-wide regions are termination zones, not precise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rut</w:t>
            </w:r>
            <w:r w:rsidRPr="00D42CD6">
              <w:rPr>
                <w:rFonts w:cs="Times New Roman"/>
                <w:sz w:val="15"/>
                <w:szCs w:val="15"/>
              </w:rPr>
              <w:t xml:space="preserve"> sites.</w:t>
            </w:r>
          </w:p>
        </w:tc>
      </w:tr>
      <w:tr w:rsidR="00D42CD6" w:rsidRPr="00D42CD6" w14:paraId="4C7FA940" w14:textId="77777777">
        <w:trPr>
          <w:cantSplit/>
        </w:trPr>
        <w:tc>
          <w:tcPr>
            <w:tcW w:w="1980" w:type="dxa"/>
          </w:tcPr>
          <w:p w14:paraId="502DB2A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Peters et al. (2012) | bacterial Rho-dependent termination</w:t>
            </w:r>
          </w:p>
        </w:tc>
        <w:tc>
          <w:tcPr>
            <w:tcW w:w="1980" w:type="dxa"/>
          </w:tcPr>
          <w:p w14:paraId="042C4B1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Rho/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NusG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perturbation and antisense-transcript mapping in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E. coli</w:t>
            </w:r>
            <w:r w:rsidRPr="00D42CD6">
              <w:rPr>
                <w:rFonts w:cs="Times New Roman"/>
                <w:sz w:val="15"/>
                <w:szCs w:val="15"/>
              </w:rPr>
              <w:t>.</w:t>
            </w:r>
          </w:p>
        </w:tc>
        <w:tc>
          <w:tcPr>
            <w:tcW w:w="1980" w:type="dxa"/>
          </w:tcPr>
          <w:p w14:paraId="3248E28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Rho and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NusG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suppress pervasive antis</w:t>
            </w:r>
            <w:r w:rsidRPr="00D42CD6">
              <w:rPr>
                <w:rFonts w:cs="Times New Roman"/>
                <w:sz w:val="15"/>
                <w:szCs w:val="15"/>
              </w:rPr>
              <w:t>ense transcription.</w:t>
            </w:r>
          </w:p>
        </w:tc>
        <w:tc>
          <w:tcPr>
            <w:tcW w:w="1980" w:type="dxa"/>
          </w:tcPr>
          <w:p w14:paraId="312751F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Readthrough phenotypes do not fix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rut</w:t>
            </w:r>
            <w:r w:rsidRPr="00D42CD6">
              <w:rPr>
                <w:rFonts w:cs="Times New Roman"/>
                <w:sz w:val="15"/>
                <w:szCs w:val="15"/>
              </w:rPr>
              <w:t xml:space="preserve"> or release positions.</w:t>
            </w:r>
          </w:p>
        </w:tc>
      </w:tr>
      <w:tr w:rsidR="00D42CD6" w:rsidRPr="00D42CD6" w14:paraId="4417849A" w14:textId="77777777">
        <w:trPr>
          <w:cantSplit/>
        </w:trPr>
        <w:tc>
          <w:tcPr>
            <w:tcW w:w="1980" w:type="dxa"/>
          </w:tcPr>
          <w:p w14:paraId="588CCB2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Elgamal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(2016) | bacterial Rho-dependent termination</w:t>
            </w:r>
          </w:p>
        </w:tc>
        <w:tc>
          <w:tcPr>
            <w:tcW w:w="1980" w:type="dxa"/>
          </w:tcPr>
          <w:p w14:paraId="2C5A54E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EF-P-dependent translation coupling; profiling and reporter tests.</w:t>
            </w:r>
          </w:p>
        </w:tc>
        <w:tc>
          <w:tcPr>
            <w:tcW w:w="1980" w:type="dxa"/>
          </w:tcPr>
          <w:p w14:paraId="20783BE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Relief of ribosome stalling reduces </w:t>
            </w:r>
            <w:r w:rsidRPr="00D42CD6">
              <w:rPr>
                <w:rFonts w:cs="Times New Roman"/>
                <w:sz w:val="15"/>
                <w:szCs w:val="15"/>
              </w:rPr>
              <w:t>premature Rho termination.</w:t>
            </w:r>
          </w:p>
        </w:tc>
        <w:tc>
          <w:tcPr>
            <w:tcW w:w="1980" w:type="dxa"/>
          </w:tcPr>
          <w:p w14:paraId="3F9EA47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Covers EF-P/polyproline coupling, not all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rut</w:t>
            </w:r>
            <w:r w:rsidRPr="00D42CD6">
              <w:rPr>
                <w:rFonts w:cs="Times New Roman"/>
                <w:sz w:val="15"/>
                <w:szCs w:val="15"/>
              </w:rPr>
              <w:t xml:space="preserve"> logic.</w:t>
            </w:r>
          </w:p>
        </w:tc>
      </w:tr>
      <w:tr w:rsidR="00D42CD6" w:rsidRPr="00D42CD6" w14:paraId="79E2E891" w14:textId="77777777">
        <w:trPr>
          <w:cantSplit/>
        </w:trPr>
        <w:tc>
          <w:tcPr>
            <w:tcW w:w="1980" w:type="dxa"/>
          </w:tcPr>
          <w:p w14:paraId="5546E3F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Ray-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Soni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(2016) | bacterial Rho-dependent termination</w:t>
            </w:r>
          </w:p>
        </w:tc>
        <w:tc>
          <w:tcPr>
            <w:tcW w:w="1980" w:type="dxa"/>
          </w:tcPr>
          <w:p w14:paraId="1BA409F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Review synthesis of intrinsic and Rho-dependent termination.</w:t>
            </w:r>
          </w:p>
        </w:tc>
        <w:tc>
          <w:tcPr>
            <w:tcW w:w="1980" w:type="dxa"/>
          </w:tcPr>
          <w:p w14:paraId="7F1E378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Factors modulate pausing and termination efficiency a</w:t>
            </w:r>
            <w:r w:rsidRPr="00D42CD6">
              <w:rPr>
                <w:rFonts w:cs="Times New Roman"/>
                <w:sz w:val="15"/>
                <w:szCs w:val="15"/>
              </w:rPr>
              <w:t>cross bacterial systems.</w:t>
            </w:r>
          </w:p>
        </w:tc>
        <w:tc>
          <w:tcPr>
            <w:tcW w:w="1980" w:type="dxa"/>
          </w:tcPr>
          <w:p w14:paraId="4544C26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Background synthesis rather than primary evidence.</w:t>
            </w:r>
          </w:p>
        </w:tc>
      </w:tr>
      <w:tr w:rsidR="00D42CD6" w:rsidRPr="00D42CD6" w14:paraId="0B795884" w14:textId="77777777">
        <w:trPr>
          <w:cantSplit/>
        </w:trPr>
        <w:tc>
          <w:tcPr>
            <w:tcW w:w="1980" w:type="dxa"/>
          </w:tcPr>
          <w:p w14:paraId="11010C3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Qayyum et al. (2016) | bacterial Rho-dependent termination</w:t>
            </w:r>
          </w:p>
        </w:tc>
        <w:tc>
          <w:tcPr>
            <w:tcW w:w="1980" w:type="dxa"/>
          </w:tcPr>
          <w:p w14:paraId="703F933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Overlapping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NusA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/Rho RNA-binding regions; mutants and competition assays in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E. coli</w:t>
            </w:r>
            <w:r w:rsidRPr="00D42CD6">
              <w:rPr>
                <w:rFonts w:cs="Times New Roman"/>
                <w:sz w:val="15"/>
                <w:szCs w:val="15"/>
              </w:rPr>
              <w:t>.</w:t>
            </w:r>
          </w:p>
        </w:tc>
        <w:tc>
          <w:tcPr>
            <w:tcW w:w="1980" w:type="dxa"/>
          </w:tcPr>
          <w:p w14:paraId="5200A0D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NusA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can antagonize Rho by competing for RNA access.</w:t>
            </w:r>
          </w:p>
        </w:tc>
        <w:tc>
          <w:tcPr>
            <w:tcW w:w="1980" w:type="dxa"/>
          </w:tcPr>
          <w:p w14:paraId="7D283B5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i/>
                <w:iCs/>
                <w:sz w:val="15"/>
                <w:szCs w:val="15"/>
              </w:rPr>
              <w:t>E. coli</w:t>
            </w:r>
            <w:r w:rsidRPr="00D42CD6">
              <w:rPr>
                <w:rFonts w:cs="Times New Roman"/>
                <w:sz w:val="15"/>
                <w:szCs w:val="15"/>
              </w:rPr>
              <w:t xml:space="preserve"> evidence; detailed kinetics need targeted tests.</w:t>
            </w:r>
          </w:p>
        </w:tc>
      </w:tr>
      <w:tr w:rsidR="00D42CD6" w:rsidRPr="00D42CD6" w14:paraId="79102BF6" w14:textId="77777777">
        <w:trPr>
          <w:cantSplit/>
        </w:trPr>
        <w:tc>
          <w:tcPr>
            <w:tcW w:w="1980" w:type="dxa"/>
          </w:tcPr>
          <w:p w14:paraId="4945869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Kriner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and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Groisman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(2017) | bacterial Rho-dependent termination</w:t>
            </w:r>
          </w:p>
        </w:tc>
        <w:tc>
          <w:tcPr>
            <w:tcW w:w="1980" w:type="dxa"/>
          </w:tcPr>
          <w:p w14:paraId="0B49F38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i/>
                <w:iCs/>
                <w:sz w:val="15"/>
                <w:szCs w:val="15"/>
              </w:rPr>
              <w:t>rut</w:t>
            </w:r>
            <w:r w:rsidRPr="00D42CD6">
              <w:rPr>
                <w:rFonts w:cs="Times New Roman"/>
                <w:sz w:val="15"/>
                <w:szCs w:val="15"/>
              </w:rPr>
              <w:t xml:space="preserve"> accessi</w:t>
            </w:r>
            <w:r w:rsidRPr="00D42CD6">
              <w:rPr>
                <w:rFonts w:cs="Times New Roman"/>
                <w:sz w:val="15"/>
                <w:szCs w:val="15"/>
              </w:rPr>
              <w:t>bility and leader RNA structure; mutagenesis and termination assays.</w:t>
            </w:r>
          </w:p>
        </w:tc>
        <w:tc>
          <w:tcPr>
            <w:tcW w:w="1980" w:type="dxa"/>
          </w:tcPr>
          <w:p w14:paraId="2F10484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Structure regulates Rho loading and downstream termination-region function.</w:t>
            </w:r>
          </w:p>
        </w:tc>
        <w:tc>
          <w:tcPr>
            <w:tcW w:w="1980" w:type="dxa"/>
          </w:tcPr>
          <w:p w14:paraId="1EB0A0A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Specific leader context limits generalization.</w:t>
            </w:r>
          </w:p>
        </w:tc>
      </w:tr>
      <w:tr w:rsidR="00D42CD6" w:rsidRPr="00D42CD6" w14:paraId="01E0C4DB" w14:textId="77777777">
        <w:trPr>
          <w:cantSplit/>
        </w:trPr>
        <w:tc>
          <w:tcPr>
            <w:tcW w:w="1980" w:type="dxa"/>
          </w:tcPr>
          <w:p w14:paraId="7C7381E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Botella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(2017) | bacterial Rho-dependent termination</w:t>
            </w:r>
          </w:p>
        </w:tc>
        <w:tc>
          <w:tcPr>
            <w:tcW w:w="1980" w:type="dxa"/>
          </w:tcPr>
          <w:p w14:paraId="764AD58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Rho</w:t>
            </w:r>
            <w:r w:rsidRPr="00D42CD6">
              <w:rPr>
                <w:rFonts w:cs="Times New Roman"/>
                <w:sz w:val="15"/>
                <w:szCs w:val="15"/>
              </w:rPr>
              <w:t xml:space="preserve"> depletion and transcriptome analysis in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Mycobacterium tuberculosis</w:t>
            </w:r>
            <w:r w:rsidRPr="00D42CD6">
              <w:rPr>
                <w:rFonts w:cs="Times New Roman"/>
                <w:sz w:val="15"/>
                <w:szCs w:val="15"/>
              </w:rPr>
              <w:t>.</w:t>
            </w:r>
          </w:p>
        </w:tc>
        <w:tc>
          <w:tcPr>
            <w:tcW w:w="1980" w:type="dxa"/>
          </w:tcPr>
          <w:p w14:paraId="2FEE83D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Rho suppresses pervasive transcription and is required for growth.</w:t>
            </w:r>
          </w:p>
        </w:tc>
        <w:tc>
          <w:tcPr>
            <w:tcW w:w="1980" w:type="dxa"/>
          </w:tcPr>
          <w:p w14:paraId="6C43D8C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Does not map individual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rut</w:t>
            </w:r>
            <w:r w:rsidRPr="00D42CD6">
              <w:rPr>
                <w:rFonts w:cs="Times New Roman"/>
                <w:sz w:val="15"/>
                <w:szCs w:val="15"/>
              </w:rPr>
              <w:t xml:space="preserve"> sites; effects are species specific.</w:t>
            </w:r>
          </w:p>
        </w:tc>
      </w:tr>
      <w:tr w:rsidR="00D42CD6" w:rsidRPr="00D42CD6" w14:paraId="44C9F74E" w14:textId="77777777">
        <w:trPr>
          <w:cantSplit/>
        </w:trPr>
        <w:tc>
          <w:tcPr>
            <w:tcW w:w="1980" w:type="dxa"/>
          </w:tcPr>
          <w:p w14:paraId="26ECC89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Bastet et al. (2017) | bacterial Rho-dependent termina</w:t>
            </w:r>
            <w:r w:rsidRPr="00D42CD6">
              <w:rPr>
                <w:rFonts w:cs="Times New Roman"/>
                <w:sz w:val="15"/>
                <w:szCs w:val="15"/>
              </w:rPr>
              <w:t>tion</w:t>
            </w:r>
          </w:p>
        </w:tc>
        <w:tc>
          <w:tcPr>
            <w:tcW w:w="1980" w:type="dxa"/>
          </w:tcPr>
          <w:p w14:paraId="64D9450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thiM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C-rich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rut</w:t>
            </w:r>
            <w:r w:rsidRPr="00D42CD6">
              <w:rPr>
                <w:rFonts w:cs="Times New Roman"/>
                <w:sz w:val="15"/>
                <w:szCs w:val="15"/>
              </w:rPr>
              <w:t xml:space="preserve"> and downstream stem-loop; in vitro and reporter assays.</w:t>
            </w:r>
          </w:p>
        </w:tc>
        <w:tc>
          <w:tcPr>
            <w:tcW w:w="1980" w:type="dxa"/>
          </w:tcPr>
          <w:p w14:paraId="7E3A9A3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Translation control and Rho termination are coupled in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thiM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regulation.</w:t>
            </w:r>
          </w:p>
        </w:tc>
        <w:tc>
          <w:tcPr>
            <w:tcW w:w="1980" w:type="dxa"/>
          </w:tcPr>
          <w:p w14:paraId="293A834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Single riboswitch context.</w:t>
            </w:r>
          </w:p>
        </w:tc>
      </w:tr>
      <w:tr w:rsidR="00D42CD6" w:rsidRPr="00D42CD6" w14:paraId="677DCB41" w14:textId="77777777">
        <w:trPr>
          <w:cantSplit/>
        </w:trPr>
        <w:tc>
          <w:tcPr>
            <w:tcW w:w="1980" w:type="dxa"/>
          </w:tcPr>
          <w:p w14:paraId="1321490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Dar and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Sorek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(2018) | bacterial Rho-dependent termination</w:t>
            </w:r>
          </w:p>
        </w:tc>
        <w:tc>
          <w:tcPr>
            <w:tcW w:w="1980" w:type="dxa"/>
          </w:tcPr>
          <w:p w14:paraId="7EFA3A6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Term-seq/RNA-seq with Rho inhibition and exonuclease-deficient contexts.</w:t>
            </w:r>
          </w:p>
        </w:tc>
        <w:tc>
          <w:tcPr>
            <w:tcW w:w="1980" w:type="dxa"/>
          </w:tcPr>
          <w:p w14:paraId="60A02EA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Protective stem-loops separate steady-state RNA ends from release sites.</w:t>
            </w:r>
          </w:p>
        </w:tc>
        <w:tc>
          <w:tcPr>
            <w:tcW w:w="1980" w:type="dxa"/>
          </w:tcPr>
          <w:p w14:paraId="7C29B7D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Mapped ends may reflect processing after termination.</w:t>
            </w:r>
          </w:p>
        </w:tc>
      </w:tr>
      <w:tr w:rsidR="00D42CD6" w:rsidRPr="00D42CD6" w14:paraId="4AE88FE5" w14:textId="77777777">
        <w:trPr>
          <w:cantSplit/>
        </w:trPr>
        <w:tc>
          <w:tcPr>
            <w:tcW w:w="1980" w:type="dxa"/>
          </w:tcPr>
          <w:p w14:paraId="5FEB5FE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Roberts (2019) | bacterial Rho-dependent termination</w:t>
            </w:r>
          </w:p>
        </w:tc>
        <w:tc>
          <w:tcPr>
            <w:tcW w:w="1980" w:type="dxa"/>
          </w:tcPr>
          <w:p w14:paraId="63CAA18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</w:t>
            </w:r>
            <w:r w:rsidRPr="00D42CD6">
              <w:rPr>
                <w:rFonts w:cs="Times New Roman"/>
                <w:sz w:val="15"/>
                <w:szCs w:val="15"/>
              </w:rPr>
              <w:t>view synthesis of bacterial termination mechanisms.</w:t>
            </w:r>
          </w:p>
        </w:tc>
        <w:tc>
          <w:tcPr>
            <w:tcW w:w="1980" w:type="dxa"/>
          </w:tcPr>
          <w:p w14:paraId="6FA3302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Summarizes intrinsic signal elements and RNAP conformational mechanisms.</w:t>
            </w:r>
          </w:p>
        </w:tc>
        <w:tc>
          <w:tcPr>
            <w:tcW w:w="1980" w:type="dxa"/>
          </w:tcPr>
          <w:p w14:paraId="627C056A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Background synthesis, not primary quantitative evidence.</w:t>
            </w:r>
          </w:p>
        </w:tc>
      </w:tr>
      <w:tr w:rsidR="00D42CD6" w:rsidRPr="00D42CD6" w14:paraId="47870F38" w14:textId="77777777">
        <w:trPr>
          <w:cantSplit/>
        </w:trPr>
        <w:tc>
          <w:tcPr>
            <w:tcW w:w="1980" w:type="dxa"/>
          </w:tcPr>
          <w:p w14:paraId="56E51C9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Di Salvo et al. (2019) | bacterial Rho prediction</w:t>
            </w:r>
          </w:p>
        </w:tc>
        <w:tc>
          <w:tcPr>
            <w:tcW w:w="1980" w:type="dxa"/>
          </w:tcPr>
          <w:p w14:paraId="2E874D0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78-nt C-rich/G-poor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rut</w:t>
            </w:r>
            <w:r w:rsidRPr="00D42CD6">
              <w:rPr>
                <w:rFonts w:cs="Times New Roman"/>
                <w:sz w:val="15"/>
                <w:szCs w:val="15"/>
              </w:rPr>
              <w:t xml:space="preserve"> candidates plus downstream pause features;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RhoTermPredict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>.</w:t>
            </w:r>
          </w:p>
        </w:tc>
        <w:tc>
          <w:tcPr>
            <w:tcW w:w="1980" w:type="dxa"/>
          </w:tcPr>
          <w:p w14:paraId="17A32D3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Reported F1 values were ~0.7 in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E. coli</w:t>
            </w:r>
            <w:r w:rsidRPr="00D42CD6">
              <w:rPr>
                <w:rFonts w:cs="Times New Roman"/>
                <w:sz w:val="15"/>
                <w:szCs w:val="15"/>
              </w:rPr>
              <w:t xml:space="preserve"> and ~0.6 in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B. subtilis</w:t>
            </w:r>
            <w:r w:rsidRPr="00D42CD6">
              <w:rPr>
                <w:rFonts w:cs="Times New Roman"/>
                <w:sz w:val="15"/>
                <w:szCs w:val="15"/>
              </w:rPr>
              <w:t>.</w:t>
            </w:r>
          </w:p>
        </w:tc>
        <w:tc>
          <w:tcPr>
            <w:tcW w:w="1980" w:type="dxa"/>
          </w:tcPr>
          <w:p w14:paraId="6A0B1DE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RNA-seq-gradient validation is condition dependent and does not locate release.</w:t>
            </w:r>
          </w:p>
        </w:tc>
      </w:tr>
      <w:tr w:rsidR="00D42CD6" w:rsidRPr="00D42CD6" w14:paraId="14DA918D" w14:textId="77777777">
        <w:trPr>
          <w:cantSplit/>
        </w:trPr>
        <w:tc>
          <w:tcPr>
            <w:tcW w:w="1980" w:type="dxa"/>
          </w:tcPr>
          <w:p w14:paraId="235FAB3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Song et al. (2022) | bacter</w:t>
            </w:r>
            <w:r w:rsidRPr="00D42CD6">
              <w:rPr>
                <w:rFonts w:cs="Times New Roman"/>
                <w:sz w:val="15"/>
                <w:szCs w:val="15"/>
              </w:rPr>
              <w:t>ial Rho-dependent termination</w:t>
            </w:r>
          </w:p>
        </w:tc>
        <w:tc>
          <w:tcPr>
            <w:tcW w:w="1980" w:type="dxa"/>
          </w:tcPr>
          <w:p w14:paraId="2837341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Single-molecule/in vitro analysis of catch-up and stand-by routes.</w:t>
            </w:r>
          </w:p>
        </w:tc>
        <w:tc>
          <w:tcPr>
            <w:tcW w:w="1980" w:type="dxa"/>
          </w:tcPr>
          <w:p w14:paraId="68D6468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Rho termination can follow multiple routes set by loading and pause timing.</w:t>
            </w:r>
          </w:p>
        </w:tc>
        <w:tc>
          <w:tcPr>
            <w:tcW w:w="1980" w:type="dxa"/>
          </w:tcPr>
          <w:p w14:paraId="7F5C594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Cellular route usage remains unresolved.</w:t>
            </w:r>
          </w:p>
        </w:tc>
      </w:tr>
      <w:tr w:rsidR="00D42CD6" w:rsidRPr="00D42CD6" w14:paraId="0E4491D6" w14:textId="77777777">
        <w:trPr>
          <w:cantSplit/>
        </w:trPr>
        <w:tc>
          <w:tcPr>
            <w:tcW w:w="1980" w:type="dxa"/>
          </w:tcPr>
          <w:p w14:paraId="200E991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Chhakchhuak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and Sen (2022) | bacterial Rho-dependent termination</w:t>
            </w:r>
          </w:p>
        </w:tc>
        <w:tc>
          <w:tcPr>
            <w:tcW w:w="1980" w:type="dxa"/>
          </w:tcPr>
          <w:p w14:paraId="6B13595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RT-qPCR of 72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E. coli</w:t>
            </w:r>
            <w:r w:rsidRPr="00D42CD6">
              <w:rPr>
                <w:rFonts w:cs="Times New Roman"/>
                <w:sz w:val="15"/>
                <w:szCs w:val="15"/>
              </w:rPr>
              <w:t xml:space="preserve"> terminators with Rho/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NusG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perturbations.</w:t>
            </w:r>
          </w:p>
        </w:tc>
        <w:tc>
          <w:tcPr>
            <w:tcW w:w="1980" w:type="dxa"/>
          </w:tcPr>
          <w:p w14:paraId="6057974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Weak/moderate terminators track C&gt;G features and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NusG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dependence more than strong sites.</w:t>
            </w:r>
          </w:p>
        </w:tc>
        <w:tc>
          <w:tcPr>
            <w:tcW w:w="1980" w:type="dxa"/>
          </w:tcPr>
          <w:p w14:paraId="1B545B7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Semi-quantitative, selected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E. coli</w:t>
            </w:r>
            <w:r w:rsidRPr="00D42CD6">
              <w:rPr>
                <w:rFonts w:cs="Times New Roman"/>
                <w:sz w:val="15"/>
                <w:szCs w:val="15"/>
              </w:rPr>
              <w:t xml:space="preserve"> set.</w:t>
            </w:r>
          </w:p>
        </w:tc>
      </w:tr>
      <w:tr w:rsidR="00D42CD6" w:rsidRPr="00D42CD6" w14:paraId="551CE58F" w14:textId="77777777">
        <w:trPr>
          <w:cantSplit/>
        </w:trPr>
        <w:tc>
          <w:tcPr>
            <w:tcW w:w="1980" w:type="dxa"/>
          </w:tcPr>
          <w:p w14:paraId="779B706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Wang et </w:t>
            </w:r>
            <w:r w:rsidRPr="00D42CD6">
              <w:rPr>
                <w:rFonts w:cs="Times New Roman"/>
                <w:sz w:val="15"/>
                <w:szCs w:val="15"/>
              </w:rPr>
              <w:t>al. (2023) | bacterial Rho-dependent termination</w:t>
            </w:r>
          </w:p>
        </w:tc>
        <w:tc>
          <w:tcPr>
            <w:tcW w:w="1980" w:type="dxa"/>
          </w:tcPr>
          <w:p w14:paraId="2134A31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sysRNA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stabilization with 3′ RACE and primer extension.</w:t>
            </w:r>
          </w:p>
        </w:tc>
        <w:tc>
          <w:tcPr>
            <w:tcW w:w="1980" w:type="dxa"/>
          </w:tcPr>
          <w:p w14:paraId="7B62A57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Mapped one Rho-dependent region to 21 bp in vivo.</w:t>
            </w:r>
          </w:p>
        </w:tc>
        <w:tc>
          <w:tcPr>
            <w:tcW w:w="1980" w:type="dxa"/>
          </w:tcPr>
          <w:p w14:paraId="1272B1D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Target-specific stabilization may introduce RNase III-related artifacts.</w:t>
            </w:r>
          </w:p>
        </w:tc>
      </w:tr>
      <w:tr w:rsidR="00D42CD6" w:rsidRPr="00D42CD6" w14:paraId="0EA32E9D" w14:textId="77777777">
        <w:trPr>
          <w:cantSplit/>
        </w:trPr>
        <w:tc>
          <w:tcPr>
            <w:tcW w:w="1980" w:type="dxa"/>
          </w:tcPr>
          <w:p w14:paraId="509F8D1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D’Halluin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(2023) | b</w:t>
            </w:r>
            <w:r w:rsidRPr="00D42CD6">
              <w:rPr>
                <w:rFonts w:cs="Times New Roman"/>
                <w:sz w:val="15"/>
                <w:szCs w:val="15"/>
              </w:rPr>
              <w:t>acterial Rho-dependent termination</w:t>
            </w:r>
          </w:p>
        </w:tc>
        <w:tc>
          <w:tcPr>
            <w:tcW w:w="1980" w:type="dxa"/>
          </w:tcPr>
          <w:p w14:paraId="13F4AC0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Translated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uORFs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and Rho perturbation in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M. tuberculosis</w:t>
            </w:r>
            <w:r w:rsidRPr="00D42CD6">
              <w:rPr>
                <w:rFonts w:cs="Times New Roman"/>
                <w:sz w:val="15"/>
                <w:szCs w:val="15"/>
              </w:rPr>
              <w:t xml:space="preserve"> leaders.</w:t>
            </w:r>
          </w:p>
        </w:tc>
        <w:tc>
          <w:tcPr>
            <w:tcW w:w="1980" w:type="dxa"/>
          </w:tcPr>
          <w:p w14:paraId="2C779DD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uORF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translation associates with altered Rho access and premature termination.</w:t>
            </w:r>
          </w:p>
        </w:tc>
        <w:tc>
          <w:tcPr>
            <w:tcW w:w="1980" w:type="dxa"/>
          </w:tcPr>
          <w:p w14:paraId="03EF4E8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Causality remains locus- and species-specific.</w:t>
            </w:r>
          </w:p>
        </w:tc>
      </w:tr>
      <w:tr w:rsidR="00D42CD6" w:rsidRPr="00D42CD6" w14:paraId="738FB424" w14:textId="77777777">
        <w:trPr>
          <w:cantSplit/>
        </w:trPr>
        <w:tc>
          <w:tcPr>
            <w:tcW w:w="1980" w:type="dxa"/>
          </w:tcPr>
          <w:p w14:paraId="253FF3A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lastRenderedPageBreak/>
              <w:t>Ahmad et al. (2023) | bacter</w:t>
            </w:r>
            <w:r w:rsidRPr="00D42CD6">
              <w:rPr>
                <w:rFonts w:cs="Times New Roman"/>
                <w:sz w:val="15"/>
                <w:szCs w:val="15"/>
              </w:rPr>
              <w:t>ial Rho-dependent termination</w:t>
            </w:r>
          </w:p>
        </w:tc>
        <w:tc>
          <w:tcPr>
            <w:tcW w:w="1980" w:type="dxa"/>
          </w:tcPr>
          <w:p w14:paraId="21735DD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Rho perturbation and termination profiling in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M. tuberculosis</w:t>
            </w:r>
            <w:r w:rsidRPr="00D42CD6">
              <w:rPr>
                <w:rFonts w:cs="Times New Roman"/>
                <w:sz w:val="15"/>
                <w:szCs w:val="15"/>
              </w:rPr>
              <w:t>.</w:t>
            </w:r>
          </w:p>
        </w:tc>
        <w:tc>
          <w:tcPr>
            <w:tcW w:w="1980" w:type="dxa"/>
          </w:tcPr>
          <w:p w14:paraId="61E37A2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Rho has a major role in the high-GC mycobacterial transcriptome.</w:t>
            </w:r>
          </w:p>
        </w:tc>
        <w:tc>
          <w:tcPr>
            <w:tcW w:w="1980" w:type="dxa"/>
          </w:tcPr>
          <w:p w14:paraId="6ED16EA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Dominance claims require species-specific comparative quantification.</w:t>
            </w:r>
          </w:p>
        </w:tc>
      </w:tr>
      <w:tr w:rsidR="00D42CD6" w:rsidRPr="00D42CD6" w14:paraId="1248AA13" w14:textId="77777777">
        <w:trPr>
          <w:cantSplit/>
        </w:trPr>
        <w:tc>
          <w:tcPr>
            <w:tcW w:w="1980" w:type="dxa"/>
          </w:tcPr>
          <w:p w14:paraId="6AFECC6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Molodtsov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(2023) | bacterial Rho-dependent termination</w:t>
            </w:r>
          </w:p>
        </w:tc>
        <w:tc>
          <w:tcPr>
            <w:tcW w:w="1980" w:type="dxa"/>
          </w:tcPr>
          <w:p w14:paraId="4BF55B7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Cryo-EM of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E. coli</w:t>
            </w:r>
            <w:r w:rsidRPr="00D42CD6">
              <w:rPr>
                <w:rFonts w:cs="Times New Roman"/>
                <w:sz w:val="15"/>
                <w:szCs w:val="15"/>
              </w:rPr>
              <w:t xml:space="preserve"> Rho-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NusG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elongation complexes.</w:t>
            </w:r>
          </w:p>
        </w:tc>
        <w:tc>
          <w:tcPr>
            <w:tcW w:w="1980" w:type="dxa"/>
          </w:tcPr>
          <w:p w14:paraId="1EC2FDC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NusG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bridges a pre-termination complex poised for Rho translocation.</w:t>
            </w:r>
          </w:p>
        </w:tc>
        <w:tc>
          <w:tcPr>
            <w:tcW w:w="1980" w:type="dxa"/>
          </w:tcPr>
          <w:p w14:paraId="398DDC4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Structural state should not be generalized to all Rho events.</w:t>
            </w:r>
          </w:p>
        </w:tc>
      </w:tr>
      <w:tr w:rsidR="00D42CD6" w:rsidRPr="00D42CD6" w14:paraId="1D9D7B86" w14:textId="77777777">
        <w:trPr>
          <w:cantSplit/>
        </w:trPr>
        <w:tc>
          <w:tcPr>
            <w:tcW w:w="1980" w:type="dxa"/>
          </w:tcPr>
          <w:p w14:paraId="08B14E4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Song et al. (2023) | </w:t>
            </w:r>
            <w:r w:rsidRPr="00D42CD6">
              <w:rPr>
                <w:rFonts w:cs="Times New Roman"/>
                <w:sz w:val="15"/>
                <w:szCs w:val="15"/>
              </w:rPr>
              <w:t>bacterial Rho-dependent termination</w:t>
            </w:r>
          </w:p>
        </w:tc>
        <w:tc>
          <w:tcPr>
            <w:tcW w:w="1980" w:type="dxa"/>
          </w:tcPr>
          <w:p w14:paraId="1515D10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Single-molecule pause and route measurements in terminator/riboswitch contexts.</w:t>
            </w:r>
          </w:p>
        </w:tc>
        <w:tc>
          <w:tcPr>
            <w:tcW w:w="1980" w:type="dxa"/>
          </w:tcPr>
          <w:p w14:paraId="01014A2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Pause extension preferentially favors stand-by over catch-up termination.</w:t>
            </w:r>
          </w:p>
        </w:tc>
        <w:tc>
          <w:tcPr>
            <w:tcW w:w="1980" w:type="dxa"/>
          </w:tcPr>
          <w:p w14:paraId="29863B4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Limited in vitro systems leave in vivo route usage </w:t>
            </w:r>
            <w:r w:rsidRPr="00D42CD6">
              <w:rPr>
                <w:rFonts w:cs="Times New Roman"/>
                <w:sz w:val="15"/>
                <w:szCs w:val="15"/>
              </w:rPr>
              <w:t>unresolved.</w:t>
            </w:r>
          </w:p>
        </w:tc>
      </w:tr>
      <w:tr w:rsidR="00E823F4" w:rsidRPr="00D42CD6" w14:paraId="7FDEBDA5" w14:textId="77777777">
        <w:trPr>
          <w:cantSplit/>
        </w:trPr>
        <w:tc>
          <w:tcPr>
            <w:tcW w:w="1980" w:type="dxa"/>
          </w:tcPr>
          <w:p w14:paraId="3D98896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Delaleau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(2025) | bacterial Rho-dependent termination</w:t>
            </w:r>
          </w:p>
        </w:tc>
        <w:tc>
          <w:tcPr>
            <w:tcW w:w="1980" w:type="dxa"/>
          </w:tcPr>
          <w:p w14:paraId="1FDBFBB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H-SELEX mapping of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Bacillus</w:t>
            </w:r>
            <w:r w:rsidRPr="00D42CD6">
              <w:rPr>
                <w:rFonts w:cs="Times New Roman"/>
                <w:sz w:val="15"/>
                <w:szCs w:val="15"/>
              </w:rPr>
              <w:t xml:space="preserve"> and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E. coli</w:t>
            </w:r>
            <w:r w:rsidRPr="00D42CD6">
              <w:rPr>
                <w:rFonts w:cs="Times New Roman"/>
                <w:sz w:val="15"/>
                <w:szCs w:val="15"/>
              </w:rPr>
              <w:t xml:space="preserve"> Rho utilization sites.</w:t>
            </w:r>
          </w:p>
        </w:tc>
        <w:tc>
          <w:tcPr>
            <w:tcW w:w="1980" w:type="dxa"/>
          </w:tcPr>
          <w:p w14:paraId="55545BB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Rho substrate preferences differ with RNA structure and accessibility.</w:t>
            </w:r>
          </w:p>
        </w:tc>
        <w:tc>
          <w:tcPr>
            <w:tcW w:w="1980" w:type="dxa"/>
          </w:tcPr>
          <w:p w14:paraId="204E88B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In vitro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rut</w:t>
            </w:r>
            <w:r w:rsidRPr="00D42CD6">
              <w:rPr>
                <w:rFonts w:cs="Times New Roman"/>
                <w:sz w:val="15"/>
                <w:szCs w:val="15"/>
              </w:rPr>
              <w:t xml:space="preserve"> sites may not be engaged in vivo.</w:t>
            </w:r>
          </w:p>
        </w:tc>
      </w:tr>
    </w:tbl>
    <w:p w14:paraId="34CCA92F" w14:textId="04E957BD" w:rsidR="00D42CD6" w:rsidRDefault="00D42CD6" w:rsidP="00625AA0">
      <w:pPr>
        <w:pStyle w:val="a0"/>
        <w:spacing w:before="0" w:after="0" w:line="360" w:lineRule="auto"/>
        <w:rPr>
          <w:rFonts w:cs="Times New Roman"/>
        </w:rPr>
      </w:pPr>
      <w:bookmarkStart w:id="3" w:name="X4cf0bcf699d4917cd29f74a8b4c75aa1e628cc3"/>
      <w:bookmarkEnd w:id="2"/>
    </w:p>
    <w:p w14:paraId="5F3B66F3" w14:textId="1BA9323B" w:rsidR="00625AA0" w:rsidRPr="00D42CD6" w:rsidRDefault="00D42CD6" w:rsidP="00D42CD6">
      <w:pPr>
        <w:spacing w:after="200" w:line="240" w:lineRule="auto"/>
        <w:rPr>
          <w:rFonts w:cs="Times New Roman" w:hint="eastAsia"/>
        </w:rPr>
      </w:pPr>
      <w:r>
        <w:rPr>
          <w:rFonts w:cs="Times New Roman"/>
        </w:rPr>
        <w:br w:type="page"/>
      </w:r>
    </w:p>
    <w:p w14:paraId="1F1E70DC" w14:textId="4AEE58AC" w:rsidR="00E823F4" w:rsidRPr="00D42CD6" w:rsidRDefault="009F63D6" w:rsidP="003B0C8A">
      <w:pPr>
        <w:pStyle w:val="2"/>
        <w:spacing w:before="0" w:after="0" w:line="360" w:lineRule="auto"/>
        <w:rPr>
          <w:rFonts w:ascii="Times New Roman" w:hAnsi="Times New Roman" w:cs="Times New Roman"/>
          <w:color w:val="auto"/>
        </w:rPr>
      </w:pPr>
      <w:r w:rsidRPr="00D42CD6">
        <w:rPr>
          <w:rFonts w:ascii="Times New Roman" w:hAnsi="Times New Roman" w:cs="Times New Roman"/>
          <w:color w:val="auto"/>
        </w:rPr>
        <w:lastRenderedPageBreak/>
        <w:t>T</w:t>
      </w:r>
      <w:r w:rsidRPr="00D42CD6">
        <w:rPr>
          <w:rFonts w:ascii="Times New Roman" w:hAnsi="Times New Roman" w:cs="Times New Roman"/>
          <w:color w:val="auto"/>
        </w:rPr>
        <w:t>able S3. Archaeal termination-related signals</w:t>
      </w:r>
    </w:p>
    <w:p w14:paraId="6DDC5C72" w14:textId="77777777" w:rsidR="00E823F4" w:rsidRPr="00D42CD6" w:rsidRDefault="009F63D6" w:rsidP="003B0C8A">
      <w:pPr>
        <w:pStyle w:val="FirstParagraph"/>
        <w:spacing w:before="0" w:after="0" w:line="360" w:lineRule="auto"/>
        <w:rPr>
          <w:rFonts w:cs="Times New Roman"/>
        </w:rPr>
      </w:pPr>
      <w:r w:rsidRPr="00D42CD6">
        <w:rPr>
          <w:rFonts w:cs="Times New Roman"/>
        </w:rPr>
        <w:t xml:space="preserve">Examples of archaeal termination-related studies, organized by reference and system, signal feature and evidence, key finding, and scope or limitation. The table covers U-rich tracts, </w:t>
      </w:r>
      <w:r w:rsidRPr="00D42CD6">
        <w:rPr>
          <w:rFonts w:cs="Times New Roman"/>
        </w:rPr>
        <w:t>cleavage-linked end formation, transcript-end observations, and aCPSF1/</w:t>
      </w:r>
      <w:proofErr w:type="spellStart"/>
      <w:r w:rsidRPr="00D42CD6">
        <w:rPr>
          <w:rFonts w:cs="Times New Roman"/>
        </w:rPr>
        <w:t>FttA</w:t>
      </w:r>
      <w:proofErr w:type="spellEnd"/>
      <w:r w:rsidRPr="00D42CD6">
        <w:rPr>
          <w:rFonts w:cs="Times New Roman"/>
        </w:rPr>
        <w:t>-family factor-associated examples. Its selective entry set reflects the smaller number of studies that directly resolve archaeal termination mechanisms and does not represent all a</w:t>
      </w:r>
      <w:r w:rsidRPr="00D42CD6">
        <w:rPr>
          <w:rFonts w:cs="Times New Roman"/>
        </w:rPr>
        <w:t>rchaeal transcription research.</w:t>
      </w:r>
    </w:p>
    <w:tbl>
      <w:tblPr>
        <w:tblStyle w:val="11"/>
        <w:tblW w:w="5000" w:type="pct"/>
        <w:tblInd w:w="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240"/>
        <w:gridCol w:w="3240"/>
        <w:gridCol w:w="3240"/>
        <w:gridCol w:w="3240"/>
      </w:tblGrid>
      <w:tr w:rsidR="00D42CD6" w:rsidRPr="00D42CD6" w14:paraId="60672333" w14:textId="77777777">
        <w:trPr>
          <w:cantSplit/>
          <w:tblHeader/>
        </w:trPr>
        <w:tc>
          <w:tcPr>
            <w:tcW w:w="1980" w:type="dxa"/>
          </w:tcPr>
          <w:p w14:paraId="39D367E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D42CD6">
              <w:rPr>
                <w:rFonts w:cs="Times New Roman"/>
                <w:b/>
                <w:bCs/>
                <w:sz w:val="15"/>
                <w:szCs w:val="15"/>
              </w:rPr>
              <w:t>Reference and system</w:t>
            </w:r>
          </w:p>
        </w:tc>
        <w:tc>
          <w:tcPr>
            <w:tcW w:w="1980" w:type="dxa"/>
          </w:tcPr>
          <w:p w14:paraId="7E46686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D42CD6">
              <w:rPr>
                <w:rFonts w:cs="Times New Roman"/>
                <w:b/>
                <w:bCs/>
                <w:sz w:val="15"/>
                <w:szCs w:val="15"/>
              </w:rPr>
              <w:t>Signal and evidence</w:t>
            </w:r>
          </w:p>
        </w:tc>
        <w:tc>
          <w:tcPr>
            <w:tcW w:w="1980" w:type="dxa"/>
          </w:tcPr>
          <w:p w14:paraId="6E21176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D42CD6">
              <w:rPr>
                <w:rFonts w:cs="Times New Roman"/>
                <w:b/>
                <w:bCs/>
                <w:sz w:val="15"/>
                <w:szCs w:val="15"/>
              </w:rPr>
              <w:t>Key finding</w:t>
            </w:r>
          </w:p>
        </w:tc>
        <w:tc>
          <w:tcPr>
            <w:tcW w:w="1980" w:type="dxa"/>
          </w:tcPr>
          <w:p w14:paraId="068CBE2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D42CD6">
              <w:rPr>
                <w:rFonts w:cs="Times New Roman"/>
                <w:b/>
                <w:bCs/>
                <w:sz w:val="15"/>
                <w:szCs w:val="15"/>
              </w:rPr>
              <w:t>Context and limitation</w:t>
            </w:r>
          </w:p>
        </w:tc>
      </w:tr>
      <w:tr w:rsidR="00D42CD6" w:rsidRPr="00D42CD6" w14:paraId="20D50481" w14:textId="77777777">
        <w:trPr>
          <w:cantSplit/>
        </w:trPr>
        <w:tc>
          <w:tcPr>
            <w:tcW w:w="1980" w:type="dxa"/>
          </w:tcPr>
          <w:p w14:paraId="6FBE373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Santangelo and Reeve (2006) | archaeal termination</w:t>
            </w:r>
          </w:p>
        </w:tc>
        <w:tc>
          <w:tcPr>
            <w:tcW w:w="1980" w:type="dxa"/>
          </w:tcPr>
          <w:p w14:paraId="6F5A059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Oligo-T/U tracts and optional hairpins; in vitro archaeal RNAP assays.</w:t>
            </w:r>
          </w:p>
        </w:tc>
        <w:tc>
          <w:tcPr>
            <w:tcW w:w="1980" w:type="dxa"/>
          </w:tcPr>
          <w:p w14:paraId="6B95310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Archaeal RNAP can termina</w:t>
            </w:r>
            <w:r w:rsidRPr="00D42CD6">
              <w:rPr>
                <w:rFonts w:cs="Times New Roman"/>
                <w:sz w:val="15"/>
                <w:szCs w:val="15"/>
              </w:rPr>
              <w:t>te at U/T-rich tracts without an upstream hairpin.</w:t>
            </w:r>
          </w:p>
        </w:tc>
        <w:tc>
          <w:tcPr>
            <w:tcW w:w="1980" w:type="dxa"/>
          </w:tcPr>
          <w:p w14:paraId="55866B7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Foundational in vitro evidence; in vivo relevance remains limited.</w:t>
            </w:r>
          </w:p>
        </w:tc>
      </w:tr>
      <w:tr w:rsidR="00D42CD6" w:rsidRPr="00D42CD6" w14:paraId="7C39DB71" w14:textId="77777777">
        <w:trPr>
          <w:cantSplit/>
        </w:trPr>
        <w:tc>
          <w:tcPr>
            <w:tcW w:w="1980" w:type="dxa"/>
          </w:tcPr>
          <w:p w14:paraId="271A87A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Dar et al. (2016a) | archaeal termination</w:t>
            </w:r>
          </w:p>
        </w:tc>
        <w:tc>
          <w:tcPr>
            <w:tcW w:w="1980" w:type="dxa"/>
          </w:tcPr>
          <w:p w14:paraId="3FD2F3C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U-rich tracts and 3′-end mapping in two archaeal species.</w:t>
            </w:r>
          </w:p>
        </w:tc>
        <w:tc>
          <w:tcPr>
            <w:tcW w:w="1980" w:type="dxa"/>
          </w:tcPr>
          <w:p w14:paraId="1ADDDDA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&gt;30% of genes generated </w:t>
            </w:r>
            <w:r w:rsidRPr="00D42CD6">
              <w:rPr>
                <w:rFonts w:cs="Times New Roman"/>
                <w:sz w:val="15"/>
                <w:szCs w:val="15"/>
              </w:rPr>
              <w:t>alternative 3′ UTR isoforms through multiple terminators.</w:t>
            </w:r>
          </w:p>
        </w:tc>
        <w:tc>
          <w:tcPr>
            <w:tcW w:w="1980" w:type="dxa"/>
          </w:tcPr>
          <w:p w14:paraId="4C8DEFE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Two-species comparison; broader prevalence needs validation.</w:t>
            </w:r>
          </w:p>
        </w:tc>
      </w:tr>
      <w:tr w:rsidR="00D42CD6" w:rsidRPr="00D42CD6" w14:paraId="21CF9F26" w14:textId="77777777">
        <w:trPr>
          <w:cantSplit/>
        </w:trPr>
        <w:tc>
          <w:tcPr>
            <w:tcW w:w="1980" w:type="dxa"/>
          </w:tcPr>
          <w:p w14:paraId="52A46C6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Walker et al. (2017) | archaeal termination</w:t>
            </w:r>
          </w:p>
        </w:tc>
        <w:tc>
          <w:tcPr>
            <w:tcW w:w="1980" w:type="dxa"/>
          </w:tcPr>
          <w:p w14:paraId="08E0342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Eta-dependent disruption of stalled elongation complexes; purified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 xml:space="preserve">T. </w:t>
            </w:r>
            <w:proofErr w:type="spellStart"/>
            <w:r w:rsidRPr="00D42CD6">
              <w:rPr>
                <w:rFonts w:cs="Times New Roman"/>
                <w:i/>
                <w:iCs/>
                <w:sz w:val="15"/>
                <w:szCs w:val="15"/>
              </w:rPr>
              <w:t>kodakarensis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system.</w:t>
            </w:r>
          </w:p>
        </w:tc>
        <w:tc>
          <w:tcPr>
            <w:tcW w:w="1980" w:type="dxa"/>
          </w:tcPr>
          <w:p w14:paraId="1C3D18C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Eta releases stalled/arrested complexes and affects growth and DNA-damage phenotypes.</w:t>
            </w:r>
          </w:p>
        </w:tc>
        <w:tc>
          <w:tcPr>
            <w:tcW w:w="1980" w:type="dxa"/>
          </w:tcPr>
          <w:p w14:paraId="6EED548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Kinetic and structural mechanism need further definition.</w:t>
            </w:r>
          </w:p>
        </w:tc>
      </w:tr>
      <w:tr w:rsidR="00D42CD6" w:rsidRPr="00D42CD6" w14:paraId="0BF65F11" w14:textId="77777777">
        <w:trPr>
          <w:cantSplit/>
        </w:trPr>
        <w:tc>
          <w:tcPr>
            <w:tcW w:w="1980" w:type="dxa"/>
          </w:tcPr>
          <w:p w14:paraId="351936D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Maier and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Marchfelder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(2019) | archaeal termination</w:t>
            </w:r>
          </w:p>
        </w:tc>
        <w:tc>
          <w:tcPr>
            <w:tcW w:w="1980" w:type="dxa"/>
          </w:tcPr>
          <w:p w14:paraId="2358CAB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Review of archaeal transcription and U</w:t>
            </w:r>
            <w:r w:rsidRPr="00D42CD6">
              <w:rPr>
                <w:rFonts w:cs="Times New Roman"/>
                <w:sz w:val="15"/>
                <w:szCs w:val="15"/>
              </w:rPr>
              <w:t>/T-rich termination context.</w:t>
            </w:r>
          </w:p>
        </w:tc>
        <w:tc>
          <w:tcPr>
            <w:tcW w:w="1980" w:type="dxa"/>
          </w:tcPr>
          <w:p w14:paraId="2066943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Termination protects compact archaeal transcript architecture.</w:t>
            </w:r>
          </w:p>
        </w:tc>
        <w:tc>
          <w:tcPr>
            <w:tcW w:w="1980" w:type="dxa"/>
          </w:tcPr>
          <w:p w14:paraId="1A500C5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Background synthesis, not primary evidence.</w:t>
            </w:r>
          </w:p>
        </w:tc>
      </w:tr>
      <w:tr w:rsidR="00D42CD6" w:rsidRPr="00D42CD6" w14:paraId="30FAB410" w14:textId="77777777">
        <w:trPr>
          <w:cantSplit/>
        </w:trPr>
        <w:tc>
          <w:tcPr>
            <w:tcW w:w="1980" w:type="dxa"/>
          </w:tcPr>
          <w:p w14:paraId="05A9D38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Wenck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and Santangelo (2020) | archaeal termination</w:t>
            </w:r>
          </w:p>
        </w:tc>
        <w:tc>
          <w:tcPr>
            <w:tcW w:w="1980" w:type="dxa"/>
          </w:tcPr>
          <w:p w14:paraId="5F24153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Review of archaeal RNAP and post-initiation regulation.</w:t>
            </w:r>
          </w:p>
        </w:tc>
        <w:tc>
          <w:tcPr>
            <w:tcW w:w="1980" w:type="dxa"/>
          </w:tcPr>
          <w:p w14:paraId="064FBE6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Termination </w:t>
            </w:r>
            <w:r w:rsidRPr="00D42CD6">
              <w:rPr>
                <w:rFonts w:cs="Times New Roman"/>
                <w:sz w:val="15"/>
                <w:szCs w:val="15"/>
              </w:rPr>
              <w:t>coordinates dense gene expression in a eukaryote-like RNAP system.</w:t>
            </w:r>
          </w:p>
        </w:tc>
        <w:tc>
          <w:tcPr>
            <w:tcW w:w="1980" w:type="dxa"/>
          </w:tcPr>
          <w:p w14:paraId="3C47FE7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Background synthesis, not quantitative evidence.</w:t>
            </w:r>
          </w:p>
        </w:tc>
      </w:tr>
      <w:tr w:rsidR="00D42CD6" w:rsidRPr="00D42CD6" w14:paraId="4B313F30" w14:textId="77777777">
        <w:trPr>
          <w:cantSplit/>
        </w:trPr>
        <w:tc>
          <w:tcPr>
            <w:tcW w:w="1980" w:type="dxa"/>
          </w:tcPr>
          <w:p w14:paraId="1CDA9B9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Yue et al. (2020) | archaeal termination</w:t>
            </w:r>
          </w:p>
        </w:tc>
        <w:tc>
          <w:tcPr>
            <w:tcW w:w="1980" w:type="dxa"/>
          </w:tcPr>
          <w:p w14:paraId="098E9D5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U-rich signals and aCPSF1 depletion/replacement in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 xml:space="preserve">M. </w:t>
            </w:r>
            <w:proofErr w:type="spellStart"/>
            <w:r w:rsidRPr="00D42CD6">
              <w:rPr>
                <w:rFonts w:cs="Times New Roman"/>
                <w:i/>
                <w:iCs/>
                <w:sz w:val="15"/>
                <w:szCs w:val="15"/>
              </w:rPr>
              <w:t>maripaludis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>.</w:t>
            </w:r>
          </w:p>
        </w:tc>
        <w:tc>
          <w:tcPr>
            <w:tcW w:w="1980" w:type="dxa"/>
          </w:tcPr>
          <w:p w14:paraId="3F35A9C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aCPSF1 depletion causes genome-wide termination defects; distant orthologs can replace it.</w:t>
            </w:r>
          </w:p>
        </w:tc>
        <w:tc>
          <w:tcPr>
            <w:tcW w:w="1980" w:type="dxa"/>
          </w:tcPr>
          <w:p w14:paraId="08C00FF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Euryarchaeal model; U-rich recognition mechanism needs structural evidence.</w:t>
            </w:r>
          </w:p>
        </w:tc>
      </w:tr>
      <w:tr w:rsidR="00D42CD6" w:rsidRPr="00D42CD6" w14:paraId="69BE21DF" w14:textId="77777777">
        <w:trPr>
          <w:cantSplit/>
        </w:trPr>
        <w:tc>
          <w:tcPr>
            <w:tcW w:w="1980" w:type="dxa"/>
          </w:tcPr>
          <w:p w14:paraId="3B51E0B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Sanders et al. (2020)</w:t>
            </w:r>
            <w:r w:rsidRPr="00D42CD6">
              <w:rPr>
                <w:rFonts w:cs="Times New Roman"/>
                <w:sz w:val="15"/>
                <w:szCs w:val="15"/>
              </w:rPr>
              <w:t xml:space="preserve"> | archaeal termination</w:t>
            </w:r>
          </w:p>
        </w:tc>
        <w:tc>
          <w:tcPr>
            <w:tcW w:w="1980" w:type="dxa"/>
          </w:tcPr>
          <w:p w14:paraId="4F26A2D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FttA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>/CPSF73 cleavage of stalled elongation complexes; in vitro assays.</w:t>
            </w:r>
          </w:p>
        </w:tc>
        <w:tc>
          <w:tcPr>
            <w:tcW w:w="1980" w:type="dxa"/>
          </w:tcPr>
          <w:p w14:paraId="18432F6A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FttA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can terminate transcription by cleaving nascent RNA.</w:t>
            </w:r>
          </w:p>
        </w:tc>
        <w:tc>
          <w:tcPr>
            <w:tcW w:w="1980" w:type="dxa"/>
          </w:tcPr>
          <w:p w14:paraId="647EA64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Residual-fragment fate and complex disassembly remain unresolved.</w:t>
            </w:r>
          </w:p>
        </w:tc>
      </w:tr>
      <w:tr w:rsidR="00D42CD6" w:rsidRPr="00D42CD6" w14:paraId="317F434C" w14:textId="77777777">
        <w:trPr>
          <w:cantSplit/>
        </w:trPr>
        <w:tc>
          <w:tcPr>
            <w:tcW w:w="1980" w:type="dxa"/>
          </w:tcPr>
          <w:p w14:paraId="3E2662A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Berkemer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(2020) | archaeal te</w:t>
            </w:r>
            <w:r w:rsidRPr="00D42CD6">
              <w:rPr>
                <w:rFonts w:cs="Times New Roman"/>
                <w:sz w:val="15"/>
                <w:szCs w:val="15"/>
              </w:rPr>
              <w:t>rmination</w:t>
            </w:r>
          </w:p>
        </w:tc>
        <w:tc>
          <w:tcPr>
            <w:tcW w:w="1980" w:type="dxa"/>
          </w:tcPr>
          <w:p w14:paraId="61A4213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Genome-wide 3′ termini with reporter tests in </w:t>
            </w:r>
            <w:proofErr w:type="spellStart"/>
            <w:r w:rsidRPr="00D42CD6">
              <w:rPr>
                <w:rFonts w:cs="Times New Roman"/>
                <w:i/>
                <w:iCs/>
                <w:sz w:val="15"/>
                <w:szCs w:val="15"/>
              </w:rPr>
              <w:t>Haloferax</w:t>
            </w:r>
            <w:proofErr w:type="spellEnd"/>
            <w:r w:rsidRPr="00D42CD6">
              <w:rPr>
                <w:rFonts w:cs="Times New Roman"/>
                <w:i/>
                <w:iCs/>
                <w:sz w:val="15"/>
                <w:szCs w:val="15"/>
              </w:rPr>
              <w:t xml:space="preserve"> </w:t>
            </w:r>
            <w:proofErr w:type="spellStart"/>
            <w:r w:rsidRPr="00D42CD6">
              <w:rPr>
                <w:rFonts w:cs="Times New Roman"/>
                <w:i/>
                <w:iCs/>
                <w:sz w:val="15"/>
                <w:szCs w:val="15"/>
              </w:rPr>
              <w:t>volcanii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>.</w:t>
            </w:r>
          </w:p>
        </w:tc>
        <w:tc>
          <w:tcPr>
            <w:tcW w:w="1980" w:type="dxa"/>
          </w:tcPr>
          <w:p w14:paraId="709B5F2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Intergenic T-stretches and coding-region AGATC motifs associate with termini.</w:t>
            </w:r>
          </w:p>
        </w:tc>
        <w:tc>
          <w:tcPr>
            <w:tcW w:w="1980" w:type="dxa"/>
          </w:tcPr>
          <w:p w14:paraId="139E0DA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One halophile; RNA ends do not resolve mechanism.</w:t>
            </w:r>
          </w:p>
        </w:tc>
      </w:tr>
      <w:tr w:rsidR="00D42CD6" w:rsidRPr="00D42CD6" w14:paraId="481A2E3E" w14:textId="77777777">
        <w:trPr>
          <w:cantSplit/>
        </w:trPr>
        <w:tc>
          <w:tcPr>
            <w:tcW w:w="1980" w:type="dxa"/>
          </w:tcPr>
          <w:p w14:paraId="7A457CD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Li et al. (2021) | archaeal termination</w:t>
            </w:r>
          </w:p>
        </w:tc>
        <w:tc>
          <w:tcPr>
            <w:tcW w:w="1980" w:type="dxa"/>
          </w:tcPr>
          <w:p w14:paraId="56D35A3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U-tract rec</w:t>
            </w:r>
            <w:r w:rsidRPr="00D42CD6">
              <w:rPr>
                <w:rFonts w:cs="Times New Roman"/>
                <w:sz w:val="15"/>
                <w:szCs w:val="15"/>
              </w:rPr>
              <w:t>ognition by aCPSF1; 3′-end mapping and binding/function assays.</w:t>
            </w:r>
          </w:p>
        </w:tc>
        <w:tc>
          <w:tcPr>
            <w:tcW w:w="1980" w:type="dxa"/>
          </w:tcPr>
          <w:p w14:paraId="0537B6B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aCPSF1 binds U-tracts and supports termination at weak intrinsic signals.</w:t>
            </w:r>
          </w:p>
        </w:tc>
        <w:tc>
          <w:tcPr>
            <w:tcW w:w="1980" w:type="dxa"/>
          </w:tcPr>
          <w:p w14:paraId="456829D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Quantitative binding and domain effects need cautious wording.</w:t>
            </w:r>
          </w:p>
        </w:tc>
      </w:tr>
      <w:tr w:rsidR="00D42CD6" w:rsidRPr="00D42CD6" w14:paraId="30082C13" w14:textId="77777777">
        <w:trPr>
          <w:cantSplit/>
        </w:trPr>
        <w:tc>
          <w:tcPr>
            <w:tcW w:w="1980" w:type="dxa"/>
          </w:tcPr>
          <w:p w14:paraId="2F6CD42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Pilotto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and Werner (2022) | archaeal termination</w:t>
            </w:r>
          </w:p>
        </w:tc>
        <w:tc>
          <w:tcPr>
            <w:tcW w:w="1980" w:type="dxa"/>
          </w:tcPr>
          <w:p w14:paraId="7D135E3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Review of viral/host RNAP inhibition in archaea.</w:t>
            </w:r>
          </w:p>
        </w:tc>
        <w:tc>
          <w:tcPr>
            <w:tcW w:w="1980" w:type="dxa"/>
          </w:tcPr>
          <w:p w14:paraId="6B1153F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RIP and TFS4 can shut down transcription without canonical terminator motifs.</w:t>
            </w:r>
          </w:p>
        </w:tc>
        <w:tc>
          <w:tcPr>
            <w:tcW w:w="1980" w:type="dxa"/>
          </w:tcPr>
          <w:p w14:paraId="12CF269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Contextual shutdown mechanisms, not ordinary terminator signals.</w:t>
            </w:r>
          </w:p>
        </w:tc>
      </w:tr>
      <w:tr w:rsidR="00E823F4" w:rsidRPr="00D42CD6" w14:paraId="7CCE2388" w14:textId="77777777">
        <w:trPr>
          <w:cantSplit/>
        </w:trPr>
        <w:tc>
          <w:tcPr>
            <w:tcW w:w="1980" w:type="dxa"/>
          </w:tcPr>
          <w:p w14:paraId="448F97B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You et al. (2024) | archaeal termination</w:t>
            </w:r>
          </w:p>
        </w:tc>
        <w:tc>
          <w:tcPr>
            <w:tcW w:w="1980" w:type="dxa"/>
          </w:tcPr>
          <w:p w14:paraId="53BD086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Cryo-EM and cleavage m</w:t>
            </w:r>
            <w:r w:rsidRPr="00D42CD6">
              <w:rPr>
                <w:rFonts w:cs="Times New Roman"/>
                <w:sz w:val="15"/>
                <w:szCs w:val="15"/>
              </w:rPr>
              <w:t xml:space="preserve">apping of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FttA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>/aCPSF1 complexes.</w:t>
            </w:r>
          </w:p>
        </w:tc>
        <w:tc>
          <w:tcPr>
            <w:tcW w:w="1980" w:type="dxa"/>
          </w:tcPr>
          <w:p w14:paraId="15F8099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Spt5 bridges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FttA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to the elongation complex and stimulates cleavage-linked termination.</w:t>
            </w:r>
          </w:p>
        </w:tc>
        <w:tc>
          <w:tcPr>
            <w:tcW w:w="1980" w:type="dxa"/>
          </w:tcPr>
          <w:p w14:paraId="6795E70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In vitro system; similarity to Rho is functional, not identity.</w:t>
            </w:r>
          </w:p>
        </w:tc>
      </w:tr>
    </w:tbl>
    <w:p w14:paraId="3BECBBCB" w14:textId="66049CC2" w:rsidR="00D42CD6" w:rsidRDefault="00D42CD6" w:rsidP="00625AA0">
      <w:pPr>
        <w:pStyle w:val="a0"/>
        <w:spacing w:before="0" w:after="0" w:line="360" w:lineRule="auto"/>
        <w:rPr>
          <w:rFonts w:cs="Times New Roman"/>
        </w:rPr>
      </w:pPr>
      <w:bookmarkStart w:id="4" w:name="Xcf5efa456a60fb704abc731fa00dc8773b43f91"/>
      <w:bookmarkEnd w:id="3"/>
    </w:p>
    <w:p w14:paraId="16B983DE" w14:textId="1C02D51A" w:rsidR="00625AA0" w:rsidRPr="00D42CD6" w:rsidRDefault="00D42CD6" w:rsidP="00D42CD6">
      <w:pPr>
        <w:spacing w:after="200" w:line="240" w:lineRule="auto"/>
        <w:rPr>
          <w:rFonts w:cs="Times New Roman" w:hint="eastAsia"/>
        </w:rPr>
      </w:pPr>
      <w:r>
        <w:rPr>
          <w:rFonts w:cs="Times New Roman"/>
        </w:rPr>
        <w:br w:type="page"/>
      </w:r>
    </w:p>
    <w:p w14:paraId="0B3606A1" w14:textId="5BE3597B" w:rsidR="00E823F4" w:rsidRPr="00D42CD6" w:rsidRDefault="009F63D6" w:rsidP="003B0C8A">
      <w:pPr>
        <w:pStyle w:val="2"/>
        <w:spacing w:before="0" w:after="0" w:line="360" w:lineRule="auto"/>
        <w:rPr>
          <w:rFonts w:ascii="Times New Roman" w:hAnsi="Times New Roman" w:cs="Times New Roman"/>
          <w:color w:val="auto"/>
          <w:highlight w:val="yellow"/>
        </w:rPr>
      </w:pPr>
      <w:r w:rsidRPr="00D42CD6">
        <w:rPr>
          <w:rFonts w:ascii="Times New Roman" w:hAnsi="Times New Roman" w:cs="Times New Roman"/>
          <w:color w:val="auto"/>
          <w:highlight w:val="yellow"/>
        </w:rPr>
        <w:lastRenderedPageBreak/>
        <w:t>T</w:t>
      </w:r>
      <w:r w:rsidRPr="00D42CD6">
        <w:rPr>
          <w:rFonts w:ascii="Times New Roman" w:hAnsi="Times New Roman" w:cs="Times New Roman"/>
          <w:color w:val="auto"/>
          <w:highlight w:val="yellow"/>
        </w:rPr>
        <w:t xml:space="preserve">able S4. Eukaryotic nuclear </w:t>
      </w:r>
      <w:r w:rsidRPr="00D42CD6">
        <w:rPr>
          <w:rFonts w:ascii="Times New Roman" w:hAnsi="Times New Roman" w:cs="Times New Roman"/>
          <w:color w:val="auto"/>
          <w:highlight w:val="yellow"/>
        </w:rPr>
        <w:t>transcription-termination pathways and 3′-end processing</w:t>
      </w:r>
    </w:p>
    <w:p w14:paraId="32A90975" w14:textId="77777777" w:rsidR="00E823F4" w:rsidRPr="00D42CD6" w:rsidRDefault="009F63D6" w:rsidP="003B0C8A">
      <w:pPr>
        <w:pStyle w:val="FirstParagraph"/>
        <w:spacing w:before="0" w:after="0" w:line="360" w:lineRule="auto"/>
        <w:rPr>
          <w:rFonts w:cs="Times New Roman"/>
        </w:rPr>
      </w:pPr>
      <w:r w:rsidRPr="00D42CD6">
        <w:rPr>
          <w:rFonts w:cs="Times New Roman"/>
          <w:highlight w:val="yellow"/>
        </w:rPr>
        <w:t>Representative studies of PAS-centered RNAPII termination, APA, readthrough, Pol I and Pol III termination, and transcript-class-specific RNAPII pathways, organized by system, signal or evidence, mai</w:t>
      </w:r>
      <w:r w:rsidRPr="00D42CD6">
        <w:rPr>
          <w:rFonts w:cs="Times New Roman"/>
          <w:highlight w:val="yellow"/>
        </w:rPr>
        <w:t>n finding, and interpretation limit.</w:t>
      </w:r>
    </w:p>
    <w:tbl>
      <w:tblPr>
        <w:tblStyle w:val="11"/>
        <w:tblW w:w="5000" w:type="pct"/>
        <w:tblInd w:w="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240"/>
        <w:gridCol w:w="3240"/>
        <w:gridCol w:w="3240"/>
        <w:gridCol w:w="3240"/>
      </w:tblGrid>
      <w:tr w:rsidR="00D42CD6" w:rsidRPr="00D42CD6" w14:paraId="36184D51" w14:textId="77777777">
        <w:trPr>
          <w:cantSplit/>
          <w:tblHeader/>
        </w:trPr>
        <w:tc>
          <w:tcPr>
            <w:tcW w:w="1980" w:type="dxa"/>
          </w:tcPr>
          <w:p w14:paraId="19DCA57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D42CD6">
              <w:rPr>
                <w:rFonts w:cs="Times New Roman"/>
                <w:b/>
                <w:bCs/>
                <w:sz w:val="15"/>
                <w:szCs w:val="15"/>
              </w:rPr>
              <w:t>Reference and system</w:t>
            </w:r>
          </w:p>
        </w:tc>
        <w:tc>
          <w:tcPr>
            <w:tcW w:w="1980" w:type="dxa"/>
          </w:tcPr>
          <w:p w14:paraId="40C4CFE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D42CD6">
              <w:rPr>
                <w:rFonts w:cs="Times New Roman"/>
                <w:b/>
                <w:bCs/>
                <w:sz w:val="15"/>
                <w:szCs w:val="15"/>
              </w:rPr>
              <w:t>Signal and evidence</w:t>
            </w:r>
          </w:p>
        </w:tc>
        <w:tc>
          <w:tcPr>
            <w:tcW w:w="1980" w:type="dxa"/>
          </w:tcPr>
          <w:p w14:paraId="596791B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D42CD6">
              <w:rPr>
                <w:rFonts w:cs="Times New Roman"/>
                <w:b/>
                <w:bCs/>
                <w:sz w:val="15"/>
                <w:szCs w:val="15"/>
              </w:rPr>
              <w:t>Key finding</w:t>
            </w:r>
          </w:p>
        </w:tc>
        <w:tc>
          <w:tcPr>
            <w:tcW w:w="1980" w:type="dxa"/>
          </w:tcPr>
          <w:p w14:paraId="754D6B3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D42CD6">
              <w:rPr>
                <w:rFonts w:cs="Times New Roman"/>
                <w:b/>
                <w:bCs/>
                <w:sz w:val="15"/>
                <w:szCs w:val="15"/>
              </w:rPr>
              <w:t>Context and limitation</w:t>
            </w:r>
          </w:p>
        </w:tc>
      </w:tr>
      <w:tr w:rsidR="00D42CD6" w:rsidRPr="00D42CD6" w14:paraId="1C8952C3" w14:textId="77777777">
        <w:trPr>
          <w:cantSplit/>
        </w:trPr>
        <w:tc>
          <w:tcPr>
            <w:tcW w:w="1980" w:type="dxa"/>
          </w:tcPr>
          <w:p w14:paraId="5D5AF8D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Schönemann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(2014) | eukaryotic RNAPII 3′ termination</w:t>
            </w:r>
          </w:p>
        </w:tc>
        <w:tc>
          <w:tcPr>
            <w:tcW w:w="1980" w:type="dxa"/>
          </w:tcPr>
          <w:p w14:paraId="06081BF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AAUAAA recognition by reconstituted human CPSF.</w:t>
            </w:r>
          </w:p>
        </w:tc>
        <w:tc>
          <w:tcPr>
            <w:tcW w:w="1980" w:type="dxa"/>
          </w:tcPr>
          <w:p w14:paraId="00262C8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WDR33-containing CPSF is </w:t>
            </w:r>
            <w:r w:rsidRPr="00D42CD6">
              <w:rPr>
                <w:rFonts w:cs="Times New Roman"/>
                <w:sz w:val="15"/>
                <w:szCs w:val="15"/>
              </w:rPr>
              <w:t>central to PAS recognition.</w:t>
            </w:r>
          </w:p>
        </w:tc>
        <w:tc>
          <w:tcPr>
            <w:tcW w:w="1980" w:type="dxa"/>
          </w:tcPr>
          <w:p w14:paraId="5387D1D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Reconstitution does not capture full cellular regulation.</w:t>
            </w:r>
          </w:p>
        </w:tc>
      </w:tr>
      <w:tr w:rsidR="00D42CD6" w:rsidRPr="00D42CD6" w14:paraId="6D7FA2E3" w14:textId="77777777">
        <w:trPr>
          <w:cantSplit/>
        </w:trPr>
        <w:tc>
          <w:tcPr>
            <w:tcW w:w="1980" w:type="dxa"/>
          </w:tcPr>
          <w:p w14:paraId="5B38D32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Vilborg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(2015) | eukaryotic RNAPII 3′ termination</w:t>
            </w:r>
          </w:p>
        </w:tc>
        <w:tc>
          <w:tcPr>
            <w:tcW w:w="1980" w:type="dxa"/>
          </w:tcPr>
          <w:p w14:paraId="2E09C14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Stress-induced downstream-of-gene transcription in human cells.</w:t>
            </w:r>
          </w:p>
        </w:tc>
        <w:tc>
          <w:tcPr>
            <w:tcW w:w="1980" w:type="dxa"/>
          </w:tcPr>
          <w:p w14:paraId="4749BF6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Stress can induce widespread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DoG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>/readthrough tra</w:t>
            </w:r>
            <w:r w:rsidRPr="00D42CD6">
              <w:rPr>
                <w:rFonts w:cs="Times New Roman"/>
                <w:sz w:val="15"/>
                <w:szCs w:val="15"/>
              </w:rPr>
              <w:t>nscripts.</w:t>
            </w:r>
          </w:p>
        </w:tc>
        <w:tc>
          <w:tcPr>
            <w:tcW w:w="1980" w:type="dxa"/>
          </w:tcPr>
          <w:p w14:paraId="733FB13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Condition-specific; causal factor changes require follow-up.</w:t>
            </w:r>
          </w:p>
        </w:tc>
      </w:tr>
      <w:tr w:rsidR="00D42CD6" w:rsidRPr="00D42CD6" w14:paraId="71254576" w14:textId="77777777">
        <w:trPr>
          <w:cantSplit/>
        </w:trPr>
        <w:tc>
          <w:tcPr>
            <w:tcW w:w="1980" w:type="dxa"/>
          </w:tcPr>
          <w:p w14:paraId="5498D8F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Tian and Manley (2017) | eukaryotic RNAPII 3′ termination</w:t>
            </w:r>
          </w:p>
        </w:tc>
        <w:tc>
          <w:tcPr>
            <w:tcW w:w="1980" w:type="dxa"/>
          </w:tcPr>
          <w:p w14:paraId="06C8A1B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Review of APA and PAS choice.</w:t>
            </w:r>
          </w:p>
        </w:tc>
        <w:tc>
          <w:tcPr>
            <w:tcW w:w="1980" w:type="dxa"/>
          </w:tcPr>
          <w:p w14:paraId="59F0105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APA diversifies isoforms, often through 3′ UTR changes.</w:t>
            </w:r>
          </w:p>
        </w:tc>
        <w:tc>
          <w:tcPr>
            <w:tcW w:w="1980" w:type="dxa"/>
          </w:tcPr>
          <w:p w14:paraId="69AEC76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Conceptual synthesis, not primary </w:t>
            </w:r>
            <w:r w:rsidRPr="00D42CD6">
              <w:rPr>
                <w:rFonts w:cs="Times New Roman"/>
                <w:sz w:val="15"/>
                <w:szCs w:val="15"/>
              </w:rPr>
              <w:t>quantitative evidence.</w:t>
            </w:r>
          </w:p>
        </w:tc>
      </w:tr>
      <w:tr w:rsidR="00D42CD6" w:rsidRPr="00D42CD6" w14:paraId="5BFA180A" w14:textId="77777777">
        <w:trPr>
          <w:cantSplit/>
        </w:trPr>
        <w:tc>
          <w:tcPr>
            <w:tcW w:w="1980" w:type="dxa"/>
          </w:tcPr>
          <w:p w14:paraId="3DE6A7C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Neve et al. (2017) | eukaryotic RNAPII 3′ termination</w:t>
            </w:r>
          </w:p>
        </w:tc>
        <w:tc>
          <w:tcPr>
            <w:tcW w:w="1980" w:type="dxa"/>
          </w:tcPr>
          <w:p w14:paraId="54BFEE3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Review of PAS elements and CPA machinery.</w:t>
            </w:r>
          </w:p>
        </w:tc>
        <w:tc>
          <w:tcPr>
            <w:tcW w:w="1980" w:type="dxa"/>
          </w:tcPr>
          <w:p w14:paraId="6221804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Cleavage/polyadenylation couples 3′-end formation to RNAPII termination.</w:t>
            </w:r>
          </w:p>
        </w:tc>
        <w:tc>
          <w:tcPr>
            <w:tcW w:w="1980" w:type="dxa"/>
          </w:tcPr>
          <w:p w14:paraId="3A43F42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Conceptual synthesis rather than primary structural evidence.</w:t>
            </w:r>
          </w:p>
        </w:tc>
      </w:tr>
      <w:tr w:rsidR="00D42CD6" w:rsidRPr="00D42CD6" w14:paraId="7048E93A" w14:textId="77777777">
        <w:trPr>
          <w:cantSplit/>
        </w:trPr>
        <w:tc>
          <w:tcPr>
            <w:tcW w:w="1980" w:type="dxa"/>
          </w:tcPr>
          <w:p w14:paraId="2479275A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Baejen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(2017) | eukaryotic RNAPII 3′ termination</w:t>
            </w:r>
          </w:p>
        </w:tc>
        <w:tc>
          <w:tcPr>
            <w:tcW w:w="1980" w:type="dxa"/>
          </w:tcPr>
          <w:p w14:paraId="56E77AD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Yeast genome-wide analysis of Spt5 and Rat1/Xrn2-dependent termination.</w:t>
            </w:r>
          </w:p>
        </w:tc>
        <w:tc>
          <w:tcPr>
            <w:tcW w:w="1980" w:type="dxa"/>
          </w:tcPr>
          <w:p w14:paraId="096161F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Spt5 contributes to the transition from elongation to termination.</w:t>
            </w:r>
          </w:p>
        </w:tc>
        <w:tc>
          <w:tcPr>
            <w:tcW w:w="1980" w:type="dxa"/>
          </w:tcPr>
          <w:p w14:paraId="77F7962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Yeast occupancy metrics do not directly define human PAS-asso</w:t>
            </w:r>
            <w:r w:rsidRPr="00D42CD6">
              <w:rPr>
                <w:rFonts w:cs="Times New Roman"/>
                <w:sz w:val="15"/>
                <w:szCs w:val="15"/>
                <w:highlight w:val="yellow"/>
              </w:rPr>
              <w:t>ciated sequence organization.</w:t>
            </w:r>
          </w:p>
        </w:tc>
      </w:tr>
      <w:tr w:rsidR="00D42CD6" w:rsidRPr="00D42CD6" w14:paraId="1C311727" w14:textId="77777777">
        <w:trPr>
          <w:cantSplit/>
        </w:trPr>
        <w:tc>
          <w:tcPr>
            <w:tcW w:w="1980" w:type="dxa"/>
          </w:tcPr>
          <w:p w14:paraId="38284EC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Clerici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(2017) | eukaryotic RNAPII 3′ termination</w:t>
            </w:r>
          </w:p>
        </w:tc>
        <w:tc>
          <w:tcPr>
            <w:tcW w:w="1980" w:type="dxa"/>
          </w:tcPr>
          <w:p w14:paraId="7D631A1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Structural/biochemical assembly of human CPA around AAUAAA.</w:t>
            </w:r>
          </w:p>
        </w:tc>
        <w:tc>
          <w:tcPr>
            <w:tcW w:w="1980" w:type="dxa"/>
          </w:tcPr>
          <w:p w14:paraId="5DED7AA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Clarified CPSF organization during PAS recognition.</w:t>
            </w:r>
          </w:p>
        </w:tc>
        <w:tc>
          <w:tcPr>
            <w:tcW w:w="1980" w:type="dxa"/>
          </w:tcPr>
          <w:p w14:paraId="7A86B09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Cellular regulation requires </w:t>
            </w:r>
            <w:r w:rsidRPr="00D42CD6">
              <w:rPr>
                <w:rFonts w:cs="Times New Roman"/>
                <w:sz w:val="15"/>
                <w:szCs w:val="15"/>
              </w:rPr>
              <w:t>endogenous-locus evidence.</w:t>
            </w:r>
          </w:p>
        </w:tc>
      </w:tr>
      <w:tr w:rsidR="00D42CD6" w:rsidRPr="00D42CD6" w14:paraId="230D0B1D" w14:textId="77777777">
        <w:trPr>
          <w:cantSplit/>
        </w:trPr>
        <w:tc>
          <w:tcPr>
            <w:tcW w:w="1980" w:type="dxa"/>
          </w:tcPr>
          <w:p w14:paraId="2251F08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Sun et al. (2018) | eukaryotic RNAPII 3′ termination</w:t>
            </w:r>
          </w:p>
        </w:tc>
        <w:tc>
          <w:tcPr>
            <w:tcW w:w="1980" w:type="dxa"/>
          </w:tcPr>
          <w:p w14:paraId="3C85888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Cryo-EM and biochemical PAS recognition by CPSF.</w:t>
            </w:r>
          </w:p>
        </w:tc>
        <w:tc>
          <w:tcPr>
            <w:tcW w:w="1980" w:type="dxa"/>
          </w:tcPr>
          <w:p w14:paraId="69D40EF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WDR33 and CPSF30 directly recognize AAUAAA.</w:t>
            </w:r>
          </w:p>
        </w:tc>
        <w:tc>
          <w:tcPr>
            <w:tcW w:w="1980" w:type="dxa"/>
          </w:tcPr>
          <w:p w14:paraId="074FFF9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Structural recognition does not alone establish cellular release.</w:t>
            </w:r>
          </w:p>
        </w:tc>
      </w:tr>
      <w:tr w:rsidR="00D42CD6" w:rsidRPr="00D42CD6" w14:paraId="303A59FF" w14:textId="77777777">
        <w:trPr>
          <w:cantSplit/>
        </w:trPr>
        <w:tc>
          <w:tcPr>
            <w:tcW w:w="1980" w:type="dxa"/>
          </w:tcPr>
          <w:p w14:paraId="4670276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Wang et </w:t>
            </w:r>
            <w:r w:rsidRPr="00D42CD6">
              <w:rPr>
                <w:rFonts w:cs="Times New Roman"/>
                <w:sz w:val="15"/>
                <w:szCs w:val="15"/>
              </w:rPr>
              <w:t>al. (2018) | eukaryotic RNAPII 3′ termination</w:t>
            </w:r>
          </w:p>
        </w:tc>
        <w:tc>
          <w:tcPr>
            <w:tcW w:w="1980" w:type="dxa"/>
          </w:tcPr>
          <w:p w14:paraId="57A4B2B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PolyA_DB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3 atlas of 3′-sequencing cleavage and poly(A) sites.</w:t>
            </w:r>
          </w:p>
        </w:tc>
        <w:tc>
          <w:tcPr>
            <w:tcW w:w="1980" w:type="dxa"/>
          </w:tcPr>
          <w:p w14:paraId="646A2DCA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Provides curated PAS, 3′ UTR, APA, and sample metadata.</w:t>
            </w:r>
          </w:p>
        </w:tc>
        <w:tc>
          <w:tcPr>
            <w:tcW w:w="1980" w:type="dxa"/>
          </w:tcPr>
          <w:p w14:paraId="586B878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Atlas labels are not direct mechanistic evidence.</w:t>
            </w:r>
          </w:p>
        </w:tc>
      </w:tr>
      <w:tr w:rsidR="00D42CD6" w:rsidRPr="00D42CD6" w14:paraId="16263553" w14:textId="77777777">
        <w:trPr>
          <w:cantSplit/>
        </w:trPr>
        <w:tc>
          <w:tcPr>
            <w:tcW w:w="1980" w:type="dxa"/>
          </w:tcPr>
          <w:p w14:paraId="499B685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Clerici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(2018) | eukaryotic RNAPII</w:t>
            </w:r>
            <w:r w:rsidRPr="00D42CD6">
              <w:rPr>
                <w:rFonts w:cs="Times New Roman"/>
                <w:sz w:val="15"/>
                <w:szCs w:val="15"/>
              </w:rPr>
              <w:t xml:space="preserve"> 3′ termination</w:t>
            </w:r>
          </w:p>
        </w:tc>
        <w:tc>
          <w:tcPr>
            <w:tcW w:w="1980" w:type="dxa"/>
          </w:tcPr>
          <w:p w14:paraId="69FE061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Structural analysis of AAUAAA recognition by human CPSF.</w:t>
            </w:r>
          </w:p>
        </w:tc>
        <w:tc>
          <w:tcPr>
            <w:tcW w:w="1980" w:type="dxa"/>
          </w:tcPr>
          <w:p w14:paraId="513C038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Explains canonical PAS specificity.</w:t>
            </w:r>
          </w:p>
        </w:tc>
        <w:tc>
          <w:tcPr>
            <w:tcW w:w="1980" w:type="dxa"/>
          </w:tcPr>
          <w:p w14:paraId="065F6EB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Noncanonical PAS effects require sequence-function evidence.</w:t>
            </w:r>
          </w:p>
        </w:tc>
      </w:tr>
      <w:tr w:rsidR="00D42CD6" w:rsidRPr="00D42CD6" w14:paraId="579DAB50" w14:textId="77777777">
        <w:trPr>
          <w:cantSplit/>
        </w:trPr>
        <w:tc>
          <w:tcPr>
            <w:tcW w:w="1980" w:type="dxa"/>
          </w:tcPr>
          <w:p w14:paraId="52D86D6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Eaton and West (2018) | eukaryotic RNAPII 3′ termination</w:t>
            </w:r>
          </w:p>
        </w:tc>
        <w:tc>
          <w:tcPr>
            <w:tcW w:w="1980" w:type="dxa"/>
          </w:tcPr>
          <w:p w14:paraId="53E9970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Review of Xrn2/Rat1 torpedo </w:t>
            </w:r>
            <w:r w:rsidRPr="00D42CD6">
              <w:rPr>
                <w:rFonts w:cs="Times New Roman"/>
                <w:sz w:val="15"/>
                <w:szCs w:val="15"/>
              </w:rPr>
              <w:t>termination.</w:t>
            </w:r>
          </w:p>
        </w:tc>
        <w:tc>
          <w:tcPr>
            <w:tcW w:w="1980" w:type="dxa"/>
          </w:tcPr>
          <w:p w14:paraId="4353D17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Cleavage exposes downstream RNA to exonuclease-driven release.</w:t>
            </w:r>
          </w:p>
        </w:tc>
        <w:tc>
          <w:tcPr>
            <w:tcW w:w="1980" w:type="dxa"/>
          </w:tcPr>
          <w:p w14:paraId="0198A27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Mechanistic claims need primary-study support.</w:t>
            </w:r>
          </w:p>
        </w:tc>
      </w:tr>
      <w:tr w:rsidR="00D42CD6" w:rsidRPr="00D42CD6" w14:paraId="1E4271F0" w14:textId="77777777">
        <w:trPr>
          <w:cantSplit/>
        </w:trPr>
        <w:tc>
          <w:tcPr>
            <w:tcW w:w="1980" w:type="dxa"/>
          </w:tcPr>
          <w:p w14:paraId="56C1EE1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Mayr (2019) | eukaryotic RNAPII 3′ termination</w:t>
            </w:r>
          </w:p>
        </w:tc>
        <w:tc>
          <w:tcPr>
            <w:tcW w:w="1980" w:type="dxa"/>
          </w:tcPr>
          <w:p w14:paraId="68D8898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Review of APA and 3′ UTR functions.</w:t>
            </w:r>
          </w:p>
        </w:tc>
        <w:tc>
          <w:tcPr>
            <w:tcW w:w="1980" w:type="dxa"/>
          </w:tcPr>
          <w:p w14:paraId="561FF1D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APA changes </w:t>
            </w:r>
            <w:r w:rsidRPr="00D42CD6">
              <w:rPr>
                <w:rFonts w:cs="Times New Roman"/>
                <w:sz w:val="15"/>
                <w:szCs w:val="15"/>
              </w:rPr>
              <w:t>post-transcriptional regulation beyond cleavage choice.</w:t>
            </w:r>
          </w:p>
        </w:tc>
        <w:tc>
          <w:tcPr>
            <w:tcW w:w="1980" w:type="dxa"/>
          </w:tcPr>
          <w:p w14:paraId="228D354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Not primary evidence for termination mechanism.</w:t>
            </w:r>
          </w:p>
        </w:tc>
      </w:tr>
      <w:tr w:rsidR="00D42CD6" w:rsidRPr="00D42CD6" w14:paraId="203BD419" w14:textId="77777777">
        <w:trPr>
          <w:cantSplit/>
        </w:trPr>
        <w:tc>
          <w:tcPr>
            <w:tcW w:w="1980" w:type="dxa"/>
          </w:tcPr>
          <w:p w14:paraId="7619C90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Kumar et al. (2019) | eukaryotic RNAPII 3′ termination</w:t>
            </w:r>
          </w:p>
        </w:tc>
        <w:tc>
          <w:tcPr>
            <w:tcW w:w="1980" w:type="dxa"/>
          </w:tcPr>
          <w:p w14:paraId="5642A86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Review of PAS elements and CPA complexes.</w:t>
            </w:r>
          </w:p>
        </w:tc>
        <w:tc>
          <w:tcPr>
            <w:tcW w:w="1980" w:type="dxa"/>
          </w:tcPr>
          <w:p w14:paraId="564439F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CPA integrates PAS and flanking-element recognition fo</w:t>
            </w:r>
            <w:r w:rsidRPr="00D42CD6">
              <w:rPr>
                <w:rFonts w:cs="Times New Roman"/>
                <w:sz w:val="15"/>
                <w:szCs w:val="15"/>
              </w:rPr>
              <w:t>r 3′-end processing.</w:t>
            </w:r>
          </w:p>
        </w:tc>
        <w:tc>
          <w:tcPr>
            <w:tcW w:w="1980" w:type="dxa"/>
          </w:tcPr>
          <w:p w14:paraId="127150F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Primary structural claims need original studies.</w:t>
            </w:r>
          </w:p>
        </w:tc>
      </w:tr>
      <w:tr w:rsidR="00D42CD6" w:rsidRPr="00D42CD6" w14:paraId="1AB940FB" w14:textId="77777777">
        <w:trPr>
          <w:cantSplit/>
        </w:trPr>
        <w:tc>
          <w:tcPr>
            <w:tcW w:w="1980" w:type="dxa"/>
          </w:tcPr>
          <w:p w14:paraId="324477A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Zhu et al. (2020) | eukaryotic RNAPII 3′ termination</w:t>
            </w:r>
          </w:p>
        </w:tc>
        <w:tc>
          <w:tcPr>
            <w:tcW w:w="1980" w:type="dxa"/>
          </w:tcPr>
          <w:p w14:paraId="07B03BA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PlantAPAdb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atlas of plant PAS/APA sites.</w:t>
            </w:r>
          </w:p>
        </w:tc>
        <w:tc>
          <w:tcPr>
            <w:tcW w:w="1980" w:type="dxa"/>
          </w:tcPr>
          <w:p w14:paraId="0EEE6A8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Provides poly(A)-site, 3′ UTR, and tissue/species annotations.</w:t>
            </w:r>
          </w:p>
        </w:tc>
        <w:tc>
          <w:tcPr>
            <w:tcW w:w="1980" w:type="dxa"/>
          </w:tcPr>
          <w:p w14:paraId="6B78F76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Resource labels are not dire</w:t>
            </w:r>
            <w:r w:rsidRPr="00D42CD6">
              <w:rPr>
                <w:rFonts w:cs="Times New Roman"/>
                <w:sz w:val="15"/>
                <w:szCs w:val="15"/>
              </w:rPr>
              <w:t>ct mechanism evidence.</w:t>
            </w:r>
          </w:p>
        </w:tc>
      </w:tr>
      <w:tr w:rsidR="00D42CD6" w:rsidRPr="00D42CD6" w14:paraId="5439FB80" w14:textId="77777777">
        <w:trPr>
          <w:cantSplit/>
        </w:trPr>
        <w:tc>
          <w:tcPr>
            <w:tcW w:w="1980" w:type="dxa"/>
          </w:tcPr>
          <w:p w14:paraId="4FFEA6F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Herrmann et al. (2020) | eukaryotic RNAPII 3′ termination</w:t>
            </w:r>
          </w:p>
        </w:tc>
        <w:tc>
          <w:tcPr>
            <w:tcW w:w="1980" w:type="dxa"/>
          </w:tcPr>
          <w:p w14:paraId="77590E8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PolyASite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2.0 multi-species poly(A)-site atlas.</w:t>
            </w:r>
          </w:p>
        </w:tc>
        <w:tc>
          <w:tcPr>
            <w:tcW w:w="1980" w:type="dxa"/>
          </w:tcPr>
          <w:p w14:paraId="2E8F29F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Consolidates 3′-sequencing site and sample annotations.</w:t>
            </w:r>
          </w:p>
        </w:tc>
        <w:tc>
          <w:tcPr>
            <w:tcW w:w="1980" w:type="dxa"/>
          </w:tcPr>
          <w:p w14:paraId="454A736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Does not establish individual-site function.</w:t>
            </w:r>
          </w:p>
        </w:tc>
      </w:tr>
      <w:tr w:rsidR="00D42CD6" w:rsidRPr="00D42CD6" w14:paraId="7345F4E4" w14:textId="77777777">
        <w:trPr>
          <w:cantSplit/>
        </w:trPr>
        <w:tc>
          <w:tcPr>
            <w:tcW w:w="1980" w:type="dxa"/>
          </w:tcPr>
          <w:p w14:paraId="4F72497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Vainberg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Slutskin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</w:t>
            </w:r>
            <w:r w:rsidRPr="00D42CD6">
              <w:rPr>
                <w:rFonts w:cs="Times New Roman"/>
                <w:sz w:val="15"/>
                <w:szCs w:val="15"/>
              </w:rPr>
              <w:t> (2019) | eukaryotic RNAPII 3′ termination</w:t>
            </w:r>
          </w:p>
        </w:tc>
        <w:tc>
          <w:tcPr>
            <w:tcW w:w="1980" w:type="dxa"/>
          </w:tcPr>
          <w:p w14:paraId="6E7976FA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Massively parallel PAS reporter assay.</w:t>
            </w:r>
          </w:p>
        </w:tc>
        <w:tc>
          <w:tcPr>
            <w:tcW w:w="1980" w:type="dxa"/>
          </w:tcPr>
          <w:p w14:paraId="44D654B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Local sequence context tunes polyadenylation-mediated expression.</w:t>
            </w:r>
          </w:p>
        </w:tc>
        <w:tc>
          <w:tcPr>
            <w:tcW w:w="1980" w:type="dxa"/>
          </w:tcPr>
          <w:p w14:paraId="6D7D197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Reporter context does not capture chromatin-coupled termination.</w:t>
            </w:r>
          </w:p>
        </w:tc>
      </w:tr>
      <w:tr w:rsidR="00D42CD6" w:rsidRPr="00D42CD6" w14:paraId="6EE45D8F" w14:textId="77777777">
        <w:trPr>
          <w:cantSplit/>
        </w:trPr>
        <w:tc>
          <w:tcPr>
            <w:tcW w:w="1980" w:type="dxa"/>
          </w:tcPr>
          <w:p w14:paraId="5DD0BDC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lastRenderedPageBreak/>
              <w:t xml:space="preserve">Yu et al. (2019) | eukaryotic RNAPII 3′ </w:t>
            </w:r>
            <w:r w:rsidRPr="00D42CD6">
              <w:rPr>
                <w:rFonts w:cs="Times New Roman"/>
                <w:sz w:val="15"/>
                <w:szCs w:val="15"/>
              </w:rPr>
              <w:t>termination</w:t>
            </w:r>
          </w:p>
        </w:tc>
        <w:tc>
          <w:tcPr>
            <w:tcW w:w="1980" w:type="dxa"/>
          </w:tcPr>
          <w:p w14:paraId="2C0E156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FY-mutant transcriptome analysis in plants.</w:t>
            </w:r>
          </w:p>
        </w:tc>
        <w:tc>
          <w:tcPr>
            <w:tcW w:w="1980" w:type="dxa"/>
          </w:tcPr>
          <w:p w14:paraId="3357BF2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FY contributes to plant APA and PAS choice.</w:t>
            </w:r>
          </w:p>
        </w:tc>
        <w:tc>
          <w:tcPr>
            <w:tcW w:w="1980" w:type="dxa"/>
          </w:tcPr>
          <w:p w14:paraId="484DE20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Plant-specific; mammalian extrapolation is limited.</w:t>
            </w:r>
          </w:p>
        </w:tc>
      </w:tr>
      <w:tr w:rsidR="00D42CD6" w:rsidRPr="00D42CD6" w14:paraId="4F87AC3D" w14:textId="77777777">
        <w:trPr>
          <w:cantSplit/>
        </w:trPr>
        <w:tc>
          <w:tcPr>
            <w:tcW w:w="1980" w:type="dxa"/>
          </w:tcPr>
          <w:p w14:paraId="49E63A4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Sun et al. (2020) | eukaryotic RNAPII 3′ termination</w:t>
            </w:r>
          </w:p>
        </w:tc>
        <w:tc>
          <w:tcPr>
            <w:tcW w:w="1980" w:type="dxa"/>
          </w:tcPr>
          <w:p w14:paraId="20575F7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Review of canonical CPA structure and function.</w:t>
            </w:r>
          </w:p>
        </w:tc>
        <w:tc>
          <w:tcPr>
            <w:tcW w:w="1980" w:type="dxa"/>
          </w:tcPr>
          <w:p w14:paraId="52F6E4C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Su</w:t>
            </w:r>
            <w:r w:rsidRPr="00D42CD6">
              <w:rPr>
                <w:rFonts w:cs="Times New Roman"/>
                <w:sz w:val="15"/>
                <w:szCs w:val="15"/>
              </w:rPr>
              <w:t>mmarizes PAS recognition and cleavage mechanisms.</w:t>
            </w:r>
          </w:p>
        </w:tc>
        <w:tc>
          <w:tcPr>
            <w:tcW w:w="1980" w:type="dxa"/>
          </w:tcPr>
          <w:p w14:paraId="64B359C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Use primary studies for specific mechanisms.</w:t>
            </w:r>
          </w:p>
        </w:tc>
      </w:tr>
      <w:tr w:rsidR="00D42CD6" w:rsidRPr="00D42CD6" w14:paraId="599FDC7C" w14:textId="77777777">
        <w:trPr>
          <w:cantSplit/>
        </w:trPr>
        <w:tc>
          <w:tcPr>
            <w:tcW w:w="1980" w:type="dxa"/>
          </w:tcPr>
          <w:p w14:paraId="22E7798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Eaton and West (2020) | eukaryotic RNAPII 3′ termination</w:t>
            </w:r>
          </w:p>
        </w:tc>
        <w:tc>
          <w:tcPr>
            <w:tcW w:w="1980" w:type="dxa"/>
          </w:tcPr>
          <w:p w14:paraId="252EE47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Review of RNAPII torpedo and allosteric termination models.</w:t>
            </w:r>
          </w:p>
        </w:tc>
        <w:tc>
          <w:tcPr>
            <w:tcW w:w="1980" w:type="dxa"/>
          </w:tcPr>
          <w:p w14:paraId="12FEDB8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Termination is coupled to processing and ca</w:t>
            </w:r>
            <w:r w:rsidRPr="00D42CD6">
              <w:rPr>
                <w:rFonts w:cs="Times New Roman"/>
                <w:sz w:val="15"/>
                <w:szCs w:val="15"/>
              </w:rPr>
              <w:t>n involve multiple mechanisms.</w:t>
            </w:r>
          </w:p>
        </w:tc>
        <w:tc>
          <w:tcPr>
            <w:tcW w:w="1980" w:type="dxa"/>
          </w:tcPr>
          <w:p w14:paraId="5638BC6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Conceptual framing, not primary evidence.</w:t>
            </w:r>
          </w:p>
        </w:tc>
      </w:tr>
      <w:tr w:rsidR="00D42CD6" w:rsidRPr="00D42CD6" w14:paraId="106E1BD4" w14:textId="77777777">
        <w:trPr>
          <w:cantSplit/>
        </w:trPr>
        <w:tc>
          <w:tcPr>
            <w:tcW w:w="1980" w:type="dxa"/>
          </w:tcPr>
          <w:p w14:paraId="64DA559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Yang et al. (2021) | eukaryotic RNAPII 3′ termination</w:t>
            </w:r>
          </w:p>
        </w:tc>
        <w:tc>
          <w:tcPr>
            <w:tcW w:w="1980" w:type="dxa"/>
          </w:tcPr>
          <w:p w14:paraId="2711715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Review of plant co-transcriptional 3′-end processing.</w:t>
            </w:r>
          </w:p>
        </w:tc>
        <w:tc>
          <w:tcPr>
            <w:tcW w:w="1980" w:type="dxa"/>
          </w:tcPr>
          <w:p w14:paraId="633521D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Plant PAS processing is coordinated with RNAPII.</w:t>
            </w:r>
          </w:p>
        </w:tc>
        <w:tc>
          <w:tcPr>
            <w:tcW w:w="1980" w:type="dxa"/>
          </w:tcPr>
          <w:p w14:paraId="08611BA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Broad mechanism and </w:t>
            </w:r>
            <w:r w:rsidRPr="00D42CD6">
              <w:rPr>
                <w:rFonts w:cs="Times New Roman"/>
                <w:sz w:val="15"/>
                <w:szCs w:val="15"/>
              </w:rPr>
              <w:t>LLPS claims need primary support.</w:t>
            </w:r>
          </w:p>
        </w:tc>
      </w:tr>
      <w:tr w:rsidR="00D42CD6" w:rsidRPr="00D42CD6" w14:paraId="3DBEC7C3" w14:textId="77777777">
        <w:trPr>
          <w:cantSplit/>
        </w:trPr>
        <w:tc>
          <w:tcPr>
            <w:tcW w:w="1980" w:type="dxa"/>
          </w:tcPr>
          <w:p w14:paraId="6B2E3EC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Rosa-Mercado and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Steitz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(2022) | eukaryotic RNAPII 3′ termination</w:t>
            </w:r>
          </w:p>
        </w:tc>
        <w:tc>
          <w:tcPr>
            <w:tcW w:w="1980" w:type="dxa"/>
          </w:tcPr>
          <w:p w14:paraId="682C0D7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Review of stress-induced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DoG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>/readthrough transcription.</w:t>
            </w:r>
          </w:p>
        </w:tc>
        <w:tc>
          <w:tcPr>
            <w:tcW w:w="1980" w:type="dxa"/>
          </w:tcPr>
          <w:p w14:paraId="7D0CB97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Stress can induce downstream-of-gene transcripts.</w:t>
            </w:r>
          </w:p>
        </w:tc>
        <w:tc>
          <w:tcPr>
            <w:tcW w:w="1980" w:type="dxa"/>
          </w:tcPr>
          <w:p w14:paraId="6C34B98A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Proposed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DoG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functions need perturbation evidence</w:t>
            </w:r>
            <w:r w:rsidRPr="00D42CD6">
              <w:rPr>
                <w:rFonts w:cs="Times New Roman"/>
                <w:sz w:val="15"/>
                <w:szCs w:val="15"/>
              </w:rPr>
              <w:t>.</w:t>
            </w:r>
          </w:p>
        </w:tc>
      </w:tr>
      <w:tr w:rsidR="00D42CD6" w:rsidRPr="00D42CD6" w14:paraId="041C3D6D" w14:textId="77777777">
        <w:trPr>
          <w:cantSplit/>
        </w:trPr>
        <w:tc>
          <w:tcPr>
            <w:tcW w:w="1980" w:type="dxa"/>
          </w:tcPr>
          <w:p w14:paraId="5B025B9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Han et al. (2023) | eukaryotic RNAPII 3′ termination</w:t>
            </w:r>
          </w:p>
        </w:tc>
        <w:tc>
          <w:tcPr>
            <w:tcW w:w="1980" w:type="dxa"/>
          </w:tcPr>
          <w:p w14:paraId="0480318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T-rich DNA elements and cleavage-independent RNAPII termination.</w:t>
            </w:r>
          </w:p>
        </w:tc>
        <w:tc>
          <w:tcPr>
            <w:tcW w:w="1980" w:type="dxa"/>
          </w:tcPr>
          <w:p w14:paraId="44F7FB8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T-rich sequences can direct termination outside canonical CPA.</w:t>
            </w:r>
          </w:p>
        </w:tc>
        <w:tc>
          <w:tcPr>
            <w:tcW w:w="1980" w:type="dxa"/>
          </w:tcPr>
          <w:p w14:paraId="787A3A5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Generality relative to PAS/Xrn2 requires validation.</w:t>
            </w:r>
          </w:p>
        </w:tc>
      </w:tr>
      <w:tr w:rsidR="00D42CD6" w:rsidRPr="00D42CD6" w14:paraId="2775DCB2" w14:textId="77777777">
        <w:trPr>
          <w:cantSplit/>
        </w:trPr>
        <w:tc>
          <w:tcPr>
            <w:tcW w:w="1980" w:type="dxa"/>
          </w:tcPr>
          <w:p w14:paraId="4A6D25C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Rodríguez-Molina e</w:t>
            </w:r>
            <w:r w:rsidRPr="00D42CD6">
              <w:rPr>
                <w:rFonts w:cs="Times New Roman"/>
                <w:sz w:val="15"/>
                <w:szCs w:val="15"/>
              </w:rPr>
              <w:t>t al. (2023) | eukaryotic RNAPII 3′ termination</w:t>
            </w:r>
          </w:p>
        </w:tc>
        <w:tc>
          <w:tcPr>
            <w:tcW w:w="1980" w:type="dxa"/>
          </w:tcPr>
          <w:p w14:paraId="584F69C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Review of PAS-dependent and factor-coupled RNAPII termination.</w:t>
            </w:r>
          </w:p>
        </w:tc>
        <w:tc>
          <w:tcPr>
            <w:tcW w:w="1980" w:type="dxa"/>
          </w:tcPr>
          <w:p w14:paraId="799A0EB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Protein-coding-gene termination is coordinated with 3′-end processing.</w:t>
            </w:r>
          </w:p>
        </w:tc>
        <w:tc>
          <w:tcPr>
            <w:tcW w:w="1980" w:type="dxa"/>
          </w:tcPr>
          <w:p w14:paraId="2633ACB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Conceptual synthesis; use primary mechanism studies.</w:t>
            </w:r>
          </w:p>
        </w:tc>
      </w:tr>
      <w:tr w:rsidR="00D42CD6" w:rsidRPr="00D42CD6" w14:paraId="40B65BBF" w14:textId="77777777">
        <w:trPr>
          <w:cantSplit/>
        </w:trPr>
        <w:tc>
          <w:tcPr>
            <w:tcW w:w="1980" w:type="dxa"/>
          </w:tcPr>
          <w:p w14:paraId="6FA067F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Davidson et al. (202</w:t>
            </w:r>
            <w:r w:rsidRPr="00D42CD6">
              <w:rPr>
                <w:rFonts w:cs="Times New Roman"/>
                <w:sz w:val="15"/>
                <w:szCs w:val="15"/>
              </w:rPr>
              <w:t>4) | eukaryotic RNAPII 3′ termination</w:t>
            </w:r>
          </w:p>
        </w:tc>
        <w:tc>
          <w:tcPr>
            <w:tcW w:w="1980" w:type="dxa"/>
          </w:tcPr>
          <w:p w14:paraId="77C042C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Genomic and mechanistic tests of DNA T-rich termination elements.</w:t>
            </w:r>
          </w:p>
        </w:tc>
        <w:tc>
          <w:tcPr>
            <w:tcW w:w="1980" w:type="dxa"/>
          </w:tcPr>
          <w:p w14:paraId="25CE5EA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Mammalian RNAPII can terminate at DNA-encoded T-rich signals.</w:t>
            </w:r>
          </w:p>
        </w:tc>
        <w:tc>
          <w:tcPr>
            <w:tcW w:w="1980" w:type="dxa"/>
          </w:tcPr>
          <w:p w14:paraId="7911F37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Scope and contribution relative to CPA/Xrn2 remain to be defined.</w:t>
            </w:r>
          </w:p>
        </w:tc>
      </w:tr>
      <w:tr w:rsidR="00D42CD6" w:rsidRPr="00D42CD6" w14:paraId="7ED58393" w14:textId="77777777">
        <w:trPr>
          <w:cantSplit/>
        </w:trPr>
        <w:tc>
          <w:tcPr>
            <w:tcW w:w="1980" w:type="dxa"/>
          </w:tcPr>
          <w:p w14:paraId="2EEA92B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Caldas et </w:t>
            </w:r>
            <w:r w:rsidRPr="00D42CD6">
              <w:rPr>
                <w:rFonts w:cs="Times New Roman"/>
                <w:sz w:val="15"/>
                <w:szCs w:val="15"/>
              </w:rPr>
              <w:t>al. (2024) | eukaryotic RNAPII 3′ termination</w:t>
            </w:r>
          </w:p>
        </w:tc>
        <w:tc>
          <w:tcPr>
            <w:tcW w:w="1980" w:type="dxa"/>
          </w:tcPr>
          <w:p w14:paraId="780B58A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Healthy-human-tissue atlas of downstream readthrough RNA.</w:t>
            </w:r>
          </w:p>
        </w:tc>
        <w:tc>
          <w:tcPr>
            <w:tcW w:w="1980" w:type="dxa"/>
          </w:tcPr>
          <w:p w14:paraId="66543D1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Readthrough is prevalent and associates with tissue and genomic features.</w:t>
            </w:r>
          </w:p>
        </w:tc>
        <w:tc>
          <w:tcPr>
            <w:tcW w:w="1980" w:type="dxa"/>
          </w:tcPr>
          <w:p w14:paraId="48B9113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Observational atlas does not establish causality.</w:t>
            </w:r>
          </w:p>
        </w:tc>
      </w:tr>
      <w:tr w:rsidR="00D42CD6" w:rsidRPr="00D42CD6" w14:paraId="62182BE9" w14:textId="77777777">
        <w:trPr>
          <w:cantSplit/>
        </w:trPr>
        <w:tc>
          <w:tcPr>
            <w:tcW w:w="1980" w:type="dxa"/>
          </w:tcPr>
          <w:p w14:paraId="6025AB7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 xml:space="preserve">Nielsen et </w:t>
            </w:r>
            <w:r w:rsidRPr="00D42CD6">
              <w:rPr>
                <w:rFonts w:cs="Times New Roman"/>
                <w:sz w:val="15"/>
                <w:szCs w:val="15"/>
                <w:highlight w:val="yellow"/>
              </w:rPr>
              <w:t>al. (2025) | eukaryotic Pol I termination</w:t>
            </w:r>
          </w:p>
        </w:tc>
        <w:tc>
          <w:tcPr>
            <w:tcW w:w="1980" w:type="dxa"/>
          </w:tcPr>
          <w:p w14:paraId="2030DBD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Defined-scaffold release assays; with/without upstream hairpin</w:t>
            </w:r>
          </w:p>
        </w:tc>
        <w:tc>
          <w:tcPr>
            <w:tcW w:w="1980" w:type="dxa"/>
          </w:tcPr>
          <w:p w14:paraId="0D6D88A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Conserved pre-rRNA hairpin required for efficient Pol I release</w:t>
            </w:r>
          </w:p>
        </w:tc>
        <w:tc>
          <w:tcPr>
            <w:tcW w:w="1980" w:type="dxa"/>
          </w:tcPr>
          <w:p w14:paraId="3E1FB96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In vitro scaffold; cross-lineage conservation inferred</w:t>
            </w:r>
          </w:p>
        </w:tc>
      </w:tr>
      <w:tr w:rsidR="00D42CD6" w:rsidRPr="00D42CD6" w14:paraId="6E9C15ED" w14:textId="77777777">
        <w:trPr>
          <w:cantSplit/>
        </w:trPr>
        <w:tc>
          <w:tcPr>
            <w:tcW w:w="1980" w:type="dxa"/>
          </w:tcPr>
          <w:p w14:paraId="545969C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  <w:highlight w:val="yellow"/>
              </w:rPr>
              <w:t>Petfalski</w:t>
            </w:r>
            <w:proofErr w:type="spellEnd"/>
            <w:r w:rsidRPr="00D42CD6">
              <w:rPr>
                <w:rFonts w:cs="Times New Roman"/>
                <w:sz w:val="15"/>
                <w:szCs w:val="15"/>
                <w:highlight w:val="yellow"/>
              </w:rPr>
              <w:t xml:space="preserve"> et al. (2025) | eukar</w:t>
            </w:r>
            <w:r w:rsidRPr="00D42CD6">
              <w:rPr>
                <w:rFonts w:cs="Times New Roman"/>
                <w:sz w:val="15"/>
                <w:szCs w:val="15"/>
                <w:highlight w:val="yellow"/>
              </w:rPr>
              <w:t>yotic Pol I termination</w:t>
            </w:r>
          </w:p>
        </w:tc>
        <w:tc>
          <w:tcPr>
            <w:tcW w:w="1980" w:type="dxa"/>
          </w:tcPr>
          <w:p w14:paraId="053BD2D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Genome-wide and biochemical analyses of Rnt1, Rat1, Rpa12</w:t>
            </w:r>
          </w:p>
        </w:tc>
        <w:tc>
          <w:tcPr>
            <w:tcW w:w="1980" w:type="dxa"/>
          </w:tcPr>
          <w:p w14:paraId="6314F40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No single obligatory Pol I route; premature termination modeled</w:t>
            </w:r>
          </w:p>
        </w:tc>
        <w:tc>
          <w:tcPr>
            <w:tcW w:w="1980" w:type="dxa"/>
          </w:tcPr>
          <w:p w14:paraId="35E35E0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Budding yeast; modeled estimates, not direct event counts</w:t>
            </w:r>
          </w:p>
        </w:tc>
      </w:tr>
      <w:tr w:rsidR="00D42CD6" w:rsidRPr="00D42CD6" w14:paraId="2291E9EC" w14:textId="77777777">
        <w:trPr>
          <w:cantSplit/>
        </w:trPr>
        <w:tc>
          <w:tcPr>
            <w:tcW w:w="1980" w:type="dxa"/>
          </w:tcPr>
          <w:p w14:paraId="750212F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  <w:highlight w:val="yellow"/>
              </w:rPr>
              <w:t>Xie</w:t>
            </w:r>
            <w:proofErr w:type="spellEnd"/>
            <w:r w:rsidRPr="00D42CD6">
              <w:rPr>
                <w:rFonts w:cs="Times New Roman"/>
                <w:sz w:val="15"/>
                <w:szCs w:val="15"/>
                <w:highlight w:val="yellow"/>
              </w:rPr>
              <w:t xml:space="preserve"> et al. (2022) | eukaryotic Pol III termination</w:t>
            </w:r>
          </w:p>
        </w:tc>
        <w:tc>
          <w:tcPr>
            <w:tcW w:w="1980" w:type="dxa"/>
          </w:tcPr>
          <w:p w14:paraId="6B9D8C5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T tracts, hairpins, Sen1 fail-safe; CRAC and in vitro assays</w:t>
            </w:r>
          </w:p>
        </w:tc>
        <w:tc>
          <w:tcPr>
            <w:tcW w:w="1980" w:type="dxa"/>
          </w:tcPr>
          <w:p w14:paraId="161D583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T tracts not always sufficient; hairpins/Sen1 enhance weak terminators</w:t>
            </w:r>
          </w:p>
        </w:tc>
        <w:tc>
          <w:tcPr>
            <w:tcW w:w="1980" w:type="dxa"/>
          </w:tcPr>
          <w:p w14:paraId="7ECD3C5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Budding yeast; generalizability to other Pol III systems untested</w:t>
            </w:r>
          </w:p>
        </w:tc>
      </w:tr>
      <w:tr w:rsidR="00D42CD6" w:rsidRPr="00D42CD6" w14:paraId="4428FFE0" w14:textId="77777777">
        <w:trPr>
          <w:cantSplit/>
        </w:trPr>
        <w:tc>
          <w:tcPr>
            <w:tcW w:w="1980" w:type="dxa"/>
          </w:tcPr>
          <w:p w14:paraId="52C7BB4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  <w:highlight w:val="yellow"/>
              </w:rPr>
              <w:t>Girbig</w:t>
            </w:r>
            <w:proofErr w:type="spellEnd"/>
            <w:r w:rsidRPr="00D42CD6">
              <w:rPr>
                <w:rFonts w:cs="Times New Roman"/>
                <w:sz w:val="15"/>
                <w:szCs w:val="15"/>
                <w:highlight w:val="yellow"/>
              </w:rPr>
              <w:t xml:space="preserve"> et al. (2022) | eukaryotic Pol III termination</w:t>
            </w:r>
          </w:p>
        </w:tc>
        <w:tc>
          <w:tcPr>
            <w:tcW w:w="1980" w:type="dxa"/>
          </w:tcPr>
          <w:p w14:paraId="53697E7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Cryo-EM of Pol III pre-termination complexes on poly(dT)</w:t>
            </w:r>
          </w:p>
        </w:tc>
        <w:tc>
          <w:tcPr>
            <w:tcW w:w="1980" w:type="dxa"/>
          </w:tcPr>
          <w:p w14:paraId="11269BD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C128 recognition of poly(dT) stabilizes paused pre-termination state</w:t>
            </w:r>
          </w:p>
        </w:tc>
        <w:tc>
          <w:tcPr>
            <w:tcW w:w="1980" w:type="dxa"/>
          </w:tcPr>
          <w:p w14:paraId="1135487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Structural capture; final release steps modeled</w:t>
            </w:r>
          </w:p>
        </w:tc>
      </w:tr>
      <w:tr w:rsidR="00D42CD6" w:rsidRPr="00D42CD6" w14:paraId="254D1743" w14:textId="77777777">
        <w:trPr>
          <w:cantSplit/>
        </w:trPr>
        <w:tc>
          <w:tcPr>
            <w:tcW w:w="1980" w:type="dxa"/>
          </w:tcPr>
          <w:p w14:paraId="73ED12A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  <w:highlight w:val="yellow"/>
              </w:rPr>
              <w:t>Xiong</w:t>
            </w:r>
            <w:proofErr w:type="spellEnd"/>
            <w:r w:rsidRPr="00D42CD6">
              <w:rPr>
                <w:rFonts w:cs="Times New Roman"/>
                <w:sz w:val="15"/>
                <w:szCs w:val="15"/>
                <w:highlight w:val="yellow"/>
              </w:rPr>
              <w:t xml:space="preserve"> et al. (2024) | specialized</w:t>
            </w:r>
            <w:r w:rsidRPr="00D42CD6">
              <w:rPr>
                <w:rFonts w:cs="Times New Roman"/>
                <w:sz w:val="15"/>
                <w:szCs w:val="15"/>
                <w:highlight w:val="yellow"/>
              </w:rPr>
              <w:t xml:space="preserve"> RNAPII NNS/Sen1</w:t>
            </w:r>
          </w:p>
        </w:tc>
        <w:tc>
          <w:tcPr>
            <w:tcW w:w="1980" w:type="dxa"/>
          </w:tcPr>
          <w:p w14:paraId="68F0BE0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Single-molecule reconstitution of Sen1 on stalled Pol II</w:t>
            </w:r>
          </w:p>
        </w:tc>
        <w:tc>
          <w:tcPr>
            <w:tcW w:w="1980" w:type="dxa"/>
          </w:tcPr>
          <w:p w14:paraId="76B6B8A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 xml:space="preserve">Sen1 releases RNA in ATP-coupled step; translocation ~80 </w:t>
            </w:r>
            <w:proofErr w:type="spellStart"/>
            <w:r w:rsidRPr="00D42CD6">
              <w:rPr>
                <w:rFonts w:cs="Times New Roman"/>
                <w:sz w:val="15"/>
                <w:szCs w:val="15"/>
                <w:highlight w:val="yellow"/>
              </w:rPr>
              <w:t>nt</w:t>
            </w:r>
            <w:proofErr w:type="spellEnd"/>
            <w:r w:rsidRPr="00D42CD6">
              <w:rPr>
                <w:rFonts w:cs="Times New Roman"/>
                <w:sz w:val="15"/>
                <w:szCs w:val="15"/>
                <w:highlight w:val="yellow"/>
              </w:rPr>
              <w:t>/s</w:t>
            </w:r>
          </w:p>
        </w:tc>
        <w:tc>
          <w:tcPr>
            <w:tcW w:w="1980" w:type="dxa"/>
          </w:tcPr>
          <w:p w14:paraId="5AD7D68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Purified engineered system; not a cellular release census</w:t>
            </w:r>
          </w:p>
        </w:tc>
      </w:tr>
      <w:tr w:rsidR="00D42CD6" w:rsidRPr="00D42CD6" w14:paraId="1CA3BA82" w14:textId="77777777">
        <w:trPr>
          <w:cantSplit/>
        </w:trPr>
        <w:tc>
          <w:tcPr>
            <w:tcW w:w="1980" w:type="dxa"/>
          </w:tcPr>
          <w:p w14:paraId="19823D9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  <w:highlight w:val="yellow"/>
              </w:rPr>
              <w:t>Baillat</w:t>
            </w:r>
            <w:proofErr w:type="spellEnd"/>
            <w:r w:rsidRPr="00D42CD6">
              <w:rPr>
                <w:rFonts w:cs="Times New Roman"/>
                <w:sz w:val="15"/>
                <w:szCs w:val="15"/>
                <w:highlight w:val="yellow"/>
              </w:rPr>
              <w:t xml:space="preserve"> et al. (2005) | specialized RNAPII Integrator</w:t>
            </w:r>
          </w:p>
        </w:tc>
        <w:tc>
          <w:tcPr>
            <w:tcW w:w="1980" w:type="dxa"/>
          </w:tcPr>
          <w:p w14:paraId="34823C1A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Integra</w:t>
            </w:r>
            <w:r w:rsidRPr="00D42CD6">
              <w:rPr>
                <w:rFonts w:cs="Times New Roman"/>
                <w:sz w:val="15"/>
                <w:szCs w:val="15"/>
                <w:highlight w:val="yellow"/>
              </w:rPr>
              <w:t>tor-CTD association at U1/U2 snRNA genes</w:t>
            </w:r>
          </w:p>
        </w:tc>
        <w:tc>
          <w:tcPr>
            <w:tcW w:w="1980" w:type="dxa"/>
          </w:tcPr>
          <w:p w14:paraId="03486E4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Integrator required for U1/U2 precursor 3′-end processing</w:t>
            </w:r>
          </w:p>
        </w:tc>
        <w:tc>
          <w:tcPr>
            <w:tcW w:w="1980" w:type="dxa"/>
          </w:tcPr>
          <w:p w14:paraId="0CBBD33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Processing endpoints; no direct RNAPII release measurement</w:t>
            </w:r>
          </w:p>
        </w:tc>
      </w:tr>
      <w:tr w:rsidR="00D42CD6" w:rsidRPr="00D42CD6" w14:paraId="7847A27B" w14:textId="77777777">
        <w:trPr>
          <w:cantSplit/>
        </w:trPr>
        <w:tc>
          <w:tcPr>
            <w:tcW w:w="1980" w:type="dxa"/>
          </w:tcPr>
          <w:p w14:paraId="5036D48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  <w:highlight w:val="yellow"/>
              </w:rPr>
              <w:t>Sabath</w:t>
            </w:r>
            <w:proofErr w:type="spellEnd"/>
            <w:r w:rsidRPr="00D42CD6">
              <w:rPr>
                <w:rFonts w:cs="Times New Roman"/>
                <w:sz w:val="15"/>
                <w:szCs w:val="15"/>
                <w:highlight w:val="yellow"/>
              </w:rPr>
              <w:t xml:space="preserve"> et al. (2024) | specialized RNAPII Integrator</w:t>
            </w:r>
          </w:p>
        </w:tc>
        <w:tc>
          <w:tcPr>
            <w:tcW w:w="1980" w:type="dxa"/>
          </w:tcPr>
          <w:p w14:paraId="6284ECD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Transcription-factor contacts recruit Integr</w:t>
            </w:r>
            <w:r w:rsidRPr="00D42CD6">
              <w:rPr>
                <w:rFonts w:cs="Times New Roman"/>
                <w:sz w:val="15"/>
                <w:szCs w:val="15"/>
                <w:highlight w:val="yellow"/>
              </w:rPr>
              <w:t>ator to promoters</w:t>
            </w:r>
          </w:p>
        </w:tc>
        <w:tc>
          <w:tcPr>
            <w:tcW w:w="1980" w:type="dxa"/>
          </w:tcPr>
          <w:p w14:paraId="207DEA0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Gene-specific targeting; required for glucose-starvation responses</w:t>
            </w:r>
          </w:p>
        </w:tc>
        <w:tc>
          <w:tcPr>
            <w:tcW w:w="1980" w:type="dxa"/>
          </w:tcPr>
          <w:p w14:paraId="198757F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Recruitment endpoints; does not count release events</w:t>
            </w:r>
          </w:p>
        </w:tc>
      </w:tr>
      <w:tr w:rsidR="00E823F4" w:rsidRPr="00D42CD6" w14:paraId="5EE65A11" w14:textId="77777777">
        <w:trPr>
          <w:cantSplit/>
        </w:trPr>
        <w:tc>
          <w:tcPr>
            <w:tcW w:w="1980" w:type="dxa"/>
          </w:tcPr>
          <w:p w14:paraId="6F31488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  <w:highlight w:val="yellow"/>
              </w:rPr>
              <w:t>Ielasi</w:t>
            </w:r>
            <w:proofErr w:type="spellEnd"/>
            <w:r w:rsidRPr="00D42CD6">
              <w:rPr>
                <w:rFonts w:cs="Times New Roman"/>
                <w:sz w:val="15"/>
                <w:szCs w:val="15"/>
                <w:highlight w:val="yellow"/>
              </w:rPr>
              <w:t xml:space="preserve"> et al. (2022) | specialized RNAPII histone transcripts</w:t>
            </w:r>
          </w:p>
        </w:tc>
        <w:tc>
          <w:tcPr>
            <w:tcW w:w="1980" w:type="dxa"/>
          </w:tcPr>
          <w:p w14:paraId="50B79EC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 xml:space="preserve">Overlapping PAS and HDE elements in histone </w:t>
            </w:r>
            <w:r w:rsidRPr="00D42CD6">
              <w:rPr>
                <w:rFonts w:cs="Times New Roman"/>
                <w:sz w:val="15"/>
                <w:szCs w:val="15"/>
                <w:highlight w:val="yellow"/>
              </w:rPr>
              <w:t>pre-mRNAs</w:t>
            </w:r>
          </w:p>
        </w:tc>
        <w:tc>
          <w:tcPr>
            <w:tcW w:w="1980" w:type="dxa"/>
          </w:tcPr>
          <w:p w14:paraId="2F534CBA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Overlapping elements recruit canonical or histone-specific complexes</w:t>
            </w:r>
          </w:p>
        </w:tc>
        <w:tc>
          <w:tcPr>
            <w:tcW w:w="1980" w:type="dxa"/>
          </w:tcPr>
          <w:p w14:paraId="29B34EE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Processing-complex choice, not direct polymerase release</w:t>
            </w:r>
          </w:p>
        </w:tc>
      </w:tr>
    </w:tbl>
    <w:p w14:paraId="3F0144EA" w14:textId="77777777" w:rsidR="00625AA0" w:rsidRPr="00D42CD6" w:rsidRDefault="00625AA0" w:rsidP="00625AA0">
      <w:pPr>
        <w:pStyle w:val="a0"/>
        <w:spacing w:before="0" w:after="0" w:line="360" w:lineRule="auto"/>
        <w:rPr>
          <w:rFonts w:cs="Times New Roman"/>
        </w:rPr>
      </w:pPr>
      <w:bookmarkStart w:id="5" w:name="X8787cc8e347bfb41db636084eb9adecf3838302"/>
      <w:bookmarkEnd w:id="4"/>
    </w:p>
    <w:p w14:paraId="461A24D4" w14:textId="03ED3B1C" w:rsidR="00E823F4" w:rsidRPr="00D42CD6" w:rsidRDefault="009F63D6" w:rsidP="003B0C8A">
      <w:pPr>
        <w:pStyle w:val="2"/>
        <w:spacing w:before="0" w:after="0" w:line="360" w:lineRule="auto"/>
        <w:rPr>
          <w:rFonts w:ascii="Times New Roman" w:hAnsi="Times New Roman" w:cs="Times New Roman"/>
          <w:color w:val="auto"/>
        </w:rPr>
      </w:pPr>
      <w:r w:rsidRPr="00D42CD6">
        <w:rPr>
          <w:rFonts w:ascii="Times New Roman" w:hAnsi="Times New Roman" w:cs="Times New Roman"/>
          <w:color w:val="auto"/>
        </w:rPr>
        <w:lastRenderedPageBreak/>
        <w:t>Table S5. Machine-learning resources, training labels, and design-oriented studies</w:t>
      </w:r>
    </w:p>
    <w:p w14:paraId="7403AD02" w14:textId="77777777" w:rsidR="00E823F4" w:rsidRPr="00D42CD6" w:rsidRDefault="009F63D6" w:rsidP="003B0C8A">
      <w:pPr>
        <w:pStyle w:val="FirstParagraph"/>
        <w:spacing w:before="0" w:after="0" w:line="360" w:lineRule="auto"/>
        <w:rPr>
          <w:rFonts w:cs="Times New Roman"/>
        </w:rPr>
      </w:pPr>
      <w:r w:rsidRPr="00D42CD6">
        <w:rPr>
          <w:rFonts w:cs="Times New Roman"/>
        </w:rPr>
        <w:t xml:space="preserve">Comparisons of </w:t>
      </w:r>
      <w:r w:rsidRPr="00D42CD6">
        <w:rPr>
          <w:rFonts w:cs="Times New Roman"/>
        </w:rPr>
        <w:t>machine-learning resources, training labels, and design-oriented studies, organized by reference, task and label, approach and data, and key result and caveat. The table distinguishes bacterial terminator prediction, Rho-dependent prediction, PAS/poly(A)-s</w:t>
      </w:r>
      <w:r w:rsidRPr="00D42CD6">
        <w:rPr>
          <w:rFonts w:cs="Times New Roman"/>
        </w:rPr>
        <w:t>ite prediction, 3′-end resource construction, termination-window modeling, and synthetic terminator design.</w:t>
      </w:r>
    </w:p>
    <w:tbl>
      <w:tblPr>
        <w:tblStyle w:val="11"/>
        <w:tblW w:w="5000" w:type="pct"/>
        <w:tblInd w:w="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560"/>
        <w:gridCol w:w="2268"/>
        <w:gridCol w:w="3685"/>
        <w:gridCol w:w="5447"/>
      </w:tblGrid>
      <w:tr w:rsidR="00D42CD6" w:rsidRPr="00D42CD6" w14:paraId="18D2FB0D" w14:textId="77777777" w:rsidTr="00BE4933">
        <w:trPr>
          <w:cantSplit/>
          <w:tblHeader/>
        </w:trPr>
        <w:tc>
          <w:tcPr>
            <w:tcW w:w="1560" w:type="dxa"/>
          </w:tcPr>
          <w:p w14:paraId="4C11175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D42CD6">
              <w:rPr>
                <w:rFonts w:cs="Times New Roman"/>
                <w:b/>
                <w:bCs/>
                <w:sz w:val="15"/>
                <w:szCs w:val="15"/>
              </w:rPr>
              <w:t>Reference</w:t>
            </w:r>
          </w:p>
        </w:tc>
        <w:tc>
          <w:tcPr>
            <w:tcW w:w="2268" w:type="dxa"/>
          </w:tcPr>
          <w:p w14:paraId="46B8665A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D42CD6">
              <w:rPr>
                <w:rFonts w:cs="Times New Roman"/>
                <w:b/>
                <w:bCs/>
                <w:sz w:val="15"/>
                <w:szCs w:val="15"/>
              </w:rPr>
              <w:t>Task and label</w:t>
            </w:r>
          </w:p>
        </w:tc>
        <w:tc>
          <w:tcPr>
            <w:tcW w:w="3685" w:type="dxa"/>
          </w:tcPr>
          <w:p w14:paraId="2B3B621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D42CD6">
              <w:rPr>
                <w:rFonts w:cs="Times New Roman"/>
                <w:b/>
                <w:bCs/>
                <w:sz w:val="15"/>
                <w:szCs w:val="15"/>
              </w:rPr>
              <w:t>Approach and data</w:t>
            </w:r>
          </w:p>
        </w:tc>
        <w:tc>
          <w:tcPr>
            <w:tcW w:w="5447" w:type="dxa"/>
          </w:tcPr>
          <w:p w14:paraId="202DD1B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D42CD6">
              <w:rPr>
                <w:rFonts w:cs="Times New Roman"/>
                <w:b/>
                <w:bCs/>
                <w:sz w:val="15"/>
                <w:szCs w:val="15"/>
              </w:rPr>
              <w:t>Key result and caveat</w:t>
            </w:r>
          </w:p>
        </w:tc>
      </w:tr>
      <w:tr w:rsidR="00D42CD6" w:rsidRPr="00D42CD6" w14:paraId="4250692F" w14:textId="77777777" w:rsidTr="00BE4933">
        <w:trPr>
          <w:cantSplit/>
        </w:trPr>
        <w:tc>
          <w:tcPr>
            <w:tcW w:w="1560" w:type="dxa"/>
          </w:tcPr>
          <w:p w14:paraId="70F5E39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Chen et al. (2013)</w:t>
            </w:r>
          </w:p>
        </w:tc>
        <w:tc>
          <w:tcPr>
            <w:tcW w:w="2268" w:type="dxa"/>
          </w:tcPr>
          <w:p w14:paraId="2428BE5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Intrinsic terminator design; library-measured </w:t>
            </w:r>
            <w:r w:rsidRPr="00D42CD6">
              <w:rPr>
                <w:rFonts w:cs="Times New Roman"/>
                <w:sz w:val="15"/>
                <w:szCs w:val="15"/>
              </w:rPr>
              <w:t>strength.</w:t>
            </w:r>
          </w:p>
        </w:tc>
        <w:tc>
          <w:tcPr>
            <w:tcW w:w="3685" w:type="dxa"/>
          </w:tcPr>
          <w:p w14:paraId="4A1C03E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582-member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E. coli</w:t>
            </w:r>
            <w:r w:rsidRPr="00D42CD6">
              <w:rPr>
                <w:rFonts w:cs="Times New Roman"/>
                <w:sz w:val="15"/>
                <w:szCs w:val="15"/>
              </w:rPr>
              <w:t xml:space="preserve"> natural/synthetic library; hairpin/U-tract architecture and sequence diversity.</w:t>
            </w:r>
          </w:p>
        </w:tc>
        <w:tc>
          <w:tcPr>
            <w:tcW w:w="5447" w:type="dxa"/>
          </w:tcPr>
          <w:p w14:paraId="2FCF648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Strong terminators with limited shared sequence supported recombination-aware circuit design; Caveat: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E. coli</w:t>
            </w:r>
            <w:r w:rsidRPr="00D42CD6">
              <w:rPr>
                <w:rFonts w:cs="Times New Roman"/>
                <w:sz w:val="15"/>
                <w:szCs w:val="15"/>
              </w:rPr>
              <w:t xml:space="preserve"> synthetic context, with cross-species</w:t>
            </w:r>
            <w:r w:rsidRPr="00D42CD6">
              <w:rPr>
                <w:rFonts w:cs="Times New Roman"/>
                <w:sz w:val="15"/>
                <w:szCs w:val="15"/>
              </w:rPr>
              <w:t xml:space="preserve"> transfer untested.</w:t>
            </w:r>
          </w:p>
        </w:tc>
      </w:tr>
      <w:tr w:rsidR="00D42CD6" w:rsidRPr="00D42CD6" w14:paraId="1C0811DC" w14:textId="77777777" w:rsidTr="00BE4933">
        <w:trPr>
          <w:cantSplit/>
        </w:trPr>
        <w:tc>
          <w:tcPr>
            <w:tcW w:w="1560" w:type="dxa"/>
          </w:tcPr>
          <w:p w14:paraId="21DFF74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Cambray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(2013)</w:t>
            </w:r>
          </w:p>
        </w:tc>
        <w:tc>
          <w:tcPr>
            <w:tcW w:w="2268" w:type="dxa"/>
          </w:tcPr>
          <w:p w14:paraId="281D67E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Intrinsic terminator prediction; reporter-measured efficiency.</w:t>
            </w:r>
          </w:p>
        </w:tc>
        <w:tc>
          <w:tcPr>
            <w:tcW w:w="3685" w:type="dxa"/>
          </w:tcPr>
          <w:p w14:paraId="0B2718D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i/>
                <w:iCs/>
                <w:sz w:val="15"/>
                <w:szCs w:val="15"/>
              </w:rPr>
              <w:t>E. coli</w:t>
            </w:r>
            <w:r w:rsidRPr="00D42CD6">
              <w:rPr>
                <w:rFonts w:cs="Times New Roman"/>
                <w:sz w:val="15"/>
                <w:szCs w:val="15"/>
              </w:rPr>
              <w:t xml:space="preserve"> dual-fluorescent assay of 61 terminators with folding and sequence-function analysis.</w:t>
            </w:r>
          </w:p>
        </w:tc>
        <w:tc>
          <w:tcPr>
            <w:tcW w:w="5447" w:type="dxa"/>
          </w:tcPr>
          <w:p w14:paraId="75F03AA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Four features predicted canonical efficiency (r = 0.90; cross-validated r = 0.85; n = 31); Caveat: weak or extended terminators were poorly fit.</w:t>
            </w:r>
          </w:p>
        </w:tc>
      </w:tr>
      <w:tr w:rsidR="00D42CD6" w:rsidRPr="00D42CD6" w14:paraId="542A398E" w14:textId="77777777" w:rsidTr="00BE4933">
        <w:trPr>
          <w:cantSplit/>
        </w:trPr>
        <w:tc>
          <w:tcPr>
            <w:tcW w:w="1560" w:type="dxa"/>
          </w:tcPr>
          <w:p w14:paraId="7CA1E6E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Baejen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(2017)</w:t>
            </w:r>
          </w:p>
        </w:tc>
        <w:tc>
          <w:tcPr>
            <w:tcW w:w="2268" w:type="dxa"/>
          </w:tcPr>
          <w:p w14:paraId="6A2539A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RN</w:t>
            </w:r>
            <w:r w:rsidRPr="00D42CD6">
              <w:rPr>
                <w:rFonts w:cs="Times New Roman"/>
                <w:sz w:val="15"/>
                <w:szCs w:val="15"/>
              </w:rPr>
              <w:t>APII termination; PAS-associated downstream release.</w:t>
            </w:r>
          </w:p>
        </w:tc>
        <w:tc>
          <w:tcPr>
            <w:tcW w:w="3685" w:type="dxa"/>
          </w:tcPr>
          <w:p w14:paraId="312101C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Yeast genome-wide analysis of Spt5 and Rat1/Xrn2-dependent termination.</w:t>
            </w:r>
          </w:p>
        </w:tc>
        <w:tc>
          <w:tcPr>
            <w:tcW w:w="5447" w:type="dxa"/>
          </w:tcPr>
          <w:p w14:paraId="5A4CECE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  <w:highlight w:val="yellow"/>
              </w:rPr>
            </w:pPr>
            <w:r w:rsidRPr="00D42CD6">
              <w:rPr>
                <w:rFonts w:cs="Times New Roman"/>
                <w:sz w:val="15"/>
                <w:szCs w:val="15"/>
                <w:highlight w:val="yellow"/>
              </w:rPr>
              <w:t>Rat1/Xrn2 contributes downstream of polyadenylation sites; Caveat: yeast occupancy metrics do not directly define human PAS-associa</w:t>
            </w:r>
            <w:r w:rsidRPr="00D42CD6">
              <w:rPr>
                <w:rFonts w:cs="Times New Roman"/>
                <w:sz w:val="15"/>
                <w:szCs w:val="15"/>
                <w:highlight w:val="yellow"/>
              </w:rPr>
              <w:t>ted sequence organization.</w:t>
            </w:r>
          </w:p>
        </w:tc>
      </w:tr>
      <w:tr w:rsidR="00D42CD6" w:rsidRPr="00D42CD6" w14:paraId="0B5AEC9B" w14:textId="77777777" w:rsidTr="00BE4933">
        <w:trPr>
          <w:cantSplit/>
        </w:trPr>
        <w:tc>
          <w:tcPr>
            <w:tcW w:w="1560" w:type="dxa"/>
          </w:tcPr>
          <w:p w14:paraId="72EEE74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Wang et al. (2018)</w:t>
            </w:r>
          </w:p>
        </w:tc>
        <w:tc>
          <w:tcPr>
            <w:tcW w:w="2268" w:type="dxa"/>
          </w:tcPr>
          <w:p w14:paraId="522BA82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PAS/APA resource; cleavage and poly(A)-site labels.</w:t>
            </w:r>
          </w:p>
        </w:tc>
        <w:tc>
          <w:tcPr>
            <w:tcW w:w="3685" w:type="dxa"/>
          </w:tcPr>
          <w:p w14:paraId="6FDF72E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PolyA_DB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3 catalogues 3′-sequencing-derived sites, motifs, 3′ UTRs, and tissue/species metadata.</w:t>
            </w:r>
          </w:p>
        </w:tc>
        <w:tc>
          <w:tcPr>
            <w:tcW w:w="5447" w:type="dxa"/>
          </w:tcPr>
          <w:p w14:paraId="6A48F13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Supports PAS and APA annotation across datasets; Caveat: an </w:t>
            </w:r>
            <w:r w:rsidRPr="00D42CD6">
              <w:rPr>
                <w:rFonts w:cs="Times New Roman"/>
                <w:sz w:val="15"/>
                <w:szCs w:val="15"/>
              </w:rPr>
              <w:t>atlas, not direct mechanistic evidence.</w:t>
            </w:r>
          </w:p>
        </w:tc>
      </w:tr>
      <w:tr w:rsidR="00D42CD6" w:rsidRPr="00D42CD6" w14:paraId="38BB23CA" w14:textId="77777777" w:rsidTr="00BE4933">
        <w:trPr>
          <w:cantSplit/>
        </w:trPr>
        <w:tc>
          <w:tcPr>
            <w:tcW w:w="1560" w:type="dxa"/>
          </w:tcPr>
          <w:p w14:paraId="3A33A21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Dar and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Sorek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(2018)</w:t>
            </w:r>
          </w:p>
        </w:tc>
        <w:tc>
          <w:tcPr>
            <w:tcW w:w="2268" w:type="dxa"/>
          </w:tcPr>
          <w:p w14:paraId="69DD430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Rho-dependent termination; mapped steady-state RNA ends.</w:t>
            </w:r>
          </w:p>
        </w:tc>
        <w:tc>
          <w:tcPr>
            <w:tcW w:w="3685" w:type="dxa"/>
          </w:tcPr>
          <w:p w14:paraId="6860A5F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Term-seq/RNA-seq with Rho inhibition and exonuclease-deficient contexts in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E. coli</w:t>
            </w:r>
            <w:r w:rsidRPr="00D42CD6">
              <w:rPr>
                <w:rFonts w:cs="Times New Roman"/>
                <w:sz w:val="15"/>
                <w:szCs w:val="15"/>
              </w:rPr>
              <w:t>.</w:t>
            </w:r>
          </w:p>
        </w:tc>
        <w:tc>
          <w:tcPr>
            <w:tcW w:w="5447" w:type="dxa"/>
          </w:tcPr>
          <w:p w14:paraId="5ECB4FA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Protective stem-loops can separate observed 3′ </w:t>
            </w:r>
            <w:r w:rsidRPr="00D42CD6">
              <w:rPr>
                <w:rFonts w:cs="Times New Roman"/>
                <w:sz w:val="15"/>
                <w:szCs w:val="15"/>
              </w:rPr>
              <w:t>ends from release sites; Caveat: RNA ends may reflect downstream processing.</w:t>
            </w:r>
          </w:p>
        </w:tc>
      </w:tr>
      <w:tr w:rsidR="00D42CD6" w:rsidRPr="00D42CD6" w14:paraId="3C1B4EDB" w14:textId="77777777" w:rsidTr="00BE4933">
        <w:trPr>
          <w:cantSplit/>
        </w:trPr>
        <w:tc>
          <w:tcPr>
            <w:tcW w:w="1560" w:type="dxa"/>
          </w:tcPr>
          <w:p w14:paraId="7E58D4B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Feng et al. (2019)</w:t>
            </w:r>
          </w:p>
        </w:tc>
        <w:tc>
          <w:tcPr>
            <w:tcW w:w="2268" w:type="dxa"/>
          </w:tcPr>
          <w:p w14:paraId="30E59CF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Intrinsic terminator prediction; annotated RNA termini.</w:t>
            </w:r>
          </w:p>
        </w:tc>
        <w:tc>
          <w:tcPr>
            <w:tcW w:w="3685" w:type="dxa"/>
          </w:tcPr>
          <w:p w14:paraId="73C38ED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iTerm-PseKNC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SVM using sequence composition and physicochemical correlations.</w:t>
            </w:r>
          </w:p>
        </w:tc>
        <w:tc>
          <w:tcPr>
            <w:tcW w:w="5447" w:type="dxa"/>
          </w:tcPr>
          <w:p w14:paraId="304AAEA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Reported 95% cross-validation accuracy; Caveat: small, sequence-only benchmarks do not separate intrinsic and Rho-dependent classes.</w:t>
            </w:r>
          </w:p>
        </w:tc>
      </w:tr>
      <w:tr w:rsidR="00D42CD6" w:rsidRPr="00D42CD6" w14:paraId="4FFE36E4" w14:textId="77777777" w:rsidTr="00BE4933">
        <w:trPr>
          <w:cantSplit/>
        </w:trPr>
        <w:tc>
          <w:tcPr>
            <w:tcW w:w="1560" w:type="dxa"/>
          </w:tcPr>
          <w:p w14:paraId="7EACE9A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Arefeen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(2019)</w:t>
            </w:r>
          </w:p>
        </w:tc>
        <w:tc>
          <w:tcPr>
            <w:tcW w:w="2268" w:type="dxa"/>
          </w:tcPr>
          <w:p w14:paraId="4A8C40B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PAS prediction; poly(A)-site and t</w:t>
            </w:r>
            <w:r w:rsidRPr="00D42CD6">
              <w:rPr>
                <w:rFonts w:cs="Times New Roman"/>
                <w:sz w:val="15"/>
                <w:szCs w:val="15"/>
              </w:rPr>
              <w:t>issue-dominance labels.</w:t>
            </w:r>
          </w:p>
        </w:tc>
        <w:tc>
          <w:tcPr>
            <w:tcW w:w="3685" w:type="dxa"/>
          </w:tcPr>
          <w:p w14:paraId="019BD4B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DeepPASTA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CNN/RNN with sequence windows and predicted RNA structure.</w:t>
            </w:r>
          </w:p>
        </w:tc>
        <w:tc>
          <w:tcPr>
            <w:tcW w:w="5447" w:type="dxa"/>
          </w:tcPr>
          <w:p w14:paraId="523B822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Structure and RNN integration improved benchmark prediction; Caveat: human polyadenylation labels do not directly measure RNAPII release.</w:t>
            </w:r>
          </w:p>
        </w:tc>
      </w:tr>
      <w:tr w:rsidR="00D42CD6" w:rsidRPr="00D42CD6" w14:paraId="6D52C527" w14:textId="77777777" w:rsidTr="00BE4933">
        <w:trPr>
          <w:cantSplit/>
        </w:trPr>
        <w:tc>
          <w:tcPr>
            <w:tcW w:w="1560" w:type="dxa"/>
          </w:tcPr>
          <w:p w14:paraId="668CAAC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Zhu et al. (2020)</w:t>
            </w:r>
          </w:p>
        </w:tc>
        <w:tc>
          <w:tcPr>
            <w:tcW w:w="2268" w:type="dxa"/>
          </w:tcPr>
          <w:p w14:paraId="3D7FBDD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Plant </w:t>
            </w:r>
            <w:r w:rsidRPr="00D42CD6">
              <w:rPr>
                <w:rFonts w:cs="Times New Roman"/>
                <w:sz w:val="15"/>
                <w:szCs w:val="15"/>
              </w:rPr>
              <w:t>PAS/APA resource; annotated poly(A)-site labels.</w:t>
            </w:r>
          </w:p>
        </w:tc>
        <w:tc>
          <w:tcPr>
            <w:tcW w:w="3685" w:type="dxa"/>
          </w:tcPr>
          <w:p w14:paraId="68A2305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PlantAPAdb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integrates sites, 3′ UTR isoforms, and tissue/species metadata.</w:t>
            </w:r>
          </w:p>
        </w:tc>
        <w:tc>
          <w:tcPr>
            <w:tcW w:w="5447" w:type="dxa"/>
          </w:tcPr>
          <w:p w14:paraId="3124D6D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Supports comparative PAS and APA analysis; Caveat: atlas completeness depends on input datasets and annotation.</w:t>
            </w:r>
          </w:p>
        </w:tc>
      </w:tr>
      <w:tr w:rsidR="00D42CD6" w:rsidRPr="00D42CD6" w14:paraId="72B28D83" w14:textId="77777777" w:rsidTr="00BE4933">
        <w:trPr>
          <w:cantSplit/>
        </w:trPr>
        <w:tc>
          <w:tcPr>
            <w:tcW w:w="1560" w:type="dxa"/>
          </w:tcPr>
          <w:p w14:paraId="1B625B3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Herrmann et al. (20</w:t>
            </w:r>
            <w:r w:rsidRPr="00D42CD6">
              <w:rPr>
                <w:rFonts w:cs="Times New Roman"/>
                <w:sz w:val="15"/>
                <w:szCs w:val="15"/>
              </w:rPr>
              <w:t>20)</w:t>
            </w:r>
          </w:p>
        </w:tc>
        <w:tc>
          <w:tcPr>
            <w:tcW w:w="2268" w:type="dxa"/>
          </w:tcPr>
          <w:p w14:paraId="2751EBA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PAS/APA resource; integrated poly(A)-site labels.</w:t>
            </w:r>
          </w:p>
        </w:tc>
        <w:tc>
          <w:tcPr>
            <w:tcW w:w="3685" w:type="dxa"/>
          </w:tcPr>
          <w:p w14:paraId="0CC93E2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PolyASite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2.0 integrates 3′-end sequencing sites, motifs, and sample metadata.</w:t>
            </w:r>
          </w:p>
        </w:tc>
        <w:tc>
          <w:tcPr>
            <w:tcW w:w="5447" w:type="dxa"/>
          </w:tcPr>
          <w:p w14:paraId="1F614C2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Supports cross-dataset PAS/APA analysis; Caveat: does not establish the function of individual sites.</w:t>
            </w:r>
          </w:p>
        </w:tc>
      </w:tr>
      <w:tr w:rsidR="00D42CD6" w:rsidRPr="00D42CD6" w14:paraId="3B178A7D" w14:textId="77777777" w:rsidTr="00BE4933">
        <w:trPr>
          <w:cantSplit/>
        </w:trPr>
        <w:tc>
          <w:tcPr>
            <w:tcW w:w="1560" w:type="dxa"/>
          </w:tcPr>
          <w:p w14:paraId="46EBE0A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Hudson and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Wieden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(2019)</w:t>
            </w:r>
          </w:p>
        </w:tc>
        <w:tc>
          <w:tcPr>
            <w:tcW w:w="2268" w:type="dxa"/>
          </w:tcPr>
          <w:p w14:paraId="6215A56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Synthetic terminator design; sequence-function measurements.</w:t>
            </w:r>
          </w:p>
        </w:tc>
        <w:tc>
          <w:tcPr>
            <w:tcW w:w="3685" w:type="dxa"/>
          </w:tcPr>
          <w:p w14:paraId="7377589A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High-throughput terminator libraries with Term-seq and structural features.</w:t>
            </w:r>
          </w:p>
        </w:tc>
        <w:tc>
          <w:tcPr>
            <w:tcW w:w="5447" w:type="dxa"/>
          </w:tcPr>
          <w:p w14:paraId="448EF34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Hairpin pairing and extended poly(U) tracts associate with higher efficiency; Caveat: associations are no</w:t>
            </w:r>
            <w:r w:rsidRPr="00D42CD6">
              <w:rPr>
                <w:rFonts w:cs="Times New Roman"/>
                <w:sz w:val="15"/>
                <w:szCs w:val="15"/>
              </w:rPr>
              <w:t>t complete mechanism tests.</w:t>
            </w:r>
          </w:p>
        </w:tc>
      </w:tr>
      <w:tr w:rsidR="00D42CD6" w:rsidRPr="00D42CD6" w14:paraId="58E52795" w14:textId="77777777" w:rsidTr="00BE4933">
        <w:trPr>
          <w:cantSplit/>
        </w:trPr>
        <w:tc>
          <w:tcPr>
            <w:tcW w:w="1560" w:type="dxa"/>
          </w:tcPr>
          <w:p w14:paraId="1128B0E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Di Salvo et al. (2019)</w:t>
            </w:r>
          </w:p>
        </w:tc>
        <w:tc>
          <w:tcPr>
            <w:tcW w:w="2268" w:type="dxa"/>
          </w:tcPr>
          <w:p w14:paraId="61168EEA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Rho-dependent prediction;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rut</w:t>
            </w:r>
            <w:r w:rsidRPr="00D42CD6">
              <w:rPr>
                <w:rFonts w:cs="Times New Roman"/>
                <w:sz w:val="15"/>
                <w:szCs w:val="15"/>
              </w:rPr>
              <w:t>-like RNA and pause features.</w:t>
            </w:r>
          </w:p>
        </w:tc>
        <w:tc>
          <w:tcPr>
            <w:tcW w:w="3685" w:type="dxa"/>
          </w:tcPr>
          <w:p w14:paraId="3975856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RhoTermPredict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scans 78-nt C-rich/G-poor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rut</w:t>
            </w:r>
            <w:r w:rsidRPr="00D42CD6">
              <w:rPr>
                <w:rFonts w:cs="Times New Roman"/>
                <w:sz w:val="15"/>
                <w:szCs w:val="15"/>
              </w:rPr>
              <w:t xml:space="preserve"> candidates plus downstream pause signals.</w:t>
            </w:r>
          </w:p>
        </w:tc>
        <w:tc>
          <w:tcPr>
            <w:tcW w:w="5447" w:type="dxa"/>
          </w:tcPr>
          <w:p w14:paraId="6C8C2E9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Separates Rho and intrinsic prediction tasks; Caveat: RNA-</w:t>
            </w:r>
            <w:r w:rsidRPr="00D42CD6">
              <w:rPr>
                <w:rFonts w:cs="Times New Roman"/>
                <w:sz w:val="15"/>
                <w:szCs w:val="15"/>
              </w:rPr>
              <w:t>seq-gradient validation is condition dependent and does not fix a release coordinate.</w:t>
            </w:r>
          </w:p>
        </w:tc>
      </w:tr>
      <w:tr w:rsidR="00D42CD6" w:rsidRPr="00D42CD6" w14:paraId="6392EA84" w14:textId="77777777" w:rsidTr="00BE4933">
        <w:trPr>
          <w:cantSplit/>
        </w:trPr>
        <w:tc>
          <w:tcPr>
            <w:tcW w:w="1560" w:type="dxa"/>
          </w:tcPr>
          <w:p w14:paraId="6A2C643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Roth et al. (2020)</w:t>
            </w:r>
          </w:p>
        </w:tc>
        <w:tc>
          <w:tcPr>
            <w:tcW w:w="2268" w:type="dxa"/>
          </w:tcPr>
          <w:p w14:paraId="440D205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Readthrough detection; downstream-RNA phenotype.</w:t>
            </w:r>
          </w:p>
        </w:tc>
        <w:tc>
          <w:tcPr>
            <w:tcW w:w="3685" w:type="dxa"/>
          </w:tcPr>
          <w:p w14:paraId="469F8B3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ARTDeco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quantifies readthrough, read-in, and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DoG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RNA from aligned RNA-seq data.</w:t>
            </w:r>
          </w:p>
        </w:tc>
        <w:tc>
          <w:tcPr>
            <w:tcW w:w="5447" w:type="dxa"/>
          </w:tcPr>
          <w:p w14:paraId="71ABB6D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Readthrough alters expression and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eQTL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interpretation; Caveat: it detects downstream RNA, not primary terminator motifs.</w:t>
            </w:r>
          </w:p>
        </w:tc>
      </w:tr>
      <w:tr w:rsidR="00D42CD6" w:rsidRPr="00D42CD6" w14:paraId="28ABAC74" w14:textId="77777777" w:rsidTr="00BE4933">
        <w:trPr>
          <w:cantSplit/>
        </w:trPr>
        <w:tc>
          <w:tcPr>
            <w:tcW w:w="1560" w:type="dxa"/>
          </w:tcPr>
          <w:p w14:paraId="163BA6A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Berkemer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(2020)</w:t>
            </w:r>
          </w:p>
        </w:tc>
        <w:tc>
          <w:tcPr>
            <w:tcW w:w="2268" w:type="dxa"/>
          </w:tcPr>
          <w:p w14:paraId="0974AF8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Archaeal RNA-end atlas; mapped 3′ termini.</w:t>
            </w:r>
          </w:p>
        </w:tc>
        <w:tc>
          <w:tcPr>
            <w:tcW w:w="3685" w:type="dxa"/>
          </w:tcPr>
          <w:p w14:paraId="5C7DBE1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TEX-treated RNA-seq peak calling with reporter tests in </w:t>
            </w:r>
            <w:proofErr w:type="spellStart"/>
            <w:r w:rsidRPr="00D42CD6">
              <w:rPr>
                <w:rFonts w:cs="Times New Roman"/>
                <w:i/>
                <w:iCs/>
                <w:sz w:val="15"/>
                <w:szCs w:val="15"/>
              </w:rPr>
              <w:t>Haloferax</w:t>
            </w:r>
            <w:proofErr w:type="spellEnd"/>
            <w:r w:rsidRPr="00D42CD6">
              <w:rPr>
                <w:rFonts w:cs="Times New Roman"/>
                <w:i/>
                <w:iCs/>
                <w:sz w:val="15"/>
                <w:szCs w:val="15"/>
              </w:rPr>
              <w:t xml:space="preserve"> </w:t>
            </w:r>
            <w:proofErr w:type="spellStart"/>
            <w:r w:rsidRPr="00D42CD6">
              <w:rPr>
                <w:rFonts w:cs="Times New Roman"/>
                <w:i/>
                <w:iCs/>
                <w:sz w:val="15"/>
                <w:szCs w:val="15"/>
              </w:rPr>
              <w:t>vo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lcanii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>.</w:t>
            </w:r>
          </w:p>
        </w:tc>
        <w:tc>
          <w:tcPr>
            <w:tcW w:w="5447" w:type="dxa"/>
          </w:tcPr>
          <w:p w14:paraId="5EF2EE4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Intergenic T-stretches and coding-region AGATC motifs associate with termini; Caveat: one halophile and RNA ends do not resolve mechanism.</w:t>
            </w:r>
          </w:p>
        </w:tc>
      </w:tr>
      <w:tr w:rsidR="00D42CD6" w:rsidRPr="00D42CD6" w14:paraId="5A1730DC" w14:textId="77777777" w:rsidTr="00BE4933">
        <w:trPr>
          <w:cantSplit/>
        </w:trPr>
        <w:tc>
          <w:tcPr>
            <w:tcW w:w="1560" w:type="dxa"/>
          </w:tcPr>
          <w:p w14:paraId="5D039A6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Tarnowski and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Gorochowski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(2022)</w:t>
            </w:r>
          </w:p>
        </w:tc>
        <w:tc>
          <w:tcPr>
            <w:tcW w:w="2268" w:type="dxa"/>
          </w:tcPr>
          <w:p w14:paraId="6E467CF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Engineered terminator design; transcript-isoform output.</w:t>
            </w:r>
          </w:p>
        </w:tc>
        <w:tc>
          <w:tcPr>
            <w:tcW w:w="3685" w:type="dxa"/>
          </w:tcPr>
          <w:p w14:paraId="2133ED2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Massively </w:t>
            </w:r>
            <w:r w:rsidRPr="00D42CD6">
              <w:rPr>
                <w:rFonts w:cs="Times New Roman"/>
                <w:sz w:val="15"/>
                <w:szCs w:val="15"/>
              </w:rPr>
              <w:t>parallel direct RNA sequencing of transcriptional valves.</w:t>
            </w:r>
          </w:p>
        </w:tc>
        <w:tc>
          <w:tcPr>
            <w:tcW w:w="5447" w:type="dxa"/>
          </w:tcPr>
          <w:p w14:paraId="601D2B6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Defines sequence-to-isoform design relationships; Caveat: primarily an engineered T7 RNAP context.</w:t>
            </w:r>
          </w:p>
        </w:tc>
      </w:tr>
      <w:tr w:rsidR="00D42CD6" w:rsidRPr="00D42CD6" w14:paraId="41139252" w14:textId="77777777" w:rsidTr="00BE4933">
        <w:trPr>
          <w:cantSplit/>
        </w:trPr>
        <w:tc>
          <w:tcPr>
            <w:tcW w:w="1560" w:type="dxa"/>
          </w:tcPr>
          <w:p w14:paraId="46BA605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lastRenderedPageBreak/>
              <w:t>Zhai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(2022)</w:t>
            </w:r>
          </w:p>
        </w:tc>
        <w:tc>
          <w:tcPr>
            <w:tcW w:w="2268" w:type="dxa"/>
          </w:tcPr>
          <w:p w14:paraId="770E72B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Intrinsic terminator design; high-throughput strength.</w:t>
            </w:r>
          </w:p>
        </w:tc>
        <w:tc>
          <w:tcPr>
            <w:tcW w:w="3685" w:type="dxa"/>
          </w:tcPr>
          <w:p w14:paraId="0054E96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FlowSeq links terminator</w:t>
            </w:r>
            <w:r w:rsidRPr="00D42CD6">
              <w:rPr>
                <w:rFonts w:cs="Times New Roman"/>
                <w:sz w:val="15"/>
                <w:szCs w:val="15"/>
              </w:rPr>
              <w:t xml:space="preserve"> strength to sequence and thermodynamic features.</w:t>
            </w:r>
          </w:p>
        </w:tc>
        <w:tc>
          <w:tcPr>
            <w:tcW w:w="5447" w:type="dxa"/>
          </w:tcPr>
          <w:p w14:paraId="5489AF3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Strong hairpin/U-tract architectures support strength prediction; Caveat: synthetic assays do not cover all native contexts.</w:t>
            </w:r>
          </w:p>
        </w:tc>
      </w:tr>
      <w:tr w:rsidR="00D42CD6" w:rsidRPr="00D42CD6" w14:paraId="78C161DB" w14:textId="77777777" w:rsidTr="00BE4933">
        <w:trPr>
          <w:cantSplit/>
        </w:trPr>
        <w:tc>
          <w:tcPr>
            <w:tcW w:w="1560" w:type="dxa"/>
          </w:tcPr>
          <w:p w14:paraId="26E124A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Gupta et al. (2023)</w:t>
            </w:r>
          </w:p>
        </w:tc>
        <w:tc>
          <w:tcPr>
            <w:tcW w:w="2268" w:type="dxa"/>
          </w:tcPr>
          <w:p w14:paraId="26475AA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Intrinsic-terminator resource; predicted hairpin </w:t>
            </w:r>
            <w:r w:rsidRPr="00D42CD6">
              <w:rPr>
                <w:rFonts w:cs="Times New Roman"/>
                <w:sz w:val="15"/>
                <w:szCs w:val="15"/>
              </w:rPr>
              <w:t>candidates.</w:t>
            </w:r>
          </w:p>
        </w:tc>
        <w:tc>
          <w:tcPr>
            <w:tcW w:w="3685" w:type="dxa"/>
          </w:tcPr>
          <w:p w14:paraId="1A6E9A6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INTERPIN mines bacterial genomes for single and clustered termination hairpins.</w:t>
            </w:r>
          </w:p>
        </w:tc>
        <w:tc>
          <w:tcPr>
            <w:tcW w:w="5447" w:type="dxa"/>
          </w:tcPr>
          <w:p w14:paraId="20264F6A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Cluster hairpins comprised 58% of inferred entries; Caveat: computational chromosome-focused predictions require experimental confirmation.</w:t>
            </w:r>
          </w:p>
        </w:tc>
      </w:tr>
      <w:tr w:rsidR="00D42CD6" w:rsidRPr="00D42CD6" w14:paraId="15CC5B51" w14:textId="77777777" w:rsidTr="00BE4933">
        <w:trPr>
          <w:cantSplit/>
        </w:trPr>
        <w:tc>
          <w:tcPr>
            <w:tcW w:w="1560" w:type="dxa"/>
          </w:tcPr>
          <w:p w14:paraId="2DD4124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Wang et al. (2023)</w:t>
            </w:r>
          </w:p>
        </w:tc>
        <w:tc>
          <w:tcPr>
            <w:tcW w:w="2268" w:type="dxa"/>
          </w:tcPr>
          <w:p w14:paraId="3BCE3A6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Rho-</w:t>
            </w:r>
            <w:r w:rsidRPr="00D42CD6">
              <w:rPr>
                <w:rFonts w:cs="Times New Roman"/>
                <w:sz w:val="15"/>
                <w:szCs w:val="15"/>
              </w:rPr>
              <w:t>dependent region mapping; stabilized RNA ends.</w:t>
            </w:r>
          </w:p>
        </w:tc>
        <w:tc>
          <w:tcPr>
            <w:tcW w:w="3685" w:type="dxa"/>
          </w:tcPr>
          <w:p w14:paraId="71A48BD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sysRNA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coupled to 3′ RACE and primer extension in vivo.</w:t>
            </w:r>
          </w:p>
        </w:tc>
        <w:tc>
          <w:tcPr>
            <w:tcW w:w="5447" w:type="dxa"/>
          </w:tcPr>
          <w:p w14:paraId="509596F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Narrowed one Rho-dependent region to 21 bp; Caveat: target-specific stabilization may introduce RNase III-related artifacts.</w:t>
            </w:r>
          </w:p>
        </w:tc>
      </w:tr>
      <w:tr w:rsidR="00D42CD6" w:rsidRPr="00D42CD6" w14:paraId="74CF1F37" w14:textId="77777777" w:rsidTr="00BE4933">
        <w:trPr>
          <w:cantSplit/>
        </w:trPr>
        <w:tc>
          <w:tcPr>
            <w:tcW w:w="1560" w:type="dxa"/>
          </w:tcPr>
          <w:p w14:paraId="5BD7FC0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Bar et al. (2023)</w:t>
            </w:r>
          </w:p>
        </w:tc>
        <w:tc>
          <w:tcPr>
            <w:tcW w:w="2268" w:type="dxa"/>
          </w:tcPr>
          <w:p w14:paraId="07EB9A7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Transcrip</w:t>
            </w:r>
            <w:r w:rsidRPr="00D42CD6">
              <w:rPr>
                <w:rFonts w:cs="Times New Roman"/>
                <w:sz w:val="15"/>
                <w:szCs w:val="15"/>
              </w:rPr>
              <w:t xml:space="preserve">t-terminus calling;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RNAtag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>-seq read-start patterns.</w:t>
            </w:r>
          </w:p>
        </w:tc>
        <w:tc>
          <w:tcPr>
            <w:tcW w:w="3685" w:type="dxa"/>
          </w:tcPr>
          <w:p w14:paraId="74909FF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TRS infers RNA termini from existing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RNAtag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>-seq datasets.</w:t>
            </w:r>
          </w:p>
        </w:tc>
        <w:tc>
          <w:tcPr>
            <w:tcW w:w="5447" w:type="dxa"/>
          </w:tcPr>
          <w:p w14:paraId="6B569CE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Extends terminus analysis without a dedicated assay; Caveat: calls depend on protocol-specific read patterns.</w:t>
            </w:r>
          </w:p>
        </w:tc>
      </w:tr>
      <w:tr w:rsidR="00D42CD6" w:rsidRPr="00D42CD6" w14:paraId="18D3C932" w14:textId="77777777" w:rsidTr="00BE4933">
        <w:trPr>
          <w:cantSplit/>
        </w:trPr>
        <w:tc>
          <w:tcPr>
            <w:tcW w:w="1560" w:type="dxa"/>
          </w:tcPr>
          <w:p w14:paraId="48ED693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Caldas et al. (2024)</w:t>
            </w:r>
          </w:p>
        </w:tc>
        <w:tc>
          <w:tcPr>
            <w:tcW w:w="2268" w:type="dxa"/>
          </w:tcPr>
          <w:p w14:paraId="56E9E33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Human readthro</w:t>
            </w:r>
            <w:r w:rsidRPr="00D42CD6">
              <w:rPr>
                <w:rFonts w:cs="Times New Roman"/>
                <w:sz w:val="15"/>
                <w:szCs w:val="15"/>
              </w:rPr>
              <w:t>ugh atlas; downstream-RNA phenotype.</w:t>
            </w:r>
          </w:p>
        </w:tc>
        <w:tc>
          <w:tcPr>
            <w:tcW w:w="3685" w:type="dxa"/>
          </w:tcPr>
          <w:p w14:paraId="65BE30A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Genomic analysis of readthrough transcripts in healthy tissues.</w:t>
            </w:r>
          </w:p>
        </w:tc>
        <w:tc>
          <w:tcPr>
            <w:tcW w:w="5447" w:type="dxa"/>
          </w:tcPr>
          <w:p w14:paraId="4C5CA28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Readthrough associates with tissue and genomic features; Caveat: observational data do not establish causality.</w:t>
            </w:r>
          </w:p>
        </w:tc>
      </w:tr>
      <w:tr w:rsidR="00D42CD6" w:rsidRPr="00D42CD6" w14:paraId="7BAC9E4A" w14:textId="77777777" w:rsidTr="00BE4933">
        <w:trPr>
          <w:cantSplit/>
        </w:trPr>
        <w:tc>
          <w:tcPr>
            <w:tcW w:w="1560" w:type="dxa"/>
          </w:tcPr>
          <w:p w14:paraId="0FDA46D4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Stroup et al. (2025)</w:t>
            </w:r>
          </w:p>
        </w:tc>
        <w:tc>
          <w:tcPr>
            <w:tcW w:w="2268" w:type="dxa"/>
          </w:tcPr>
          <w:p w14:paraId="43DBE75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Polyadenylation-model review; PAS and APA labels.</w:t>
            </w:r>
          </w:p>
        </w:tc>
        <w:tc>
          <w:tcPr>
            <w:tcW w:w="3685" w:type="dxa"/>
          </w:tcPr>
          <w:p w14:paraId="6645E00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Review of CNN and CNN/RNN models using PAS motifs and auxiliary elements.</w:t>
            </w:r>
          </w:p>
        </w:tc>
        <w:tc>
          <w:tcPr>
            <w:tcW w:w="5447" w:type="dxa"/>
          </w:tcPr>
          <w:p w14:paraId="21B0189A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Models predict site class, strength, APA, or variants; Caveat: conclusions depend on the underlying assays and do not cover all tran</w:t>
            </w:r>
            <w:r w:rsidRPr="00D42CD6">
              <w:rPr>
                <w:rFonts w:cs="Times New Roman"/>
                <w:sz w:val="15"/>
                <w:szCs w:val="15"/>
              </w:rPr>
              <w:t>scriptional context.</w:t>
            </w:r>
          </w:p>
        </w:tc>
      </w:tr>
      <w:tr w:rsidR="00D42CD6" w:rsidRPr="00D42CD6" w14:paraId="159CE972" w14:textId="77777777" w:rsidTr="00BE4933">
        <w:trPr>
          <w:cantSplit/>
        </w:trPr>
        <w:tc>
          <w:tcPr>
            <w:tcW w:w="1560" w:type="dxa"/>
          </w:tcPr>
          <w:p w14:paraId="28416EA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Kosiński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(2025)</w:t>
            </w:r>
          </w:p>
        </w:tc>
        <w:tc>
          <w:tcPr>
            <w:tcW w:w="2268" w:type="dxa"/>
          </w:tcPr>
          <w:p w14:paraId="713DBF9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Bacterial terminator atlas; reproducible 3′ RNA ends.</w:t>
            </w:r>
          </w:p>
        </w:tc>
        <w:tc>
          <w:tcPr>
            <w:tcW w:w="3685" w:type="dxa"/>
          </w:tcPr>
          <w:p w14:paraId="68ED2C3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TERMITe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calls replicated Term-seq peaks and annotates hairpin/U-tract features.</w:t>
            </w:r>
          </w:p>
        </w:tc>
        <w:tc>
          <w:tcPr>
            <w:tcW w:w="5447" w:type="dxa"/>
          </w:tcPr>
          <w:p w14:paraId="6DC765E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Across 13 species, supported terminators varied in sequence and structure; Ca</w:t>
            </w:r>
            <w:r w:rsidRPr="00D42CD6">
              <w:rPr>
                <w:rFonts w:cs="Times New Roman"/>
                <w:sz w:val="15"/>
                <w:szCs w:val="15"/>
              </w:rPr>
              <w:t>veat: stable ends can include processing products.</w:t>
            </w:r>
          </w:p>
        </w:tc>
      </w:tr>
      <w:tr w:rsidR="00D42CD6" w:rsidRPr="00D42CD6" w14:paraId="461A50AA" w14:textId="77777777" w:rsidTr="00BE4933">
        <w:trPr>
          <w:cantSplit/>
        </w:trPr>
        <w:tc>
          <w:tcPr>
            <w:tcW w:w="1560" w:type="dxa"/>
          </w:tcPr>
          <w:p w14:paraId="3FB4796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Delaleau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(2025)</w:t>
            </w:r>
          </w:p>
        </w:tc>
        <w:tc>
          <w:tcPr>
            <w:tcW w:w="2268" w:type="dxa"/>
          </w:tcPr>
          <w:p w14:paraId="09A34196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Rho-site mapping; in vitro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rut</w:t>
            </w:r>
            <w:r w:rsidRPr="00D42CD6">
              <w:rPr>
                <w:rFonts w:cs="Times New Roman"/>
                <w:sz w:val="15"/>
                <w:szCs w:val="15"/>
              </w:rPr>
              <w:t xml:space="preserve"> affinity.</w:t>
            </w:r>
          </w:p>
        </w:tc>
        <w:tc>
          <w:tcPr>
            <w:tcW w:w="3685" w:type="dxa"/>
          </w:tcPr>
          <w:p w14:paraId="5717DC0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H-SELEX compares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Bacillus</w:t>
            </w:r>
            <w:r w:rsidRPr="00D42CD6">
              <w:rPr>
                <w:rFonts w:cs="Times New Roman"/>
                <w:sz w:val="15"/>
                <w:szCs w:val="15"/>
              </w:rPr>
              <w:t xml:space="preserve"> and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E. coli</w:t>
            </w:r>
            <w:r w:rsidRPr="00D42CD6">
              <w:rPr>
                <w:rFonts w:cs="Times New Roman"/>
                <w:sz w:val="15"/>
                <w:szCs w:val="15"/>
              </w:rPr>
              <w:t xml:space="preserve"> Rho substrate preferences.</w:t>
            </w:r>
          </w:p>
        </w:tc>
        <w:tc>
          <w:tcPr>
            <w:tcW w:w="5447" w:type="dxa"/>
          </w:tcPr>
          <w:p w14:paraId="4961C04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Identifies sequence/accessibility preferences; Caveat: in vitro sites </w:t>
            </w:r>
            <w:r w:rsidRPr="00D42CD6">
              <w:rPr>
                <w:rFonts w:cs="Times New Roman"/>
                <w:sz w:val="15"/>
                <w:szCs w:val="15"/>
              </w:rPr>
              <w:t>need not be used in vivo.</w:t>
            </w:r>
          </w:p>
        </w:tc>
      </w:tr>
      <w:tr w:rsidR="00D42CD6" w:rsidRPr="00D42CD6" w14:paraId="52C2C81B" w14:textId="77777777" w:rsidTr="00BE4933">
        <w:trPr>
          <w:cantSplit/>
        </w:trPr>
        <w:tc>
          <w:tcPr>
            <w:tcW w:w="1560" w:type="dxa"/>
          </w:tcPr>
          <w:p w14:paraId="7A9560A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Li et al. (2025)</w:t>
            </w:r>
          </w:p>
        </w:tc>
        <w:tc>
          <w:tcPr>
            <w:tcW w:w="2268" w:type="dxa"/>
          </w:tcPr>
          <w:p w14:paraId="4FAA9B4C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Intrinsic terminator design; reporter-measured efficiency.</w:t>
            </w:r>
          </w:p>
        </w:tc>
        <w:tc>
          <w:tcPr>
            <w:tcW w:w="3685" w:type="dxa"/>
          </w:tcPr>
          <w:p w14:paraId="5F14935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SVR strength predictor plus WGAN-GP generator using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E. coli</w:t>
            </w:r>
            <w:r w:rsidRPr="00D42CD6">
              <w:rPr>
                <w:rFonts w:cs="Times New Roman"/>
                <w:sz w:val="15"/>
                <w:szCs w:val="15"/>
              </w:rPr>
              <w:t xml:space="preserve"> sequence, thermodynamic, and RNA-structure features.</w:t>
            </w:r>
          </w:p>
        </w:tc>
        <w:tc>
          <w:tcPr>
            <w:tcW w:w="5447" w:type="dxa"/>
          </w:tcPr>
          <w:p w14:paraId="33655D8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13/18 generated candidates exceeded 0.90 efficiency in an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E. coli</w:t>
            </w:r>
            <w:r w:rsidRPr="00D42CD6">
              <w:rPr>
                <w:rFonts w:cs="Times New Roman"/>
                <w:sz w:val="15"/>
                <w:szCs w:val="15"/>
              </w:rPr>
              <w:t xml:space="preserve"> reporter; Caveat: small predictor-filtered set with untested cross-host transfer.</w:t>
            </w:r>
          </w:p>
        </w:tc>
      </w:tr>
      <w:tr w:rsidR="00D42CD6" w:rsidRPr="00D42CD6" w14:paraId="1C1954C4" w14:textId="77777777" w:rsidTr="00BE4933">
        <w:trPr>
          <w:cantSplit/>
        </w:trPr>
        <w:tc>
          <w:tcPr>
            <w:tcW w:w="1560" w:type="dxa"/>
          </w:tcPr>
          <w:p w14:paraId="1583A48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Cui et al. (2021)</w:t>
            </w:r>
          </w:p>
        </w:tc>
        <w:tc>
          <w:tcPr>
            <w:tcW w:w="2268" w:type="dxa"/>
          </w:tcPr>
          <w:p w14:paraId="764AA38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Minimal terminator design; cross-ho</w:t>
            </w:r>
            <w:r w:rsidRPr="00D42CD6">
              <w:rPr>
                <w:rFonts w:cs="Times New Roman"/>
                <w:sz w:val="15"/>
                <w:szCs w:val="15"/>
              </w:rPr>
              <w:t>st reporter efficiency.</w:t>
            </w:r>
          </w:p>
        </w:tc>
        <w:tc>
          <w:tcPr>
            <w:tcW w:w="3685" w:type="dxa"/>
          </w:tcPr>
          <w:p w14:paraId="28707AD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In silico design with dual-fluorescent tests in four bacterial hosts.</w:t>
            </w:r>
          </w:p>
        </w:tc>
        <w:tc>
          <w:tcPr>
            <w:tcW w:w="5447" w:type="dxa"/>
          </w:tcPr>
          <w:p w14:paraId="7E263DA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Validated in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B. subtilis</w:t>
            </w:r>
            <w:r w:rsidRPr="00D42CD6">
              <w:rPr>
                <w:rFonts w:cs="Times New Roman"/>
                <w:sz w:val="15"/>
                <w:szCs w:val="15"/>
              </w:rPr>
              <w:t xml:space="preserve">,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 xml:space="preserve">C. </w:t>
            </w:r>
            <w:proofErr w:type="spellStart"/>
            <w:r w:rsidRPr="00D42CD6">
              <w:rPr>
                <w:rFonts w:cs="Times New Roman"/>
                <w:i/>
                <w:iCs/>
                <w:sz w:val="15"/>
                <w:szCs w:val="15"/>
              </w:rPr>
              <w:t>glutamicum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, and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E. coli</w:t>
            </w:r>
            <w:r w:rsidRPr="00D42CD6">
              <w:rPr>
                <w:rFonts w:cs="Times New Roman"/>
                <w:sz w:val="15"/>
                <w:szCs w:val="15"/>
              </w:rPr>
              <w:t>; Caveat: four strains do not establish universal portability.</w:t>
            </w:r>
          </w:p>
        </w:tc>
      </w:tr>
      <w:tr w:rsidR="00D42CD6" w:rsidRPr="00D42CD6" w14:paraId="4CF5ABBB" w14:textId="77777777" w:rsidTr="00BE4933">
        <w:trPr>
          <w:cantSplit/>
        </w:trPr>
        <w:tc>
          <w:tcPr>
            <w:tcW w:w="1560" w:type="dxa"/>
          </w:tcPr>
          <w:p w14:paraId="12D5B62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Amarelle et al. (2019)</w:t>
            </w:r>
          </w:p>
        </w:tc>
        <w:tc>
          <w:tcPr>
            <w:tcW w:w="2268" w:type="dxa"/>
          </w:tcPr>
          <w:p w14:paraId="2BB9AC9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Metagenomic terminator </w:t>
            </w:r>
            <w:r w:rsidRPr="00D42CD6">
              <w:rPr>
                <w:rFonts w:cs="Times New Roman"/>
                <w:sz w:val="15"/>
                <w:szCs w:val="15"/>
              </w:rPr>
              <w:t>discovery; cross-host reporter activity.</w:t>
            </w:r>
          </w:p>
        </w:tc>
        <w:tc>
          <w:tcPr>
            <w:tcW w:w="3685" w:type="dxa"/>
          </w:tcPr>
          <w:p w14:paraId="0D1E0B93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Terminator-trap screening in </w:t>
            </w:r>
            <w:r w:rsidRPr="00D42CD6">
              <w:rPr>
                <w:rFonts w:cs="Times New Roman"/>
                <w:i/>
                <w:iCs/>
                <w:sz w:val="15"/>
                <w:szCs w:val="15"/>
              </w:rPr>
              <w:t>Pseudomonas putida</w:t>
            </w:r>
            <w:r w:rsidRPr="00D42CD6">
              <w:rPr>
                <w:rFonts w:cs="Times New Roman"/>
                <w:sz w:val="15"/>
                <w:szCs w:val="15"/>
              </w:rPr>
              <w:t xml:space="preserve"> with Proteobacterial validation.</w:t>
            </w:r>
          </w:p>
        </w:tc>
        <w:tc>
          <w:tcPr>
            <w:tcW w:w="5447" w:type="dxa"/>
          </w:tcPr>
          <w:p w14:paraId="54AEB22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Active candidates transferred among several Proteobacteria; Caveat: mechanisms and broader host range remain unresolved.</w:t>
            </w:r>
          </w:p>
        </w:tc>
      </w:tr>
      <w:tr w:rsidR="00D42CD6" w:rsidRPr="00D42CD6" w14:paraId="4075AF4F" w14:textId="77777777" w:rsidTr="00BE4933">
        <w:trPr>
          <w:cantSplit/>
        </w:trPr>
        <w:tc>
          <w:tcPr>
            <w:tcW w:w="1560" w:type="dxa"/>
          </w:tcPr>
          <w:p w14:paraId="07CA00C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Xu et al. (2</w:t>
            </w:r>
            <w:r w:rsidRPr="00D42CD6">
              <w:rPr>
                <w:rFonts w:cs="Times New Roman"/>
                <w:sz w:val="15"/>
                <w:szCs w:val="15"/>
              </w:rPr>
              <w:t>022)</w:t>
            </w:r>
          </w:p>
        </w:tc>
        <w:tc>
          <w:tcPr>
            <w:tcW w:w="2268" w:type="dxa"/>
          </w:tcPr>
          <w:p w14:paraId="6B8D601B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Chassis-specific terminator design; reporter efficiency and PHB output.</w:t>
            </w:r>
          </w:p>
        </w:tc>
        <w:tc>
          <w:tcPr>
            <w:tcW w:w="3685" w:type="dxa"/>
          </w:tcPr>
          <w:p w14:paraId="29ACEF6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RNA-seq mining and reporter/production tests in </w:t>
            </w:r>
            <w:proofErr w:type="spellStart"/>
            <w:r w:rsidRPr="00D42CD6">
              <w:rPr>
                <w:rFonts w:cs="Times New Roman"/>
                <w:i/>
                <w:iCs/>
                <w:sz w:val="15"/>
                <w:szCs w:val="15"/>
              </w:rPr>
              <w:t>Halomonas</w:t>
            </w:r>
            <w:proofErr w:type="spellEnd"/>
            <w:r w:rsidRPr="00D42CD6">
              <w:rPr>
                <w:rFonts w:cs="Times New Roman"/>
                <w:i/>
                <w:iCs/>
                <w:sz w:val="15"/>
                <w:szCs w:val="15"/>
              </w:rPr>
              <w:t xml:space="preserve"> </w:t>
            </w:r>
            <w:proofErr w:type="spellStart"/>
            <w:r w:rsidRPr="00D42CD6">
              <w:rPr>
                <w:rFonts w:cs="Times New Roman"/>
                <w:i/>
                <w:iCs/>
                <w:sz w:val="15"/>
                <w:szCs w:val="15"/>
              </w:rPr>
              <w:t>bluephagenesis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>.</w:t>
            </w:r>
          </w:p>
        </w:tc>
        <w:tc>
          <w:tcPr>
            <w:tcW w:w="5447" w:type="dxa"/>
          </w:tcPr>
          <w:p w14:paraId="6A685AF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Linked terminator performance to a production phenotype; Caveat: single-host evidence and pathway </w:t>
            </w:r>
            <w:r w:rsidRPr="00D42CD6">
              <w:rPr>
                <w:rFonts w:cs="Times New Roman"/>
                <w:sz w:val="15"/>
                <w:szCs w:val="15"/>
              </w:rPr>
              <w:t>effects limit transfer.</w:t>
            </w:r>
          </w:p>
        </w:tc>
      </w:tr>
      <w:tr w:rsidR="00D42CD6" w:rsidRPr="00D42CD6" w14:paraId="5035DC31" w14:textId="77777777" w:rsidTr="00BE4933">
        <w:trPr>
          <w:cantSplit/>
        </w:trPr>
        <w:tc>
          <w:tcPr>
            <w:tcW w:w="1560" w:type="dxa"/>
          </w:tcPr>
          <w:p w14:paraId="7DD348C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Taheri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Ghahfarokhi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and Peña-Castillo (2025)</w:t>
            </w:r>
          </w:p>
        </w:tc>
        <w:tc>
          <w:tcPr>
            <w:tcW w:w="2268" w:type="dxa"/>
          </w:tcPr>
          <w:p w14:paraId="2D9C0DC1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Bacterial terminator prediction; annotated termination-site labels.</w:t>
            </w:r>
          </w:p>
        </w:tc>
        <w:tc>
          <w:tcPr>
            <w:tcW w:w="3685" w:type="dxa"/>
          </w:tcPr>
          <w:p w14:paraId="56C86A92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CNN ensemble trained on ~41,000 sites from 22 species using 100-nt sequence windows.</w:t>
            </w:r>
          </w:p>
        </w:tc>
        <w:tc>
          <w:tcPr>
            <w:tcW w:w="5447" w:type="dxa"/>
          </w:tcPr>
          <w:p w14:paraId="61AD4B7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Caveat: Performance declines with </w:t>
            </w:r>
            <w:r w:rsidRPr="00D42CD6">
              <w:rPr>
                <w:rFonts w:cs="Times New Roman"/>
                <w:sz w:val="15"/>
                <w:szCs w:val="15"/>
              </w:rPr>
              <w:t>GC content and does not separate intrinsic from factor-dependent mechanisms.</w:t>
            </w:r>
          </w:p>
        </w:tc>
      </w:tr>
      <w:tr w:rsidR="00D42CD6" w:rsidRPr="00D42CD6" w14:paraId="24E82857" w14:textId="77777777" w:rsidTr="00BE4933">
        <w:trPr>
          <w:cantSplit/>
        </w:trPr>
        <w:tc>
          <w:tcPr>
            <w:tcW w:w="1560" w:type="dxa"/>
          </w:tcPr>
          <w:p w14:paraId="3D4D1F37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D42CD6">
              <w:rPr>
                <w:rFonts w:cs="Times New Roman"/>
                <w:sz w:val="15"/>
                <w:szCs w:val="15"/>
              </w:rPr>
              <w:t>Saha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et al. (2026)</w:t>
            </w:r>
          </w:p>
        </w:tc>
        <w:tc>
          <w:tcPr>
            <w:tcW w:w="2268" w:type="dxa"/>
          </w:tcPr>
          <w:p w14:paraId="52B34B89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PAS prediction; balanced cleavage-site labels.</w:t>
            </w:r>
          </w:p>
        </w:tc>
        <w:tc>
          <w:tcPr>
            <w:tcW w:w="3685" w:type="dxa"/>
          </w:tcPr>
          <w:p w14:paraId="43659658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DNABERT-2, Nucleotide Transformer, and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HyenaDNA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classify 101-bp poly(A)-site windows.</w:t>
            </w:r>
          </w:p>
        </w:tc>
        <w:tc>
          <w:tcPr>
            <w:tcW w:w="5447" w:type="dxa"/>
          </w:tcPr>
          <w:p w14:paraId="2B45841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Tests sequence-feature use</w:t>
            </w:r>
            <w:r w:rsidRPr="00D42CD6">
              <w:rPr>
                <w:rFonts w:cs="Times New Roman"/>
                <w:sz w:val="15"/>
                <w:szCs w:val="15"/>
              </w:rPr>
              <w:t xml:space="preserve"> across models; Caveat: DNA-only inputs omit RNA structure and factor context.</w:t>
            </w:r>
          </w:p>
        </w:tc>
      </w:tr>
      <w:tr w:rsidR="00D42CD6" w:rsidRPr="00D42CD6" w14:paraId="5C75D3AF" w14:textId="77777777" w:rsidTr="00BE4933">
        <w:trPr>
          <w:cantSplit/>
        </w:trPr>
        <w:tc>
          <w:tcPr>
            <w:tcW w:w="1560" w:type="dxa"/>
          </w:tcPr>
          <w:p w14:paraId="796052D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Tian et al. (2025)</w:t>
            </w:r>
          </w:p>
        </w:tc>
        <w:tc>
          <w:tcPr>
            <w:tcW w:w="2268" w:type="dxa"/>
          </w:tcPr>
          <w:p w14:paraId="7F57F080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PAS/APA benchmarking; tool calls and differential-APA events.</w:t>
            </w:r>
          </w:p>
        </w:tc>
        <w:tc>
          <w:tcPr>
            <w:tcW w:w="3685" w:type="dxa"/>
          </w:tcPr>
          <w:p w14:paraId="6BB2673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Five PAS predictors and seven APA tools compared across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ccRCC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RNA-seq datasets.</w:t>
            </w:r>
          </w:p>
        </w:tc>
        <w:tc>
          <w:tcPr>
            <w:tcW w:w="5447" w:type="dxa"/>
          </w:tcPr>
          <w:p w14:paraId="362FA26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Tool </w:t>
            </w:r>
            <w:r w:rsidRPr="00D42CD6">
              <w:rPr>
                <w:rFonts w:cs="Times New Roman"/>
                <w:sz w:val="15"/>
                <w:szCs w:val="15"/>
              </w:rPr>
              <w:t>agreement and precision/sensitivity depend on the use case; Caveat: depth, 3′ bias, and reference coverage limit labels.</w:t>
            </w:r>
          </w:p>
        </w:tc>
      </w:tr>
      <w:tr w:rsidR="00E823F4" w:rsidRPr="00D42CD6" w14:paraId="19418278" w14:textId="77777777" w:rsidTr="00BE4933">
        <w:trPr>
          <w:cantSplit/>
        </w:trPr>
        <w:tc>
          <w:tcPr>
            <w:tcW w:w="1560" w:type="dxa"/>
          </w:tcPr>
          <w:p w14:paraId="2F46B5FE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Ye et al. (2026)</w:t>
            </w:r>
          </w:p>
        </w:tc>
        <w:tc>
          <w:tcPr>
            <w:tcW w:w="2268" w:type="dxa"/>
          </w:tcPr>
          <w:p w14:paraId="46C0ADCF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PAS label cleaning; poly(A)-site and internal-priming calls.</w:t>
            </w:r>
          </w:p>
        </w:tc>
        <w:tc>
          <w:tcPr>
            <w:tcW w:w="3685" w:type="dxa"/>
          </w:tcPr>
          <w:p w14:paraId="68D8C48D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 xml:space="preserve">Cross-protocol 3′-end pipeline with weighted peak clustering and </w:t>
            </w:r>
            <w:proofErr w:type="spellStart"/>
            <w:r w:rsidRPr="00D42CD6">
              <w:rPr>
                <w:rFonts w:cs="Times New Roman"/>
                <w:sz w:val="15"/>
                <w:szCs w:val="15"/>
              </w:rPr>
              <w:t>DeepIP</w:t>
            </w:r>
            <w:proofErr w:type="spellEnd"/>
            <w:r w:rsidRPr="00D42CD6">
              <w:rPr>
                <w:rFonts w:cs="Times New Roman"/>
                <w:sz w:val="15"/>
                <w:szCs w:val="15"/>
              </w:rPr>
              <w:t xml:space="preserve"> filtering.</w:t>
            </w:r>
          </w:p>
        </w:tc>
        <w:tc>
          <w:tcPr>
            <w:tcW w:w="5447" w:type="dxa"/>
          </w:tcPr>
          <w:p w14:paraId="5EF933B5" w14:textId="77777777" w:rsidR="00E823F4" w:rsidRPr="00D42CD6" w:rsidRDefault="009F63D6" w:rsidP="003B0C8A">
            <w:pPr>
              <w:pStyle w:val="Compact"/>
              <w:spacing w:before="0" w:after="0" w:line="360" w:lineRule="auto"/>
              <w:rPr>
                <w:rFonts w:cs="Times New Roman"/>
                <w:sz w:val="15"/>
                <w:szCs w:val="15"/>
              </w:rPr>
            </w:pPr>
            <w:r w:rsidRPr="00D42CD6">
              <w:rPr>
                <w:rFonts w:cs="Times New Roman"/>
                <w:sz w:val="15"/>
                <w:szCs w:val="15"/>
              </w:rPr>
              <w:t>Improves cross-protocol comparison; Caveat: intronic and novel calls still require biological validation.</w:t>
            </w:r>
          </w:p>
        </w:tc>
      </w:tr>
      <w:bookmarkEnd w:id="0"/>
      <w:bookmarkEnd w:id="5"/>
    </w:tbl>
    <w:p w14:paraId="0136F5A9" w14:textId="77777777" w:rsidR="000A31A5" w:rsidRPr="00D42CD6" w:rsidRDefault="000A31A5" w:rsidP="003B0C8A">
      <w:pPr>
        <w:spacing w:after="0" w:line="360" w:lineRule="auto"/>
        <w:rPr>
          <w:rFonts w:cs="Times New Roman"/>
        </w:rPr>
      </w:pPr>
    </w:p>
    <w:sectPr w:rsidR="000A31A5" w:rsidRPr="00D42CD6" w:rsidSect="0053526B">
      <w:footerReference w:type="default" r:id="rId7"/>
      <w:footnotePr>
        <w:numRestart w:val="eachSect"/>
      </w:footnotePr>
      <w:pgSz w:w="15840" w:h="12240" w:orient="landscape"/>
      <w:pgMar w:top="1440" w:right="1440" w:bottom="1440" w:left="1440" w:header="708" w:footer="7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F4D21" w14:textId="77777777" w:rsidR="009F63D6" w:rsidRDefault="009F63D6">
      <w:pPr>
        <w:spacing w:after="0" w:line="240" w:lineRule="auto"/>
      </w:pPr>
      <w:r>
        <w:separator/>
      </w:r>
    </w:p>
  </w:endnote>
  <w:endnote w:type="continuationSeparator" w:id="0">
    <w:p w14:paraId="25E87EF0" w14:textId="77777777" w:rsidR="009F63D6" w:rsidRDefault="009F6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44239" w14:textId="77777777" w:rsidR="00E823F4" w:rsidRDefault="009F63D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F20D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695D3" w14:textId="77777777" w:rsidR="009F63D6" w:rsidRDefault="009F63D6">
      <w:pPr>
        <w:spacing w:after="0" w:line="240" w:lineRule="auto"/>
      </w:pPr>
      <w:r>
        <w:separator/>
      </w:r>
    </w:p>
  </w:footnote>
  <w:footnote w:type="continuationSeparator" w:id="0">
    <w:p w14:paraId="159632B9" w14:textId="77777777" w:rsidR="009F63D6" w:rsidRDefault="009F63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78C46C2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A1NTUyMTU0MzYwsDBW0lEKTi0uzszPAykwrAUAeehhfSwAAAA="/>
  </w:docVars>
  <w:rsids>
    <w:rsidRoot w:val="00E823F4"/>
    <w:rsid w:val="00002654"/>
    <w:rsid w:val="000422F0"/>
    <w:rsid w:val="000A31A5"/>
    <w:rsid w:val="00386245"/>
    <w:rsid w:val="003B0C8A"/>
    <w:rsid w:val="004B0A50"/>
    <w:rsid w:val="004C2A48"/>
    <w:rsid w:val="004F20DA"/>
    <w:rsid w:val="0053526B"/>
    <w:rsid w:val="005C03AB"/>
    <w:rsid w:val="00625AA0"/>
    <w:rsid w:val="00816357"/>
    <w:rsid w:val="009F63D6"/>
    <w:rsid w:val="009F677B"/>
    <w:rsid w:val="00AF06A7"/>
    <w:rsid w:val="00B355AC"/>
    <w:rsid w:val="00BA3FDD"/>
    <w:rsid w:val="00BE4933"/>
    <w:rsid w:val="00C40ACB"/>
    <w:rsid w:val="00D42CD6"/>
    <w:rsid w:val="00E33F2B"/>
    <w:rsid w:val="00E823F4"/>
    <w:rsid w:val="00FC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67EC7"/>
  <w15:docId w15:val="{9322884F-A42D-2344-85DF-EAE4856FD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20" w:line="264" w:lineRule="auto"/>
    </w:pPr>
    <w:rPr>
      <w:rFonts w:ascii="Times New Roman" w:hAnsi="Times New Roman"/>
      <w:sz w:val="20"/>
    </w:rPr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color w:val="2E74B5"/>
      <w:sz w:val="32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color w:val="2E74B5"/>
      <w:sz w:val="26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1F4D78"/>
      <w:sz w:val="24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200" w:line="240" w:lineRule="auto"/>
      <w:contextualSpacing/>
      <w:jc w:val="center"/>
    </w:pPr>
    <w:rPr>
      <w:rFonts w:asciiTheme="majorHAnsi" w:eastAsiaTheme="majorEastAsia" w:hAnsiTheme="majorHAnsi" w:cstheme="majorBidi"/>
      <w:color w:val="2E74B5"/>
      <w:sz w:val="36"/>
      <w:szCs w:val="56"/>
    </w:rPr>
  </w:style>
  <w:style w:type="character" w:customStyle="1" w:styleId="a5">
    <w:name w:val="标题 字符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  <w:spacing w:after="160"/>
    </w:pPr>
    <w:rPr>
      <w:rFonts w:ascii="Times New Roman" w:hAnsi="Times New Roman"/>
      <w:color w:val="1F4D78"/>
      <w:spacing w:val="15"/>
      <w:sz w:val="24"/>
      <w:szCs w:val="28"/>
    </w:rPr>
  </w:style>
  <w:style w:type="character" w:customStyle="1" w:styleId="a7">
    <w:name w:val="副标题 字符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  <w:spacing w:after="160"/>
    </w:pPr>
    <w:rPr>
      <w:rFonts w:ascii="Times New Roman" w:hAnsi="Times New Roman"/>
      <w:color w:val="000000"/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Cs w:val="20"/>
    </w:rPr>
  </w:style>
  <w:style w:type="paragraph" w:styleId="a9">
    <w:name w:val="Bibliography"/>
    <w:basedOn w:val="a"/>
    <w:qFormat/>
  </w:style>
  <w:style w:type="character" w:customStyle="1" w:styleId="10">
    <w:name w:val="标题 1 字符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题注 字符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color w:val="0F476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customStyle="1" w:styleId="11">
    <w:name w:val="普通表格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4772</Words>
  <Characters>27207</Characters>
  <Application>Microsoft Office Word</Application>
  <DocSecurity>0</DocSecurity>
  <Lines>226</Lines>
  <Paragraphs>63</Paragraphs>
  <ScaleCrop>false</ScaleCrop>
  <Company/>
  <LinksUpToDate>false</LinksUpToDate>
  <CharactersWithSpaces>31916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yao</cp:lastModifiedBy>
  <cp:revision>10</cp:revision>
  <dcterms:created xsi:type="dcterms:W3CDTF">2026-08-05T06:43:00Z</dcterms:created>
  <dcterms:modified xsi:type="dcterms:W3CDTF">2026-08-07T05:47:00Z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graphy">
    <vt:lpwstr>/Volumes/E/Paper/terminator/references/refs.bib</vt:lpwstr>
  </property>
  <property fmtid="{D5CDD505-2E9C-101B-9397-08002B2CF9AE}" pid="3" name="csl">
    <vt:lpwstr>/Volumes/E/Paper/terminator/submission_sources/csl/springer-basic-author-date.csl</vt:lpwstr>
  </property>
  <property fmtid="{D5CDD505-2E9C-101B-9397-08002B2CF9AE}" pid="4" name="reference-section-title">
    <vt:lpwstr>References</vt:lpwstr>
  </property>
  <property fmtid="{D5CDD505-2E9C-101B-9397-08002B2CF9AE}" pid="5" name="suppress-bibliography">
    <vt:lpwstr>True</vt:lpwstr>
  </property>
</Properties>
</file>