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8D4AC">
      <w:pPr>
        <w:spacing w:line="360" w:lineRule="auto"/>
        <w:ind w:firstLine="442" w:firstLineChars="200"/>
        <w:jc w:val="center"/>
        <w:rPr>
          <w:rFonts w:eastAsia="黑体"/>
          <w:b/>
          <w:bCs/>
          <w:sz w:val="22"/>
        </w:rPr>
      </w:pPr>
      <w:r>
        <w:rPr>
          <w:rFonts w:eastAsia="黑体"/>
          <w:b/>
          <w:bCs/>
          <w:sz w:val="22"/>
        </w:rPr>
        <w:t>Early CD4+ T-cell immune reconstitution as a biomarker for Epstein-Barr virus control following allogeneic transplantation</w:t>
      </w:r>
    </w:p>
    <w:p w14:paraId="6463A7C5">
      <w:pPr>
        <w:spacing w:line="360" w:lineRule="auto"/>
        <w:ind w:firstLine="400" w:firstLineChars="200"/>
        <w:jc w:val="center"/>
        <w:rPr>
          <w:rFonts w:eastAsia="黑体"/>
          <w:sz w:val="20"/>
          <w:szCs w:val="20"/>
        </w:rPr>
      </w:pPr>
      <w:r>
        <w:rPr>
          <w:rFonts w:eastAsia="黑体"/>
          <w:sz w:val="20"/>
          <w:szCs w:val="20"/>
        </w:rPr>
        <w:t>Kexin Lin</w:t>
      </w:r>
      <w:r>
        <w:rPr>
          <w:rFonts w:eastAsia="黑体"/>
          <w:sz w:val="20"/>
          <w:szCs w:val="20"/>
          <w:vertAlign w:val="superscript"/>
        </w:rPr>
        <w:t>1</w:t>
      </w:r>
      <w:r>
        <w:rPr>
          <w:rFonts w:eastAsia="黑体"/>
          <w:sz w:val="20"/>
          <w:szCs w:val="20"/>
        </w:rPr>
        <w:t>, Wenwen Yang</w:t>
      </w:r>
      <w:r>
        <w:rPr>
          <w:rFonts w:eastAsia="黑体"/>
          <w:sz w:val="20"/>
          <w:szCs w:val="20"/>
          <w:vertAlign w:val="superscript"/>
        </w:rPr>
        <w:t>1</w:t>
      </w:r>
      <w:r>
        <w:rPr>
          <w:rFonts w:eastAsia="黑体"/>
          <w:sz w:val="20"/>
          <w:szCs w:val="20"/>
        </w:rPr>
        <w:t>, Jiaxiu Yin</w:t>
      </w:r>
      <w:r>
        <w:rPr>
          <w:rFonts w:eastAsia="黑体"/>
          <w:sz w:val="20"/>
          <w:szCs w:val="20"/>
          <w:vertAlign w:val="superscript"/>
        </w:rPr>
        <w:t>2</w:t>
      </w:r>
      <w:r>
        <w:rPr>
          <w:rFonts w:eastAsia="黑体"/>
          <w:sz w:val="20"/>
          <w:szCs w:val="20"/>
        </w:rPr>
        <w:t>, Jing Luo</w:t>
      </w:r>
      <w:r>
        <w:rPr>
          <w:rFonts w:eastAsia="黑体"/>
          <w:sz w:val="20"/>
          <w:szCs w:val="20"/>
          <w:vertAlign w:val="superscript"/>
        </w:rPr>
        <w:t>1</w:t>
      </w:r>
      <w:r>
        <w:rPr>
          <w:rFonts w:eastAsia="黑体"/>
          <w:sz w:val="20"/>
          <w:szCs w:val="20"/>
        </w:rPr>
        <w:t>, Hao Zhou</w:t>
      </w:r>
      <w:r>
        <w:rPr>
          <w:rFonts w:eastAsia="黑体"/>
          <w:sz w:val="20"/>
          <w:szCs w:val="20"/>
          <w:vertAlign w:val="superscript"/>
        </w:rPr>
        <w:t>1</w:t>
      </w:r>
      <w:r>
        <w:rPr>
          <w:rFonts w:eastAsia="黑体"/>
          <w:sz w:val="20"/>
          <w:szCs w:val="20"/>
        </w:rPr>
        <w:t>, Lanxiang Liu</w:t>
      </w:r>
      <w:r>
        <w:rPr>
          <w:rFonts w:eastAsia="黑体"/>
          <w:sz w:val="20"/>
          <w:szCs w:val="20"/>
          <w:vertAlign w:val="superscript"/>
        </w:rPr>
        <w:t>1</w:t>
      </w:r>
      <w:r>
        <w:rPr>
          <w:rFonts w:eastAsia="黑体"/>
          <w:sz w:val="20"/>
          <w:szCs w:val="20"/>
        </w:rPr>
        <w:t>, Li Yang</w:t>
      </w:r>
      <w:r>
        <w:rPr>
          <w:rFonts w:eastAsia="黑体"/>
          <w:sz w:val="20"/>
          <w:szCs w:val="20"/>
          <w:vertAlign w:val="superscript"/>
        </w:rPr>
        <w:t>1</w:t>
      </w:r>
      <w:r>
        <w:rPr>
          <w:rFonts w:eastAsia="黑体"/>
          <w:sz w:val="20"/>
          <w:szCs w:val="20"/>
        </w:rPr>
        <w:t>, Jie Luo</w:t>
      </w:r>
      <w:r>
        <w:rPr>
          <w:rFonts w:eastAsia="黑体"/>
          <w:sz w:val="20"/>
          <w:szCs w:val="20"/>
          <w:vertAlign w:val="superscript"/>
        </w:rPr>
        <w:t>1</w:t>
      </w:r>
      <w:r>
        <w:rPr>
          <w:rFonts w:eastAsia="黑体"/>
          <w:sz w:val="20"/>
          <w:szCs w:val="20"/>
        </w:rPr>
        <w:t>, Lin Liu*, Junli Mou*</w:t>
      </w:r>
    </w:p>
    <w:p w14:paraId="5E280FE0">
      <w:pPr>
        <w:spacing w:line="360" w:lineRule="auto"/>
        <w:rPr>
          <w:rFonts w:eastAsia="黑体"/>
          <w:sz w:val="20"/>
          <w:szCs w:val="20"/>
        </w:rPr>
      </w:pPr>
      <w:r>
        <w:rPr>
          <w:rFonts w:eastAsia="黑体"/>
          <w:sz w:val="20"/>
          <w:szCs w:val="20"/>
        </w:rPr>
        <w:t>Affiliation:</w:t>
      </w:r>
    </w:p>
    <w:p w14:paraId="41F5E003">
      <w:pPr>
        <w:spacing w:line="360" w:lineRule="auto"/>
        <w:rPr>
          <w:rFonts w:eastAsia="黑体"/>
          <w:sz w:val="20"/>
          <w:szCs w:val="20"/>
        </w:rPr>
      </w:pPr>
      <w:r>
        <w:rPr>
          <w:rFonts w:eastAsia="黑体"/>
          <w:sz w:val="20"/>
          <w:szCs w:val="20"/>
        </w:rPr>
        <w:t>1 Department of Hematology, The First Affiliated Hospital of Chongqing Medical University, Chongqing, People's Republic of China</w:t>
      </w:r>
    </w:p>
    <w:p w14:paraId="109FB28D">
      <w:pPr>
        <w:spacing w:line="360" w:lineRule="auto"/>
        <w:rPr>
          <w:rFonts w:eastAsia="黑体"/>
          <w:sz w:val="20"/>
          <w:szCs w:val="20"/>
        </w:rPr>
      </w:pPr>
      <w:r>
        <w:rPr>
          <w:rFonts w:eastAsia="黑体"/>
          <w:sz w:val="20"/>
          <w:szCs w:val="20"/>
        </w:rPr>
        <w:t>2 Department of Hematology, The Affiliated Hospital of North Sichan Medical college, Nanchong, Sichuan, People's Republic of China</w:t>
      </w:r>
    </w:p>
    <w:p w14:paraId="59918E6F">
      <w:pPr>
        <w:spacing w:line="360" w:lineRule="auto"/>
        <w:rPr>
          <w:rFonts w:eastAsia="黑体"/>
          <w:sz w:val="20"/>
          <w:szCs w:val="20"/>
        </w:rPr>
      </w:pPr>
      <w:r>
        <w:rPr>
          <w:rFonts w:eastAsia="黑体"/>
          <w:sz w:val="20"/>
          <w:szCs w:val="20"/>
        </w:rPr>
        <w:t>*Correspondence:</w:t>
      </w:r>
    </w:p>
    <w:p w14:paraId="40120F8B">
      <w:pPr>
        <w:spacing w:line="360" w:lineRule="auto"/>
        <w:rPr>
          <w:rFonts w:eastAsia="黑体"/>
          <w:sz w:val="20"/>
          <w:szCs w:val="20"/>
        </w:rPr>
      </w:pPr>
      <w:r>
        <w:rPr>
          <w:rFonts w:eastAsia="黑体"/>
          <w:sz w:val="20"/>
          <w:szCs w:val="20"/>
        </w:rPr>
        <w:t xml:space="preserve">Junli Mou </w:t>
      </w:r>
    </w:p>
    <w:p w14:paraId="0FEB0B76">
      <w:pPr>
        <w:spacing w:line="360" w:lineRule="auto"/>
        <w:rPr>
          <w:rFonts w:eastAsia="黑体"/>
          <w:sz w:val="20"/>
          <w:szCs w:val="20"/>
        </w:rPr>
      </w:pPr>
      <w:r>
        <w:rPr>
          <w:rFonts w:eastAsia="黑体"/>
          <w:sz w:val="20"/>
          <w:szCs w:val="20"/>
        </w:rPr>
        <w:t>Address: No.1 Youyi Road，Yuzhong District, Chongqing 40016,China</w:t>
      </w:r>
    </w:p>
    <w:p w14:paraId="472357AD">
      <w:pPr>
        <w:spacing w:line="360" w:lineRule="auto"/>
        <w:rPr>
          <w:rFonts w:eastAsia="黑体"/>
          <w:sz w:val="20"/>
          <w:szCs w:val="20"/>
        </w:rPr>
      </w:pPr>
      <w:r>
        <w:rPr>
          <w:rFonts w:eastAsia="黑体"/>
          <w:sz w:val="20"/>
          <w:szCs w:val="20"/>
        </w:rPr>
        <w:t xml:space="preserve">Email: </w:t>
      </w:r>
      <w:r>
        <w:fldChar w:fldCharType="begin"/>
      </w:r>
      <w:r>
        <w:instrText xml:space="preserve"> HYPERLINK "mailto:moujunli1102@163.com" </w:instrText>
      </w:r>
      <w:r>
        <w:fldChar w:fldCharType="separate"/>
      </w:r>
      <w:r>
        <w:rPr>
          <w:rStyle w:val="7"/>
          <w:rFonts w:eastAsia="黑体"/>
          <w:sz w:val="20"/>
          <w:szCs w:val="20"/>
        </w:rPr>
        <w:t>moujunli1102@163.com</w:t>
      </w:r>
      <w:r>
        <w:rPr>
          <w:rStyle w:val="7"/>
          <w:rFonts w:eastAsia="黑体"/>
          <w:sz w:val="20"/>
          <w:szCs w:val="20"/>
        </w:rPr>
        <w:fldChar w:fldCharType="end"/>
      </w:r>
    </w:p>
    <w:p w14:paraId="31E76F53">
      <w:pPr>
        <w:spacing w:line="360" w:lineRule="auto"/>
        <w:rPr>
          <w:rFonts w:eastAsia="黑体"/>
          <w:sz w:val="20"/>
          <w:szCs w:val="20"/>
        </w:rPr>
      </w:pPr>
      <w:r>
        <w:rPr>
          <w:rFonts w:eastAsia="黑体"/>
          <w:sz w:val="20"/>
          <w:szCs w:val="20"/>
        </w:rPr>
        <w:t>Lin Liu</w:t>
      </w:r>
    </w:p>
    <w:p w14:paraId="16A69713">
      <w:pPr>
        <w:spacing w:line="360" w:lineRule="auto"/>
        <w:rPr>
          <w:rFonts w:eastAsia="黑体"/>
          <w:sz w:val="20"/>
          <w:szCs w:val="20"/>
        </w:rPr>
      </w:pPr>
      <w:r>
        <w:rPr>
          <w:rFonts w:eastAsia="黑体"/>
          <w:sz w:val="20"/>
          <w:szCs w:val="20"/>
        </w:rPr>
        <w:t>Address: No.1 Youyi Road，Yuzhong District, Chongqing 40016,China</w:t>
      </w:r>
    </w:p>
    <w:p w14:paraId="0FFE782A">
      <w:pPr>
        <w:spacing w:line="360" w:lineRule="auto"/>
        <w:rPr>
          <w:rFonts w:eastAsia="黑体"/>
          <w:sz w:val="24"/>
          <w:szCs w:val="36"/>
        </w:rPr>
      </w:pPr>
      <w:r>
        <w:rPr>
          <w:rFonts w:eastAsia="黑体"/>
          <w:sz w:val="20"/>
          <w:szCs w:val="20"/>
        </w:rPr>
        <w:t>Email:</w:t>
      </w:r>
      <w:r>
        <w:rPr>
          <w:sz w:val="20"/>
          <w:szCs w:val="20"/>
        </w:rPr>
        <w:t xml:space="preserve"> </w:t>
      </w:r>
      <w:r>
        <w:fldChar w:fldCharType="begin"/>
      </w:r>
      <w:r>
        <w:instrText xml:space="preserve"> HYPERLINK "mailto:liulin@cqmu.edu.cn" </w:instrText>
      </w:r>
      <w:r>
        <w:fldChar w:fldCharType="separate"/>
      </w:r>
      <w:r>
        <w:rPr>
          <w:rStyle w:val="7"/>
          <w:rFonts w:eastAsia="黑体"/>
          <w:sz w:val="20"/>
          <w:szCs w:val="20"/>
        </w:rPr>
        <w:t>liulin@cqmu.edu.cn</w:t>
      </w:r>
      <w:r>
        <w:rPr>
          <w:rStyle w:val="7"/>
          <w:rFonts w:eastAsia="黑体"/>
          <w:sz w:val="20"/>
          <w:szCs w:val="20"/>
        </w:rPr>
        <w:fldChar w:fldCharType="end"/>
      </w:r>
    </w:p>
    <w:p w14:paraId="3054A8F1">
      <w:pPr>
        <w:spacing w:line="480" w:lineRule="auto"/>
        <w:rPr>
          <w:b/>
          <w:bCs/>
          <w:color w:val="2A2A2A"/>
          <w:sz w:val="20"/>
          <w:szCs w:val="20"/>
          <w:shd w:val="clear" w:color="auto" w:fill="FFFFFF"/>
        </w:rPr>
      </w:pPr>
      <w:r>
        <w:rPr>
          <w:b/>
          <w:bCs/>
          <w:color w:val="2A2A2A"/>
          <w:sz w:val="20"/>
          <w:szCs w:val="20"/>
          <w:shd w:val="clear" w:color="auto" w:fill="FFFFFF"/>
        </w:rPr>
        <w:t>Supplementary methods</w:t>
      </w:r>
    </w:p>
    <w:p w14:paraId="0AA235EB">
      <w:pPr>
        <w:spacing w:line="360" w:lineRule="auto"/>
        <w:ind w:firstLine="400" w:firstLineChars="200"/>
        <w:rPr>
          <w:b/>
          <w:bCs/>
          <w:color w:val="2A2A2A"/>
          <w:sz w:val="20"/>
          <w:szCs w:val="20"/>
          <w:shd w:val="clear" w:color="auto" w:fill="FFFFFF"/>
        </w:rPr>
      </w:pPr>
      <w:r>
        <w:rPr>
          <w:rFonts w:eastAsia="黑体"/>
          <w:sz w:val="20"/>
          <w:szCs w:val="20"/>
        </w:rPr>
        <w:t>Chi-square or Fisher's exact test was used for different categorical variables between the two groups. Continuous variables were compared by unpaired two-tailed Student t-test (for comparison of two groups) or one-way ANOVA. A univariate logistic regression model was used to determine the predicted values of lymphocyte subsets within 100 days post-allo-HSCT for the immunotolerant group. A receiver operating characteristic (ROC) curve was plotted, and the area under the curve (AUC) was calculated to quantify the predictive performance of lymphocyte subsets for immune reconstitution (IR) quality and post-transplant prognosis.</w:t>
      </w:r>
      <w:r>
        <w:rPr>
          <w:rFonts w:hint="eastAsia" w:eastAsia="黑体"/>
          <w:sz w:val="20"/>
          <w:szCs w:val="20"/>
        </w:rPr>
        <w:t xml:space="preserve"> </w:t>
      </w:r>
      <w:r>
        <w:rPr>
          <w:rFonts w:eastAsia="黑体"/>
          <w:sz w:val="20"/>
          <w:szCs w:val="20"/>
        </w:rPr>
        <w:t>Multivariate Cox regression analysis was performed on the variables that were statisti-cally significant in the univariate analysis.</w:t>
      </w:r>
      <w:r>
        <w:rPr>
          <w:rFonts w:hint="eastAsia" w:eastAsia="黑体"/>
          <w:sz w:val="20"/>
          <w:szCs w:val="20"/>
        </w:rPr>
        <w:t xml:space="preserve"> </w:t>
      </w:r>
      <w:r>
        <w:rPr>
          <w:rFonts w:eastAsia="黑体"/>
          <w:color w:val="FF0000"/>
          <w:sz w:val="20"/>
          <w:szCs w:val="20"/>
        </w:rPr>
        <w:t>A multivariable logistic regression analysis was performed to examine the relationship between the two groups and the predictor variables. The analysis was conducted using the generalized linear model (glm) function in R with a binomial family and logit link. Odds ratios (ORs) along with their corresponding 95% confidence intervals (CIs) and p-values were computed to quantify associations and assess statistical significance.</w:t>
      </w:r>
    </w:p>
    <w:p w14:paraId="0BFB2E8C">
      <w:pPr>
        <w:spacing w:line="480" w:lineRule="auto"/>
        <w:rPr>
          <w:b/>
          <w:bCs/>
          <w:color w:val="2A2A2A"/>
          <w:sz w:val="20"/>
          <w:szCs w:val="20"/>
          <w:shd w:val="clear" w:color="auto" w:fill="FFFFFF"/>
        </w:rPr>
      </w:pPr>
    </w:p>
    <w:p w14:paraId="3E3570D9">
      <w:pPr>
        <w:rPr>
          <w:sz w:val="20"/>
          <w:szCs w:val="20"/>
        </w:rPr>
      </w:pPr>
      <w:r>
        <w:rPr>
          <w:sz w:val="20"/>
          <w:szCs w:val="20"/>
        </w:rPr>
        <w:drawing>
          <wp:inline distT="0" distB="0" distL="114300" distR="114300">
            <wp:extent cx="5266690" cy="2823210"/>
            <wp:effectExtent l="0" t="0" r="6350" b="11430"/>
            <wp:docPr id="2" name="图片 2" descr="S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Fig1"/>
                    <pic:cNvPicPr>
                      <a:picLocks noChangeAspect="1"/>
                    </pic:cNvPicPr>
                  </pic:nvPicPr>
                  <pic:blipFill>
                    <a:blip r:embed="rId4"/>
                    <a:stretch>
                      <a:fillRect/>
                    </a:stretch>
                  </pic:blipFill>
                  <pic:spPr>
                    <a:xfrm>
                      <a:off x="0" y="0"/>
                      <a:ext cx="5266690" cy="2823210"/>
                    </a:xfrm>
                    <a:prstGeom prst="rect">
                      <a:avLst/>
                    </a:prstGeom>
                  </pic:spPr>
                </pic:pic>
              </a:graphicData>
            </a:graphic>
          </wp:inline>
        </w:drawing>
      </w:r>
    </w:p>
    <w:p w14:paraId="23371352">
      <w:pPr>
        <w:pStyle w:val="2"/>
        <w:rPr>
          <w:rFonts w:ascii="Times New Roman" w:hAnsi="Times New Roman" w:eastAsia="宋体"/>
          <w:szCs w:val="20"/>
        </w:rPr>
      </w:pPr>
      <w:r>
        <w:rPr>
          <w:rFonts w:ascii="Times New Roman" w:hAnsi="Times New Roman" w:eastAsia="宋体"/>
          <w:b/>
          <w:bCs/>
          <w:szCs w:val="20"/>
        </w:rPr>
        <w:t>Supplementary Fig. 1</w:t>
      </w:r>
      <w:r>
        <w:rPr>
          <w:rFonts w:ascii="Times New Roman" w:hAnsi="Times New Roman" w:eastAsia="宋体"/>
          <w:szCs w:val="20"/>
        </w:rPr>
        <w:t xml:space="preserve"> ROC analysis of the prognostic value of different immune cells within 100 days post-transplant </w:t>
      </w:r>
    </w:p>
    <w:p w14:paraId="12ECE624">
      <w:pPr>
        <w:pStyle w:val="2"/>
        <w:rPr>
          <w:rFonts w:ascii="Times New Roman" w:hAnsi="Times New Roman" w:eastAsia="宋体"/>
          <w:szCs w:val="20"/>
        </w:rPr>
      </w:pPr>
      <w:r>
        <w:rPr>
          <w:rFonts w:ascii="Times New Roman" w:hAnsi="Times New Roman" w:eastAsia="宋体"/>
          <w:szCs w:val="20"/>
        </w:rPr>
        <w:t>The predictive value of CD4+ T cell, CD8+ T cell, and NK cell counts at 30 days post-allo-HSCT for aGVHD(</w:t>
      </w:r>
      <w:r>
        <w:rPr>
          <w:rFonts w:ascii="Times New Roman" w:hAnsi="Times New Roman" w:eastAsia="宋体"/>
          <w:b/>
          <w:bCs/>
          <w:szCs w:val="20"/>
        </w:rPr>
        <w:t>A</w:t>
      </w:r>
      <w:r>
        <w:rPr>
          <w:rFonts w:ascii="Times New Roman" w:hAnsi="Times New Roman" w:eastAsia="宋体"/>
          <w:szCs w:val="20"/>
        </w:rPr>
        <w:t>), cGVHD(</w:t>
      </w:r>
      <w:r>
        <w:rPr>
          <w:rFonts w:ascii="Times New Roman" w:hAnsi="Times New Roman" w:eastAsia="宋体"/>
          <w:b/>
          <w:bCs/>
          <w:szCs w:val="20"/>
        </w:rPr>
        <w:t>B</w:t>
      </w:r>
      <w:r>
        <w:rPr>
          <w:rFonts w:ascii="Times New Roman" w:hAnsi="Times New Roman" w:eastAsia="宋体"/>
          <w:szCs w:val="20"/>
        </w:rPr>
        <w:t>), EBV(</w:t>
      </w:r>
      <w:r>
        <w:rPr>
          <w:rFonts w:ascii="Times New Roman" w:hAnsi="Times New Roman" w:eastAsia="宋体"/>
          <w:b/>
          <w:bCs/>
          <w:szCs w:val="20"/>
        </w:rPr>
        <w:t>C</w:t>
      </w:r>
      <w:r>
        <w:rPr>
          <w:rFonts w:ascii="Times New Roman" w:hAnsi="Times New Roman" w:eastAsia="宋体"/>
          <w:szCs w:val="20"/>
        </w:rPr>
        <w:t>), CMV(</w:t>
      </w:r>
      <w:r>
        <w:rPr>
          <w:rFonts w:ascii="Times New Roman" w:hAnsi="Times New Roman" w:eastAsia="宋体"/>
          <w:b/>
          <w:bCs/>
          <w:szCs w:val="20"/>
        </w:rPr>
        <w:t>D</w:t>
      </w:r>
      <w:r>
        <w:rPr>
          <w:rFonts w:ascii="Times New Roman" w:hAnsi="Times New Roman" w:eastAsia="宋体"/>
          <w:szCs w:val="20"/>
        </w:rPr>
        <w:t>), recurrence(</w:t>
      </w:r>
      <w:r>
        <w:rPr>
          <w:rFonts w:ascii="Times New Roman" w:hAnsi="Times New Roman" w:eastAsia="宋体"/>
          <w:b/>
          <w:bCs/>
          <w:szCs w:val="20"/>
        </w:rPr>
        <w:t>E</w:t>
      </w:r>
      <w:r>
        <w:rPr>
          <w:rFonts w:ascii="Times New Roman" w:hAnsi="Times New Roman" w:eastAsia="宋体"/>
          <w:szCs w:val="20"/>
        </w:rPr>
        <w:t>), and 2-year OS(</w:t>
      </w:r>
      <w:r>
        <w:rPr>
          <w:rFonts w:ascii="Times New Roman" w:hAnsi="Times New Roman" w:eastAsia="宋体"/>
          <w:b/>
          <w:bCs/>
          <w:szCs w:val="20"/>
        </w:rPr>
        <w:t>F</w:t>
      </w:r>
      <w:r>
        <w:rPr>
          <w:rFonts w:ascii="Times New Roman" w:hAnsi="Times New Roman" w:eastAsia="宋体"/>
          <w:szCs w:val="20"/>
        </w:rPr>
        <w:t xml:space="preserve">) post-transplant. The predictive value of CD4+ T cell, CD8+ T cell, and NK cell counts at 60 days post-allo-HSCT for </w:t>
      </w:r>
      <w:bookmarkStart w:id="0" w:name="_GoBack"/>
      <w:bookmarkEnd w:id="0"/>
      <w:r>
        <w:rPr>
          <w:rFonts w:ascii="Times New Roman" w:hAnsi="Times New Roman" w:eastAsia="宋体"/>
          <w:szCs w:val="20"/>
        </w:rPr>
        <w:t>aGVHD(</w:t>
      </w:r>
      <w:r>
        <w:rPr>
          <w:rFonts w:ascii="Times New Roman" w:hAnsi="Times New Roman" w:eastAsia="宋体"/>
          <w:b/>
          <w:bCs/>
          <w:szCs w:val="20"/>
        </w:rPr>
        <w:t>G</w:t>
      </w:r>
      <w:r>
        <w:rPr>
          <w:rFonts w:ascii="Times New Roman" w:hAnsi="Times New Roman" w:eastAsia="宋体"/>
          <w:szCs w:val="20"/>
        </w:rPr>
        <w:t>), cGVHD(</w:t>
      </w:r>
      <w:r>
        <w:rPr>
          <w:rFonts w:ascii="Times New Roman" w:hAnsi="Times New Roman" w:eastAsia="宋体"/>
          <w:b/>
          <w:bCs/>
          <w:szCs w:val="20"/>
        </w:rPr>
        <w:t>H</w:t>
      </w:r>
      <w:r>
        <w:rPr>
          <w:rFonts w:ascii="Times New Roman" w:hAnsi="Times New Roman" w:eastAsia="宋体"/>
          <w:szCs w:val="20"/>
        </w:rPr>
        <w:t>), EBV(</w:t>
      </w:r>
      <w:r>
        <w:rPr>
          <w:rFonts w:ascii="Times New Roman" w:hAnsi="Times New Roman" w:eastAsia="宋体"/>
          <w:b/>
          <w:bCs/>
          <w:szCs w:val="20"/>
        </w:rPr>
        <w:t>I</w:t>
      </w:r>
      <w:r>
        <w:rPr>
          <w:rFonts w:ascii="Times New Roman" w:hAnsi="Times New Roman" w:eastAsia="宋体"/>
          <w:szCs w:val="20"/>
        </w:rPr>
        <w:t>), CMV(</w:t>
      </w:r>
      <w:r>
        <w:rPr>
          <w:rFonts w:ascii="Times New Roman" w:hAnsi="Times New Roman" w:eastAsia="宋体"/>
          <w:b/>
          <w:bCs/>
          <w:szCs w:val="20"/>
        </w:rPr>
        <w:t>J</w:t>
      </w:r>
      <w:r>
        <w:rPr>
          <w:rFonts w:ascii="Times New Roman" w:hAnsi="Times New Roman" w:eastAsia="宋体"/>
          <w:szCs w:val="20"/>
        </w:rPr>
        <w:t>), recurrence(</w:t>
      </w:r>
      <w:r>
        <w:rPr>
          <w:rFonts w:ascii="Times New Roman" w:hAnsi="Times New Roman" w:eastAsia="宋体"/>
          <w:b/>
          <w:bCs/>
          <w:szCs w:val="20"/>
        </w:rPr>
        <w:t>K</w:t>
      </w:r>
      <w:r>
        <w:rPr>
          <w:rFonts w:ascii="Times New Roman" w:hAnsi="Times New Roman" w:eastAsia="宋体"/>
          <w:szCs w:val="20"/>
        </w:rPr>
        <w:t>), and 2-year OS(</w:t>
      </w:r>
      <w:r>
        <w:rPr>
          <w:rFonts w:ascii="Times New Roman" w:hAnsi="Times New Roman" w:eastAsia="宋体"/>
          <w:b/>
          <w:bCs/>
          <w:szCs w:val="20"/>
        </w:rPr>
        <w:t>L</w:t>
      </w:r>
      <w:r>
        <w:rPr>
          <w:rFonts w:ascii="Times New Roman" w:hAnsi="Times New Roman" w:eastAsia="宋体"/>
          <w:szCs w:val="20"/>
        </w:rPr>
        <w:t>) post-transplant.The predictive value of CD4+ T cell, CD8+ T cell, and NK cell counts at 90 days post-allo-HSCT for aGVHD(</w:t>
      </w:r>
      <w:r>
        <w:rPr>
          <w:rFonts w:ascii="Times New Roman" w:hAnsi="Times New Roman" w:eastAsia="宋体"/>
          <w:b/>
          <w:bCs/>
          <w:szCs w:val="20"/>
        </w:rPr>
        <w:t>M</w:t>
      </w:r>
      <w:r>
        <w:rPr>
          <w:rFonts w:ascii="Times New Roman" w:hAnsi="Times New Roman" w:eastAsia="宋体"/>
          <w:szCs w:val="20"/>
        </w:rPr>
        <w:t>), cGVHD(</w:t>
      </w:r>
      <w:r>
        <w:rPr>
          <w:rFonts w:ascii="Times New Roman" w:hAnsi="Times New Roman" w:eastAsia="宋体"/>
          <w:b/>
          <w:bCs/>
          <w:szCs w:val="20"/>
        </w:rPr>
        <w:t>N</w:t>
      </w:r>
      <w:r>
        <w:rPr>
          <w:rFonts w:ascii="Times New Roman" w:hAnsi="Times New Roman" w:eastAsia="宋体"/>
          <w:szCs w:val="20"/>
        </w:rPr>
        <w:t>), EBV(</w:t>
      </w:r>
      <w:r>
        <w:rPr>
          <w:rFonts w:ascii="Times New Roman" w:hAnsi="Times New Roman" w:eastAsia="宋体"/>
          <w:b/>
          <w:bCs/>
          <w:szCs w:val="20"/>
        </w:rPr>
        <w:t>O</w:t>
      </w:r>
      <w:r>
        <w:rPr>
          <w:rFonts w:ascii="Times New Roman" w:hAnsi="Times New Roman" w:eastAsia="宋体"/>
          <w:szCs w:val="20"/>
        </w:rPr>
        <w:t>), CMV(</w:t>
      </w:r>
      <w:r>
        <w:rPr>
          <w:rFonts w:ascii="Times New Roman" w:hAnsi="Times New Roman" w:eastAsia="宋体"/>
          <w:b/>
          <w:bCs/>
          <w:szCs w:val="20"/>
        </w:rPr>
        <w:t>P</w:t>
      </w:r>
      <w:r>
        <w:rPr>
          <w:rFonts w:ascii="Times New Roman" w:hAnsi="Times New Roman" w:eastAsia="宋体"/>
          <w:szCs w:val="20"/>
        </w:rPr>
        <w:t>), recurrence(</w:t>
      </w:r>
      <w:r>
        <w:rPr>
          <w:rFonts w:ascii="Times New Roman" w:hAnsi="Times New Roman" w:eastAsia="宋体"/>
          <w:b/>
          <w:bCs/>
          <w:szCs w:val="20"/>
        </w:rPr>
        <w:t>Q</w:t>
      </w:r>
      <w:r>
        <w:rPr>
          <w:rFonts w:ascii="Times New Roman" w:hAnsi="Times New Roman" w:eastAsia="宋体"/>
          <w:szCs w:val="20"/>
        </w:rPr>
        <w:t>), and 2-year OS(</w:t>
      </w:r>
      <w:r>
        <w:rPr>
          <w:rFonts w:ascii="Times New Roman" w:hAnsi="Times New Roman" w:eastAsia="宋体"/>
          <w:b/>
          <w:bCs/>
          <w:szCs w:val="20"/>
        </w:rPr>
        <w:t>R</w:t>
      </w:r>
      <w:r>
        <w:rPr>
          <w:rFonts w:ascii="Times New Roman" w:hAnsi="Times New Roman" w:eastAsia="宋体"/>
          <w:szCs w:val="20"/>
        </w:rPr>
        <w:t>) post-transplant.</w:t>
      </w:r>
    </w:p>
    <w:p w14:paraId="2545B325">
      <w:pPr>
        <w:rPr>
          <w:sz w:val="20"/>
          <w:szCs w:val="20"/>
        </w:rPr>
      </w:pPr>
    </w:p>
    <w:p w14:paraId="7DF65187">
      <w:pPr>
        <w:rPr>
          <w:sz w:val="20"/>
          <w:szCs w:val="20"/>
        </w:rPr>
      </w:pPr>
    </w:p>
    <w:p w14:paraId="6DA2A5FF">
      <w:pPr>
        <w:jc w:val="center"/>
        <w:rPr>
          <w:rFonts w:hint="eastAsia" w:eastAsia="宋体"/>
          <w:sz w:val="20"/>
          <w:szCs w:val="20"/>
          <w:lang w:eastAsia="zh-CN"/>
        </w:rPr>
      </w:pPr>
      <w:r>
        <w:rPr>
          <w:rFonts w:hint="eastAsia" w:eastAsia="宋体"/>
          <w:sz w:val="20"/>
          <w:szCs w:val="20"/>
          <w:lang w:eastAsia="zh-CN"/>
        </w:rPr>
        <w:drawing>
          <wp:inline distT="0" distB="0" distL="114300" distR="114300">
            <wp:extent cx="5270500" cy="2251075"/>
            <wp:effectExtent l="0" t="0" r="2540" b="4445"/>
            <wp:docPr id="1" name="图片 1" descr="S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Fig 2"/>
                    <pic:cNvPicPr>
                      <a:picLocks noChangeAspect="1"/>
                    </pic:cNvPicPr>
                  </pic:nvPicPr>
                  <pic:blipFill>
                    <a:blip r:embed="rId5"/>
                    <a:stretch>
                      <a:fillRect/>
                    </a:stretch>
                  </pic:blipFill>
                  <pic:spPr>
                    <a:xfrm>
                      <a:off x="0" y="0"/>
                      <a:ext cx="5270500" cy="2251075"/>
                    </a:xfrm>
                    <a:prstGeom prst="rect">
                      <a:avLst/>
                    </a:prstGeom>
                  </pic:spPr>
                </pic:pic>
              </a:graphicData>
            </a:graphic>
          </wp:inline>
        </w:drawing>
      </w:r>
    </w:p>
    <w:p w14:paraId="13C70E84">
      <w:pPr>
        <w:pStyle w:val="2"/>
        <w:rPr>
          <w:rFonts w:ascii="Times New Roman" w:hAnsi="Times New Roman" w:eastAsia="宋体"/>
          <w:szCs w:val="20"/>
        </w:rPr>
      </w:pPr>
      <w:r>
        <w:rPr>
          <w:rFonts w:ascii="Times New Roman" w:hAnsi="Times New Roman" w:eastAsia="宋体"/>
          <w:b/>
          <w:bCs/>
          <w:szCs w:val="20"/>
        </w:rPr>
        <w:t>Supplementary Fig. 2</w:t>
      </w:r>
      <w:r>
        <w:rPr>
          <w:rFonts w:ascii="Times New Roman" w:hAnsi="Times New Roman" w:eastAsia="宋体"/>
          <w:szCs w:val="20"/>
        </w:rPr>
        <w:t xml:space="preserve"> Reconstitution of CD4+ T cell subsets within 30 days post-transplantation in patients with HIR and LIR groups</w:t>
      </w:r>
    </w:p>
    <w:p w14:paraId="3910A082">
      <w:pPr>
        <w:pStyle w:val="2"/>
        <w:rPr>
          <w:sz w:val="20"/>
          <w:szCs w:val="20"/>
        </w:rPr>
      </w:pPr>
      <w:r>
        <w:rPr>
          <w:rFonts w:ascii="Times New Roman" w:hAnsi="Times New Roman" w:eastAsia="宋体"/>
          <w:szCs w:val="20"/>
        </w:rPr>
        <w:t xml:space="preserve">Comparison of the reconstitution of Th17, Treg, Th1, and Th2 cells in the LIR and HIR groups during the first month post-allo-HSCT. </w:t>
      </w:r>
    </w:p>
    <w:p w14:paraId="4DEA8028">
      <w:pPr>
        <w:rPr>
          <w:sz w:val="20"/>
          <w:szCs w:val="20"/>
        </w:rPr>
      </w:pPr>
    </w:p>
    <w:p w14:paraId="38434BB5">
      <w:pPr>
        <w:rPr>
          <w:sz w:val="20"/>
          <w:szCs w:val="20"/>
        </w:rPr>
      </w:pPr>
    </w:p>
    <w:p w14:paraId="002C4318">
      <w:pPr>
        <w:rPr>
          <w:sz w:val="20"/>
          <w:szCs w:val="20"/>
        </w:rPr>
      </w:pPr>
    </w:p>
    <w:p w14:paraId="08BC3C0B">
      <w:pPr>
        <w:rPr>
          <w:sz w:val="20"/>
          <w:szCs w:val="20"/>
        </w:rPr>
      </w:pPr>
      <w:r>
        <w:rPr>
          <w:sz w:val="20"/>
          <w:szCs w:val="20"/>
        </w:rPr>
        <w:drawing>
          <wp:inline distT="0" distB="0" distL="114300" distR="114300">
            <wp:extent cx="5272405" cy="1664335"/>
            <wp:effectExtent l="0" t="0" r="635" b="12065"/>
            <wp:docPr id="4" name="图片 4" descr="S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Fig3"/>
                    <pic:cNvPicPr>
                      <a:picLocks noChangeAspect="1"/>
                    </pic:cNvPicPr>
                  </pic:nvPicPr>
                  <pic:blipFill>
                    <a:blip r:embed="rId6"/>
                    <a:stretch>
                      <a:fillRect/>
                    </a:stretch>
                  </pic:blipFill>
                  <pic:spPr>
                    <a:xfrm>
                      <a:off x="0" y="0"/>
                      <a:ext cx="5272405" cy="1664335"/>
                    </a:xfrm>
                    <a:prstGeom prst="rect">
                      <a:avLst/>
                    </a:prstGeom>
                  </pic:spPr>
                </pic:pic>
              </a:graphicData>
            </a:graphic>
          </wp:inline>
        </w:drawing>
      </w:r>
    </w:p>
    <w:p w14:paraId="38582AF1">
      <w:pPr>
        <w:pStyle w:val="2"/>
        <w:rPr>
          <w:rFonts w:ascii="Times New Roman" w:hAnsi="Times New Roman" w:eastAsia="宋体"/>
          <w:szCs w:val="20"/>
        </w:rPr>
      </w:pPr>
      <w:r>
        <w:rPr>
          <w:rFonts w:ascii="Times New Roman" w:hAnsi="Times New Roman" w:eastAsia="宋体"/>
          <w:b/>
          <w:bCs/>
          <w:szCs w:val="20"/>
        </w:rPr>
        <w:t>Supplementary Fig. 3</w:t>
      </w:r>
      <w:r>
        <w:rPr>
          <w:rFonts w:hint="eastAsia" w:ascii="Times New Roman" w:hAnsi="Times New Roman" w:eastAsia="宋体"/>
          <w:szCs w:val="20"/>
        </w:rPr>
        <w:t xml:space="preserve"> </w:t>
      </w:r>
      <w:r>
        <w:rPr>
          <w:rFonts w:ascii="Times New Roman" w:hAnsi="Times New Roman" w:eastAsia="宋体"/>
          <w:szCs w:val="20"/>
        </w:rPr>
        <w:t>The relationship between EBV reactivation and early CD4+ T cell reconstitution</w:t>
      </w:r>
    </w:p>
    <w:p w14:paraId="29743B31">
      <w:pPr>
        <w:pStyle w:val="2"/>
        <w:rPr>
          <w:rFonts w:ascii="Times New Roman" w:hAnsi="Times New Roman" w:eastAsia="宋体"/>
          <w:szCs w:val="20"/>
        </w:rPr>
      </w:pPr>
      <w:r>
        <w:rPr>
          <w:rFonts w:ascii="Times New Roman" w:hAnsi="Times New Roman" w:eastAsia="宋体"/>
          <w:szCs w:val="20"/>
        </w:rPr>
        <w:t>Multivariate analysis was performed using the Cox proportional hazards model.</w:t>
      </w:r>
    </w:p>
    <w:p w14:paraId="4CAA5DC4">
      <w:pPr>
        <w:rPr>
          <w:sz w:val="20"/>
          <w:szCs w:val="20"/>
        </w:rPr>
      </w:pPr>
    </w:p>
    <w:p w14:paraId="56A19BAD">
      <w:pPr>
        <w:rPr>
          <w:sz w:val="20"/>
          <w:szCs w:val="20"/>
        </w:rPr>
      </w:pPr>
    </w:p>
    <w:p w14:paraId="56EB84A6">
      <w:pPr>
        <w:rPr>
          <w:sz w:val="20"/>
          <w:szCs w:val="20"/>
        </w:rPr>
      </w:pPr>
    </w:p>
    <w:p w14:paraId="73A02D00">
      <w:pPr>
        <w:rPr>
          <w:sz w:val="20"/>
          <w:szCs w:val="20"/>
        </w:rPr>
      </w:pPr>
    </w:p>
    <w:p w14:paraId="1A51C3A7">
      <w:pPr>
        <w:rPr>
          <w:sz w:val="20"/>
          <w:szCs w:val="20"/>
        </w:rPr>
      </w:pPr>
    </w:p>
    <w:p w14:paraId="3C751045">
      <w:pPr>
        <w:rPr>
          <w:sz w:val="20"/>
          <w:szCs w:val="20"/>
        </w:rPr>
      </w:pPr>
    </w:p>
    <w:p w14:paraId="310B8581">
      <w:pPr>
        <w:rPr>
          <w:sz w:val="20"/>
          <w:szCs w:val="20"/>
        </w:rPr>
      </w:pPr>
    </w:p>
    <w:p w14:paraId="43E607BF">
      <w:pPr>
        <w:rPr>
          <w:sz w:val="20"/>
          <w:szCs w:val="20"/>
        </w:rPr>
      </w:pPr>
    </w:p>
    <w:p w14:paraId="2AF56A43">
      <w:pPr>
        <w:rPr>
          <w:sz w:val="20"/>
          <w:szCs w:val="20"/>
        </w:rPr>
      </w:pPr>
    </w:p>
    <w:p w14:paraId="79AF5F5F">
      <w:pPr>
        <w:rPr>
          <w:sz w:val="20"/>
          <w:szCs w:val="20"/>
        </w:rPr>
      </w:pPr>
    </w:p>
    <w:p w14:paraId="1C97FADB">
      <w:pPr>
        <w:rPr>
          <w:sz w:val="20"/>
          <w:szCs w:val="20"/>
        </w:rPr>
      </w:pPr>
    </w:p>
    <w:p w14:paraId="002AE130">
      <w:pPr>
        <w:rPr>
          <w:sz w:val="20"/>
          <w:szCs w:val="20"/>
        </w:rPr>
      </w:pPr>
    </w:p>
    <w:p w14:paraId="04C82C4A">
      <w:pPr>
        <w:rPr>
          <w:sz w:val="20"/>
          <w:szCs w:val="20"/>
        </w:rPr>
      </w:pPr>
    </w:p>
    <w:p w14:paraId="729DFF9E">
      <w:pPr>
        <w:rPr>
          <w:sz w:val="20"/>
          <w:szCs w:val="20"/>
        </w:rPr>
      </w:pPr>
    </w:p>
    <w:p w14:paraId="60465AB4">
      <w:pPr>
        <w:rPr>
          <w:sz w:val="20"/>
          <w:szCs w:val="20"/>
        </w:rPr>
      </w:pPr>
    </w:p>
    <w:p w14:paraId="6E33BB52">
      <w:pPr>
        <w:rPr>
          <w:sz w:val="20"/>
          <w:szCs w:val="20"/>
        </w:rPr>
      </w:pPr>
    </w:p>
    <w:p w14:paraId="52D8D4BA">
      <w:pPr>
        <w:rPr>
          <w:sz w:val="20"/>
          <w:szCs w:val="20"/>
        </w:rPr>
      </w:pPr>
    </w:p>
    <w:p w14:paraId="06D4AC1A">
      <w:pPr>
        <w:rPr>
          <w:sz w:val="20"/>
          <w:szCs w:val="20"/>
        </w:rPr>
      </w:pPr>
    </w:p>
    <w:p w14:paraId="6988412B">
      <w:pPr>
        <w:rPr>
          <w:sz w:val="20"/>
          <w:szCs w:val="20"/>
        </w:rPr>
      </w:pPr>
    </w:p>
    <w:p w14:paraId="792B95B3">
      <w:pPr>
        <w:rPr>
          <w:sz w:val="20"/>
          <w:szCs w:val="20"/>
        </w:rPr>
      </w:pPr>
    </w:p>
    <w:p w14:paraId="044EA2FC">
      <w:pPr>
        <w:rPr>
          <w:sz w:val="20"/>
          <w:szCs w:val="20"/>
        </w:rPr>
      </w:pPr>
    </w:p>
    <w:p w14:paraId="36C2F11E">
      <w:pPr>
        <w:rPr>
          <w:sz w:val="20"/>
          <w:szCs w:val="20"/>
        </w:rPr>
      </w:pPr>
    </w:p>
    <w:p w14:paraId="252E1F1D">
      <w:pPr>
        <w:rPr>
          <w:sz w:val="20"/>
          <w:szCs w:val="20"/>
        </w:rPr>
      </w:pPr>
    </w:p>
    <w:p w14:paraId="5C0DABFF">
      <w:pPr>
        <w:rPr>
          <w:sz w:val="20"/>
          <w:szCs w:val="20"/>
        </w:rPr>
      </w:pPr>
    </w:p>
    <w:p w14:paraId="2E23D512">
      <w:pPr>
        <w:rPr>
          <w:sz w:val="20"/>
          <w:szCs w:val="20"/>
        </w:rPr>
      </w:pPr>
    </w:p>
    <w:p w14:paraId="7ADB9B7B">
      <w:pPr>
        <w:rPr>
          <w:sz w:val="20"/>
          <w:szCs w:val="20"/>
        </w:rPr>
      </w:pPr>
    </w:p>
    <w:p w14:paraId="2D4D4BE3">
      <w:pPr>
        <w:rPr>
          <w:sz w:val="20"/>
          <w:szCs w:val="20"/>
        </w:rPr>
      </w:pPr>
    </w:p>
    <w:p w14:paraId="234748E8">
      <w:pPr>
        <w:rPr>
          <w:sz w:val="20"/>
          <w:szCs w:val="20"/>
        </w:rPr>
      </w:pPr>
    </w:p>
    <w:p w14:paraId="66310405">
      <w:pPr>
        <w:rPr>
          <w:sz w:val="20"/>
          <w:szCs w:val="20"/>
        </w:rPr>
      </w:pPr>
    </w:p>
    <w:p w14:paraId="2B9C1F19">
      <w:pPr>
        <w:rPr>
          <w:sz w:val="20"/>
          <w:szCs w:val="20"/>
        </w:rPr>
      </w:pPr>
    </w:p>
    <w:p w14:paraId="3EDBFF7F">
      <w:pPr>
        <w:rPr>
          <w:sz w:val="20"/>
          <w:szCs w:val="20"/>
        </w:rPr>
      </w:pPr>
    </w:p>
    <w:p w14:paraId="18E57611">
      <w:pPr>
        <w:rPr>
          <w:b/>
          <w:bCs/>
        </w:rPr>
      </w:pPr>
      <w:r>
        <w:rPr>
          <w:b/>
          <w:bCs/>
          <w:szCs w:val="21"/>
        </w:rPr>
        <w:t>Supplementary</w:t>
      </w:r>
      <w:r>
        <w:rPr>
          <w:rFonts w:hint="eastAsia"/>
          <w:b/>
          <w:bCs/>
          <w:szCs w:val="21"/>
        </w:rPr>
        <w:t xml:space="preserve"> </w:t>
      </w:r>
      <w:r>
        <w:rPr>
          <w:b/>
          <w:bCs/>
          <w:szCs w:val="21"/>
        </w:rPr>
        <w:t>Table 1</w:t>
      </w:r>
      <w:r>
        <w:rPr>
          <w:sz w:val="20"/>
          <w:szCs w:val="20"/>
        </w:rPr>
        <w:t xml:space="preserve"> A multivariable logistic regression analysis was performed to examine the relationship between immunological grouping and the predictor variables.</w:t>
      </w:r>
    </w:p>
    <w:tbl>
      <w:tblPr>
        <w:tblStyle w:val="5"/>
        <w:tblpPr w:leftFromText="180" w:rightFromText="180" w:vertAnchor="text" w:horzAnchor="page" w:tblpX="1661" w:tblpY="1"/>
        <w:tblOverlap w:val="never"/>
        <w:tblW w:w="8716" w:type="dxa"/>
        <w:tblInd w:w="0" w:type="dxa"/>
        <w:tblLayout w:type="fixed"/>
        <w:tblCellMar>
          <w:top w:w="0" w:type="dxa"/>
          <w:left w:w="108" w:type="dxa"/>
          <w:bottom w:w="0" w:type="dxa"/>
          <w:right w:w="108" w:type="dxa"/>
        </w:tblCellMar>
      </w:tblPr>
      <w:tblGrid>
        <w:gridCol w:w="1767"/>
        <w:gridCol w:w="1080"/>
        <w:gridCol w:w="1233"/>
        <w:gridCol w:w="1418"/>
        <w:gridCol w:w="1909"/>
        <w:gridCol w:w="1309"/>
      </w:tblGrid>
      <w:tr w14:paraId="669DD037">
        <w:tblPrEx>
          <w:tblCellMar>
            <w:top w:w="0" w:type="dxa"/>
            <w:left w:w="108" w:type="dxa"/>
            <w:bottom w:w="0" w:type="dxa"/>
            <w:right w:w="108" w:type="dxa"/>
          </w:tblCellMar>
        </w:tblPrEx>
        <w:trPr>
          <w:tblHeader/>
        </w:trPr>
        <w:tc>
          <w:tcPr>
            <w:tcW w:w="1767"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35EF363B">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
                <w:bCs/>
                <w:color w:val="000000"/>
                <w:sz w:val="20"/>
                <w:szCs w:val="20"/>
              </w:rPr>
            </w:pPr>
          </w:p>
        </w:tc>
        <w:tc>
          <w:tcPr>
            <w:tcW w:w="1080"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350036EC">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
                <w:bCs/>
                <w:color w:val="000000"/>
                <w:sz w:val="20"/>
                <w:szCs w:val="20"/>
              </w:rPr>
            </w:pPr>
            <w:r>
              <w:rPr>
                <w:rFonts w:eastAsia="DejaVu Sans"/>
                <w:b/>
                <w:bCs/>
                <w:color w:val="000000"/>
                <w:sz w:val="20"/>
                <w:szCs w:val="20"/>
              </w:rPr>
              <w:t>N</w:t>
            </w:r>
          </w:p>
        </w:tc>
        <w:tc>
          <w:tcPr>
            <w:tcW w:w="1233"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6447CC21">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
                <w:bCs/>
                <w:color w:val="000000"/>
                <w:sz w:val="20"/>
                <w:szCs w:val="20"/>
              </w:rPr>
            </w:pPr>
            <w:r>
              <w:rPr>
                <w:rFonts w:eastAsia="DejaVu Sans"/>
                <w:b/>
                <w:bCs/>
                <w:color w:val="000000"/>
                <w:sz w:val="20"/>
                <w:szCs w:val="20"/>
              </w:rPr>
              <w:t>Event N</w:t>
            </w:r>
          </w:p>
        </w:tc>
        <w:tc>
          <w:tcPr>
            <w:tcW w:w="1418"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316F0A5F">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
                <w:bCs/>
                <w:color w:val="000000"/>
                <w:sz w:val="20"/>
                <w:szCs w:val="20"/>
              </w:rPr>
            </w:pPr>
            <w:r>
              <w:rPr>
                <w:rFonts w:eastAsia="DejaVu Sans"/>
                <w:b/>
                <w:bCs/>
                <w:color w:val="000000"/>
                <w:sz w:val="20"/>
                <w:szCs w:val="20"/>
              </w:rPr>
              <w:t>OR</w:t>
            </w:r>
          </w:p>
        </w:tc>
        <w:tc>
          <w:tcPr>
            <w:tcW w:w="1909"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0BEDA612">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
                <w:bCs/>
                <w:color w:val="000000"/>
                <w:sz w:val="20"/>
                <w:szCs w:val="20"/>
              </w:rPr>
            </w:pPr>
            <w:r>
              <w:rPr>
                <w:rFonts w:eastAsia="DejaVu Sans"/>
                <w:b/>
                <w:bCs/>
                <w:color w:val="000000"/>
                <w:sz w:val="20"/>
                <w:szCs w:val="20"/>
              </w:rPr>
              <w:t>95% CI</w:t>
            </w:r>
          </w:p>
        </w:tc>
        <w:tc>
          <w:tcPr>
            <w:tcW w:w="1309" w:type="dxa"/>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3708C5EC">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
                <w:bCs/>
                <w:color w:val="000000"/>
                <w:sz w:val="20"/>
                <w:szCs w:val="20"/>
              </w:rPr>
            </w:pPr>
            <w:r>
              <w:rPr>
                <w:rFonts w:eastAsia="DejaVu Sans"/>
                <w:b/>
                <w:bCs/>
                <w:color w:val="000000"/>
                <w:sz w:val="20"/>
                <w:szCs w:val="20"/>
              </w:rPr>
              <w:t>p-value</w:t>
            </w:r>
          </w:p>
        </w:tc>
      </w:tr>
      <w:tr w14:paraId="3285E49F">
        <w:tblPrEx>
          <w:tblCellMar>
            <w:top w:w="0" w:type="dxa"/>
            <w:left w:w="108" w:type="dxa"/>
            <w:bottom w:w="0" w:type="dxa"/>
            <w:right w:w="108" w:type="dxa"/>
          </w:tblCellMar>
        </w:tblPrEx>
        <w:tc>
          <w:tcPr>
            <w:tcW w:w="1767" w:type="dxa"/>
            <w:tcBorders>
              <w:top w:val="single" w:color="000000" w:sz="8" w:space="0"/>
              <w:left w:val="nil"/>
              <w:bottom w:val="nil"/>
              <w:right w:val="nil"/>
            </w:tcBorders>
            <w:shd w:val="clear" w:color="auto" w:fill="FFFFFF"/>
            <w:tcMar>
              <w:top w:w="0" w:type="dxa"/>
              <w:left w:w="0" w:type="dxa"/>
              <w:bottom w:w="0" w:type="dxa"/>
              <w:right w:w="0" w:type="dxa"/>
            </w:tcMar>
          </w:tcPr>
          <w:p w14:paraId="4F49B3E2">
            <w:pPr>
              <w:pBdr>
                <w:top w:val="none" w:color="000000" w:sz="0" w:space="0"/>
                <w:left w:val="none" w:color="000000" w:sz="0" w:space="0"/>
                <w:bottom w:val="none" w:color="000000" w:sz="0" w:space="0"/>
                <w:right w:val="none" w:color="000000" w:sz="0" w:space="0"/>
              </w:pBdr>
              <w:spacing w:before="120" w:after="120" w:line="360" w:lineRule="auto"/>
              <w:ind w:right="120"/>
              <w:jc w:val="left"/>
              <w:rPr>
                <w:rFonts w:eastAsia="DejaVu Sans"/>
                <w:bCs/>
                <w:color w:val="000000"/>
                <w:sz w:val="20"/>
                <w:szCs w:val="20"/>
              </w:rPr>
            </w:pPr>
            <w:r>
              <w:rPr>
                <w:rFonts w:eastAsia="DejaVu Sans"/>
                <w:bCs/>
                <w:color w:val="000000"/>
                <w:sz w:val="20"/>
                <w:szCs w:val="20"/>
              </w:rPr>
              <w:t>Gender</w:t>
            </w:r>
          </w:p>
        </w:tc>
        <w:tc>
          <w:tcPr>
            <w:tcW w:w="1080" w:type="dxa"/>
            <w:tcBorders>
              <w:top w:val="single" w:color="000000" w:sz="8" w:space="0"/>
              <w:left w:val="nil"/>
              <w:bottom w:val="nil"/>
              <w:right w:val="nil"/>
            </w:tcBorders>
            <w:shd w:val="clear" w:color="auto" w:fill="FFFFFF"/>
            <w:tcMar>
              <w:top w:w="0" w:type="dxa"/>
              <w:left w:w="0" w:type="dxa"/>
              <w:bottom w:w="0" w:type="dxa"/>
              <w:right w:w="0" w:type="dxa"/>
            </w:tcMar>
          </w:tcPr>
          <w:p w14:paraId="5986C023">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c>
          <w:tcPr>
            <w:tcW w:w="1233" w:type="dxa"/>
            <w:tcBorders>
              <w:top w:val="single" w:color="000000" w:sz="8" w:space="0"/>
              <w:left w:val="nil"/>
              <w:bottom w:val="nil"/>
              <w:right w:val="nil"/>
            </w:tcBorders>
            <w:shd w:val="clear" w:color="auto" w:fill="FFFFFF"/>
            <w:tcMar>
              <w:top w:w="0" w:type="dxa"/>
              <w:left w:w="0" w:type="dxa"/>
              <w:bottom w:w="0" w:type="dxa"/>
              <w:right w:w="0" w:type="dxa"/>
            </w:tcMar>
          </w:tcPr>
          <w:p w14:paraId="2185F328">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c>
          <w:tcPr>
            <w:tcW w:w="1418" w:type="dxa"/>
            <w:tcBorders>
              <w:top w:val="single" w:color="000000" w:sz="8" w:space="0"/>
              <w:left w:val="nil"/>
              <w:bottom w:val="nil"/>
              <w:right w:val="nil"/>
            </w:tcBorders>
            <w:shd w:val="clear" w:color="auto" w:fill="FFFFFF"/>
            <w:tcMar>
              <w:top w:w="0" w:type="dxa"/>
              <w:left w:w="0" w:type="dxa"/>
              <w:bottom w:w="0" w:type="dxa"/>
              <w:right w:w="0" w:type="dxa"/>
            </w:tcMar>
          </w:tcPr>
          <w:p w14:paraId="2ACE0359">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c>
          <w:tcPr>
            <w:tcW w:w="1909" w:type="dxa"/>
            <w:tcBorders>
              <w:top w:val="single" w:color="000000" w:sz="8" w:space="0"/>
              <w:left w:val="nil"/>
              <w:bottom w:val="nil"/>
              <w:right w:val="nil"/>
            </w:tcBorders>
            <w:shd w:val="clear" w:color="auto" w:fill="FFFFFF"/>
            <w:tcMar>
              <w:top w:w="0" w:type="dxa"/>
              <w:left w:w="0" w:type="dxa"/>
              <w:bottom w:w="0" w:type="dxa"/>
              <w:right w:w="0" w:type="dxa"/>
            </w:tcMar>
          </w:tcPr>
          <w:p w14:paraId="3C63418D">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c>
          <w:tcPr>
            <w:tcW w:w="1309" w:type="dxa"/>
            <w:tcBorders>
              <w:top w:val="single" w:color="000000" w:sz="8" w:space="0"/>
              <w:left w:val="nil"/>
              <w:bottom w:val="nil"/>
              <w:right w:val="nil"/>
            </w:tcBorders>
            <w:shd w:val="clear" w:color="auto" w:fill="FFFFFF"/>
            <w:tcMar>
              <w:top w:w="0" w:type="dxa"/>
              <w:left w:w="0" w:type="dxa"/>
              <w:bottom w:w="0" w:type="dxa"/>
              <w:right w:w="0" w:type="dxa"/>
            </w:tcMar>
          </w:tcPr>
          <w:p w14:paraId="46D69E5B">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r>
      <w:tr w14:paraId="57594D81">
        <w:tblPrEx>
          <w:tblCellMar>
            <w:top w:w="0" w:type="dxa"/>
            <w:left w:w="108" w:type="dxa"/>
            <w:bottom w:w="0" w:type="dxa"/>
            <w:right w:w="108" w:type="dxa"/>
          </w:tblCellMar>
        </w:tblPrEx>
        <w:tc>
          <w:tcPr>
            <w:tcW w:w="1767" w:type="dxa"/>
            <w:tcBorders>
              <w:top w:val="nil"/>
              <w:left w:val="nil"/>
              <w:bottom w:val="nil"/>
              <w:right w:val="nil"/>
            </w:tcBorders>
            <w:shd w:val="clear" w:color="auto" w:fill="FFFFFF"/>
            <w:tcMar>
              <w:top w:w="0" w:type="dxa"/>
              <w:left w:w="0" w:type="dxa"/>
              <w:bottom w:w="0" w:type="dxa"/>
              <w:right w:w="0" w:type="dxa"/>
            </w:tcMar>
          </w:tcPr>
          <w:p w14:paraId="55A08040">
            <w:pPr>
              <w:pBdr>
                <w:top w:val="none" w:color="000000" w:sz="0" w:space="0"/>
                <w:left w:val="none" w:color="000000" w:sz="0" w:space="0"/>
                <w:bottom w:val="none" w:color="000000" w:sz="0" w:space="0"/>
                <w:right w:val="none" w:color="000000" w:sz="0" w:space="0"/>
              </w:pBdr>
              <w:spacing w:before="120" w:after="120" w:line="360" w:lineRule="auto"/>
              <w:ind w:right="120" w:firstLine="600" w:firstLineChars="300"/>
              <w:jc w:val="left"/>
              <w:rPr>
                <w:rFonts w:eastAsia="DejaVu Sans"/>
                <w:bCs/>
                <w:color w:val="000000"/>
                <w:sz w:val="20"/>
                <w:szCs w:val="20"/>
              </w:rPr>
            </w:pPr>
            <w:r>
              <w:rPr>
                <w:rFonts w:eastAsia="DejaVu Sans"/>
                <w:bCs/>
                <w:color w:val="000000"/>
                <w:sz w:val="20"/>
                <w:szCs w:val="20"/>
              </w:rPr>
              <w:t>Female</w:t>
            </w:r>
          </w:p>
        </w:tc>
        <w:tc>
          <w:tcPr>
            <w:tcW w:w="1080" w:type="dxa"/>
            <w:tcBorders>
              <w:top w:val="nil"/>
              <w:left w:val="nil"/>
              <w:bottom w:val="nil"/>
              <w:right w:val="nil"/>
            </w:tcBorders>
            <w:shd w:val="clear" w:color="auto" w:fill="FFFFFF"/>
            <w:tcMar>
              <w:top w:w="0" w:type="dxa"/>
              <w:left w:w="0" w:type="dxa"/>
              <w:bottom w:w="0" w:type="dxa"/>
              <w:right w:w="0" w:type="dxa"/>
            </w:tcMar>
          </w:tcPr>
          <w:p w14:paraId="096504F3">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55</w:t>
            </w:r>
          </w:p>
        </w:tc>
        <w:tc>
          <w:tcPr>
            <w:tcW w:w="1233" w:type="dxa"/>
            <w:tcBorders>
              <w:top w:val="nil"/>
              <w:left w:val="nil"/>
              <w:bottom w:val="nil"/>
              <w:right w:val="nil"/>
            </w:tcBorders>
            <w:shd w:val="clear" w:color="auto" w:fill="FFFFFF"/>
            <w:tcMar>
              <w:top w:w="0" w:type="dxa"/>
              <w:left w:w="0" w:type="dxa"/>
              <w:bottom w:w="0" w:type="dxa"/>
              <w:right w:w="0" w:type="dxa"/>
            </w:tcMar>
          </w:tcPr>
          <w:p w14:paraId="037B8EC3">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21</w:t>
            </w:r>
          </w:p>
        </w:tc>
        <w:tc>
          <w:tcPr>
            <w:tcW w:w="1418" w:type="dxa"/>
            <w:tcBorders>
              <w:top w:val="nil"/>
              <w:left w:val="nil"/>
              <w:bottom w:val="nil"/>
              <w:right w:val="nil"/>
            </w:tcBorders>
            <w:shd w:val="clear" w:color="auto" w:fill="FFFFFF"/>
            <w:tcMar>
              <w:top w:w="0" w:type="dxa"/>
              <w:left w:w="0" w:type="dxa"/>
              <w:bottom w:w="0" w:type="dxa"/>
              <w:right w:w="0" w:type="dxa"/>
            </w:tcMar>
          </w:tcPr>
          <w:p w14:paraId="36206FF6">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Reference</w:t>
            </w:r>
          </w:p>
        </w:tc>
        <w:tc>
          <w:tcPr>
            <w:tcW w:w="1909" w:type="dxa"/>
            <w:tcBorders>
              <w:top w:val="nil"/>
              <w:left w:val="nil"/>
              <w:bottom w:val="nil"/>
              <w:right w:val="nil"/>
            </w:tcBorders>
            <w:shd w:val="clear" w:color="auto" w:fill="FFFFFF"/>
            <w:tcMar>
              <w:top w:w="0" w:type="dxa"/>
              <w:left w:w="0" w:type="dxa"/>
              <w:bottom w:w="0" w:type="dxa"/>
              <w:right w:w="0" w:type="dxa"/>
            </w:tcMar>
          </w:tcPr>
          <w:p w14:paraId="1573EEC9">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Reference</w:t>
            </w:r>
          </w:p>
        </w:tc>
        <w:tc>
          <w:tcPr>
            <w:tcW w:w="1309" w:type="dxa"/>
            <w:tcBorders>
              <w:top w:val="nil"/>
              <w:left w:val="nil"/>
              <w:bottom w:val="nil"/>
              <w:right w:val="nil"/>
            </w:tcBorders>
            <w:shd w:val="clear" w:color="auto" w:fill="FFFFFF"/>
            <w:tcMar>
              <w:top w:w="0" w:type="dxa"/>
              <w:left w:w="0" w:type="dxa"/>
              <w:bottom w:w="0" w:type="dxa"/>
              <w:right w:w="0" w:type="dxa"/>
            </w:tcMar>
          </w:tcPr>
          <w:p w14:paraId="1B9C5443">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r>
      <w:tr w14:paraId="2E9F728E">
        <w:tblPrEx>
          <w:tblCellMar>
            <w:top w:w="0" w:type="dxa"/>
            <w:left w:w="108" w:type="dxa"/>
            <w:bottom w:w="0" w:type="dxa"/>
            <w:right w:w="108" w:type="dxa"/>
          </w:tblCellMar>
        </w:tblPrEx>
        <w:tc>
          <w:tcPr>
            <w:tcW w:w="1767" w:type="dxa"/>
            <w:tcBorders>
              <w:top w:val="nil"/>
              <w:left w:val="nil"/>
              <w:bottom w:val="nil"/>
              <w:right w:val="nil"/>
            </w:tcBorders>
            <w:shd w:val="clear" w:color="auto" w:fill="FFFFFF"/>
            <w:tcMar>
              <w:top w:w="0" w:type="dxa"/>
              <w:left w:w="0" w:type="dxa"/>
              <w:bottom w:w="0" w:type="dxa"/>
              <w:right w:w="0" w:type="dxa"/>
            </w:tcMar>
          </w:tcPr>
          <w:p w14:paraId="17FF2C6D">
            <w:pPr>
              <w:pBdr>
                <w:top w:val="none" w:color="000000" w:sz="0" w:space="0"/>
                <w:left w:val="none" w:color="000000" w:sz="0" w:space="0"/>
                <w:bottom w:val="none" w:color="000000" w:sz="0" w:space="0"/>
                <w:right w:val="none" w:color="000000" w:sz="0" w:space="0"/>
              </w:pBdr>
              <w:spacing w:before="120" w:after="120" w:line="360" w:lineRule="auto"/>
              <w:ind w:right="120" w:firstLine="600" w:firstLineChars="300"/>
              <w:jc w:val="left"/>
              <w:rPr>
                <w:rFonts w:eastAsia="DejaVu Sans"/>
                <w:bCs/>
                <w:color w:val="000000"/>
                <w:sz w:val="20"/>
                <w:szCs w:val="20"/>
              </w:rPr>
            </w:pPr>
            <w:r>
              <w:rPr>
                <w:rFonts w:eastAsia="DejaVu Sans"/>
                <w:bCs/>
                <w:color w:val="000000"/>
                <w:sz w:val="20"/>
                <w:szCs w:val="20"/>
              </w:rPr>
              <w:t>Male</w:t>
            </w:r>
          </w:p>
        </w:tc>
        <w:tc>
          <w:tcPr>
            <w:tcW w:w="1080" w:type="dxa"/>
            <w:tcBorders>
              <w:top w:val="nil"/>
              <w:left w:val="nil"/>
              <w:bottom w:val="nil"/>
              <w:right w:val="nil"/>
            </w:tcBorders>
            <w:shd w:val="clear" w:color="auto" w:fill="FFFFFF"/>
            <w:tcMar>
              <w:top w:w="0" w:type="dxa"/>
              <w:left w:w="0" w:type="dxa"/>
              <w:bottom w:w="0" w:type="dxa"/>
              <w:right w:w="0" w:type="dxa"/>
            </w:tcMar>
          </w:tcPr>
          <w:p w14:paraId="33580DEB">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51</w:t>
            </w:r>
          </w:p>
        </w:tc>
        <w:tc>
          <w:tcPr>
            <w:tcW w:w="1233" w:type="dxa"/>
            <w:tcBorders>
              <w:top w:val="nil"/>
              <w:left w:val="nil"/>
              <w:bottom w:val="nil"/>
              <w:right w:val="nil"/>
            </w:tcBorders>
            <w:shd w:val="clear" w:color="auto" w:fill="FFFFFF"/>
            <w:tcMar>
              <w:top w:w="0" w:type="dxa"/>
              <w:left w:w="0" w:type="dxa"/>
              <w:bottom w:w="0" w:type="dxa"/>
              <w:right w:w="0" w:type="dxa"/>
            </w:tcMar>
          </w:tcPr>
          <w:p w14:paraId="541AAC50">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13</w:t>
            </w:r>
          </w:p>
        </w:tc>
        <w:tc>
          <w:tcPr>
            <w:tcW w:w="1418" w:type="dxa"/>
            <w:tcBorders>
              <w:top w:val="nil"/>
              <w:left w:val="nil"/>
              <w:bottom w:val="nil"/>
              <w:right w:val="nil"/>
            </w:tcBorders>
            <w:shd w:val="clear" w:color="auto" w:fill="FFFFFF"/>
            <w:tcMar>
              <w:top w:w="0" w:type="dxa"/>
              <w:left w:w="0" w:type="dxa"/>
              <w:bottom w:w="0" w:type="dxa"/>
              <w:right w:w="0" w:type="dxa"/>
            </w:tcMar>
          </w:tcPr>
          <w:p w14:paraId="1E515EE4">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0.70</w:t>
            </w:r>
          </w:p>
        </w:tc>
        <w:tc>
          <w:tcPr>
            <w:tcW w:w="1909" w:type="dxa"/>
            <w:tcBorders>
              <w:top w:val="nil"/>
              <w:left w:val="nil"/>
              <w:bottom w:val="nil"/>
              <w:right w:val="nil"/>
            </w:tcBorders>
            <w:shd w:val="clear" w:color="auto" w:fill="FFFFFF"/>
            <w:tcMar>
              <w:top w:w="0" w:type="dxa"/>
              <w:left w:w="0" w:type="dxa"/>
              <w:bottom w:w="0" w:type="dxa"/>
              <w:right w:w="0" w:type="dxa"/>
            </w:tcMar>
          </w:tcPr>
          <w:p w14:paraId="32B224E6">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0.28, 1.75</w:t>
            </w:r>
          </w:p>
        </w:tc>
        <w:tc>
          <w:tcPr>
            <w:tcW w:w="1309" w:type="dxa"/>
            <w:tcBorders>
              <w:top w:val="nil"/>
              <w:left w:val="nil"/>
              <w:bottom w:val="nil"/>
              <w:right w:val="nil"/>
            </w:tcBorders>
            <w:shd w:val="clear" w:color="auto" w:fill="FFFFFF"/>
            <w:tcMar>
              <w:top w:w="0" w:type="dxa"/>
              <w:left w:w="0" w:type="dxa"/>
              <w:bottom w:w="0" w:type="dxa"/>
              <w:right w:w="0" w:type="dxa"/>
            </w:tcMar>
          </w:tcPr>
          <w:p w14:paraId="773E5DBF">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0.440</w:t>
            </w:r>
          </w:p>
        </w:tc>
      </w:tr>
      <w:tr w14:paraId="57EF3190">
        <w:tblPrEx>
          <w:tblCellMar>
            <w:top w:w="0" w:type="dxa"/>
            <w:left w:w="108" w:type="dxa"/>
            <w:bottom w:w="0" w:type="dxa"/>
            <w:right w:w="108" w:type="dxa"/>
          </w:tblCellMar>
        </w:tblPrEx>
        <w:tc>
          <w:tcPr>
            <w:tcW w:w="1767" w:type="dxa"/>
            <w:tcBorders>
              <w:top w:val="nil"/>
              <w:left w:val="nil"/>
              <w:bottom w:val="nil"/>
              <w:right w:val="nil"/>
            </w:tcBorders>
            <w:shd w:val="clear" w:color="auto" w:fill="FFFFFF"/>
            <w:tcMar>
              <w:top w:w="0" w:type="dxa"/>
              <w:left w:w="0" w:type="dxa"/>
              <w:bottom w:w="0" w:type="dxa"/>
              <w:right w:w="0" w:type="dxa"/>
            </w:tcMar>
          </w:tcPr>
          <w:p w14:paraId="35FA8954">
            <w:pPr>
              <w:pBdr>
                <w:top w:val="none" w:color="000000" w:sz="0" w:space="0"/>
                <w:left w:val="none" w:color="000000" w:sz="0" w:space="0"/>
                <w:bottom w:val="none" w:color="000000" w:sz="0" w:space="0"/>
                <w:right w:val="none" w:color="000000" w:sz="0" w:space="0"/>
              </w:pBdr>
              <w:spacing w:before="120" w:after="120" w:line="360" w:lineRule="auto"/>
              <w:ind w:right="120"/>
              <w:jc w:val="left"/>
              <w:rPr>
                <w:rFonts w:eastAsia="DejaVu Sans"/>
                <w:bCs/>
                <w:color w:val="000000"/>
                <w:sz w:val="20"/>
                <w:szCs w:val="20"/>
              </w:rPr>
            </w:pPr>
            <w:r>
              <w:rPr>
                <w:rFonts w:eastAsia="DejaVu Sans"/>
                <w:bCs/>
                <w:color w:val="000000"/>
                <w:sz w:val="20"/>
                <w:szCs w:val="20"/>
              </w:rPr>
              <w:t>Donor type</w:t>
            </w:r>
          </w:p>
        </w:tc>
        <w:tc>
          <w:tcPr>
            <w:tcW w:w="1080" w:type="dxa"/>
            <w:tcBorders>
              <w:top w:val="nil"/>
              <w:left w:val="nil"/>
              <w:bottom w:val="nil"/>
              <w:right w:val="nil"/>
            </w:tcBorders>
            <w:shd w:val="clear" w:color="auto" w:fill="FFFFFF"/>
            <w:tcMar>
              <w:top w:w="0" w:type="dxa"/>
              <w:left w:w="0" w:type="dxa"/>
              <w:bottom w:w="0" w:type="dxa"/>
              <w:right w:w="0" w:type="dxa"/>
            </w:tcMar>
          </w:tcPr>
          <w:p w14:paraId="677329E3">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c>
          <w:tcPr>
            <w:tcW w:w="1233" w:type="dxa"/>
            <w:tcBorders>
              <w:top w:val="nil"/>
              <w:left w:val="nil"/>
              <w:bottom w:val="nil"/>
              <w:right w:val="nil"/>
            </w:tcBorders>
            <w:shd w:val="clear" w:color="auto" w:fill="FFFFFF"/>
            <w:tcMar>
              <w:top w:w="0" w:type="dxa"/>
              <w:left w:w="0" w:type="dxa"/>
              <w:bottom w:w="0" w:type="dxa"/>
              <w:right w:w="0" w:type="dxa"/>
            </w:tcMar>
          </w:tcPr>
          <w:p w14:paraId="481AE984">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c>
          <w:tcPr>
            <w:tcW w:w="1418" w:type="dxa"/>
            <w:tcBorders>
              <w:top w:val="nil"/>
              <w:left w:val="nil"/>
              <w:bottom w:val="nil"/>
              <w:right w:val="nil"/>
            </w:tcBorders>
            <w:shd w:val="clear" w:color="auto" w:fill="FFFFFF"/>
            <w:tcMar>
              <w:top w:w="0" w:type="dxa"/>
              <w:left w:w="0" w:type="dxa"/>
              <w:bottom w:w="0" w:type="dxa"/>
              <w:right w:w="0" w:type="dxa"/>
            </w:tcMar>
          </w:tcPr>
          <w:p w14:paraId="4B7D570D">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c>
          <w:tcPr>
            <w:tcW w:w="1909" w:type="dxa"/>
            <w:tcBorders>
              <w:top w:val="nil"/>
              <w:left w:val="nil"/>
              <w:bottom w:val="nil"/>
              <w:right w:val="nil"/>
            </w:tcBorders>
            <w:shd w:val="clear" w:color="auto" w:fill="FFFFFF"/>
            <w:tcMar>
              <w:top w:w="0" w:type="dxa"/>
              <w:left w:w="0" w:type="dxa"/>
              <w:bottom w:w="0" w:type="dxa"/>
              <w:right w:w="0" w:type="dxa"/>
            </w:tcMar>
          </w:tcPr>
          <w:p w14:paraId="22816F5B">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c>
          <w:tcPr>
            <w:tcW w:w="1309" w:type="dxa"/>
            <w:tcBorders>
              <w:top w:val="nil"/>
              <w:left w:val="nil"/>
              <w:bottom w:val="nil"/>
              <w:right w:val="nil"/>
            </w:tcBorders>
            <w:shd w:val="clear" w:color="auto" w:fill="FFFFFF"/>
            <w:tcMar>
              <w:top w:w="0" w:type="dxa"/>
              <w:left w:w="0" w:type="dxa"/>
              <w:bottom w:w="0" w:type="dxa"/>
              <w:right w:w="0" w:type="dxa"/>
            </w:tcMar>
          </w:tcPr>
          <w:p w14:paraId="5A99C388">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r>
      <w:tr w14:paraId="1D467782">
        <w:tblPrEx>
          <w:tblCellMar>
            <w:top w:w="0" w:type="dxa"/>
            <w:left w:w="108" w:type="dxa"/>
            <w:bottom w:w="0" w:type="dxa"/>
            <w:right w:w="108" w:type="dxa"/>
          </w:tblCellMar>
        </w:tblPrEx>
        <w:tc>
          <w:tcPr>
            <w:tcW w:w="1767" w:type="dxa"/>
            <w:tcBorders>
              <w:top w:val="nil"/>
              <w:left w:val="nil"/>
              <w:bottom w:val="nil"/>
              <w:right w:val="nil"/>
            </w:tcBorders>
            <w:shd w:val="clear" w:color="auto" w:fill="FFFFFF"/>
            <w:tcMar>
              <w:top w:w="0" w:type="dxa"/>
              <w:left w:w="0" w:type="dxa"/>
              <w:bottom w:w="0" w:type="dxa"/>
              <w:right w:w="0" w:type="dxa"/>
            </w:tcMar>
          </w:tcPr>
          <w:p w14:paraId="0E4D5681">
            <w:pPr>
              <w:pBdr>
                <w:top w:val="none" w:color="000000" w:sz="0" w:space="0"/>
                <w:left w:val="none" w:color="000000" w:sz="0" w:space="0"/>
                <w:bottom w:val="none" w:color="000000" w:sz="0" w:space="0"/>
                <w:right w:val="none" w:color="000000" w:sz="0" w:space="0"/>
              </w:pBdr>
              <w:spacing w:before="120" w:after="120" w:line="360" w:lineRule="auto"/>
              <w:ind w:right="120" w:firstLine="600" w:firstLineChars="300"/>
              <w:jc w:val="left"/>
              <w:rPr>
                <w:rFonts w:eastAsia="DejaVu Sans"/>
                <w:bCs/>
                <w:color w:val="000000"/>
                <w:sz w:val="20"/>
                <w:szCs w:val="20"/>
              </w:rPr>
            </w:pPr>
            <w:r>
              <w:rPr>
                <w:rFonts w:eastAsia="DejaVu Sans"/>
                <w:bCs/>
                <w:color w:val="000000"/>
                <w:sz w:val="20"/>
                <w:szCs w:val="20"/>
              </w:rPr>
              <w:t>HID</w:t>
            </w:r>
          </w:p>
        </w:tc>
        <w:tc>
          <w:tcPr>
            <w:tcW w:w="1080" w:type="dxa"/>
            <w:tcBorders>
              <w:top w:val="nil"/>
              <w:left w:val="nil"/>
              <w:bottom w:val="nil"/>
              <w:right w:val="nil"/>
            </w:tcBorders>
            <w:shd w:val="clear" w:color="auto" w:fill="FFFFFF"/>
            <w:tcMar>
              <w:top w:w="0" w:type="dxa"/>
              <w:left w:w="0" w:type="dxa"/>
              <w:bottom w:w="0" w:type="dxa"/>
              <w:right w:w="0" w:type="dxa"/>
            </w:tcMar>
          </w:tcPr>
          <w:p w14:paraId="47FC49A3">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80</w:t>
            </w:r>
          </w:p>
        </w:tc>
        <w:tc>
          <w:tcPr>
            <w:tcW w:w="1233" w:type="dxa"/>
            <w:tcBorders>
              <w:top w:val="nil"/>
              <w:left w:val="nil"/>
              <w:bottom w:val="nil"/>
              <w:right w:val="nil"/>
            </w:tcBorders>
            <w:shd w:val="clear" w:color="auto" w:fill="FFFFFF"/>
            <w:tcMar>
              <w:top w:w="0" w:type="dxa"/>
              <w:left w:w="0" w:type="dxa"/>
              <w:bottom w:w="0" w:type="dxa"/>
              <w:right w:w="0" w:type="dxa"/>
            </w:tcMar>
          </w:tcPr>
          <w:p w14:paraId="34A1C397">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27</w:t>
            </w:r>
          </w:p>
        </w:tc>
        <w:tc>
          <w:tcPr>
            <w:tcW w:w="1418" w:type="dxa"/>
            <w:tcBorders>
              <w:top w:val="nil"/>
              <w:left w:val="nil"/>
              <w:bottom w:val="nil"/>
              <w:right w:val="nil"/>
            </w:tcBorders>
            <w:shd w:val="clear" w:color="auto" w:fill="FFFFFF"/>
            <w:tcMar>
              <w:top w:w="0" w:type="dxa"/>
              <w:left w:w="0" w:type="dxa"/>
              <w:bottom w:w="0" w:type="dxa"/>
              <w:right w:w="0" w:type="dxa"/>
            </w:tcMar>
          </w:tcPr>
          <w:p w14:paraId="3CD9355F">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Reference</w:t>
            </w:r>
          </w:p>
        </w:tc>
        <w:tc>
          <w:tcPr>
            <w:tcW w:w="1909" w:type="dxa"/>
            <w:tcBorders>
              <w:top w:val="nil"/>
              <w:left w:val="nil"/>
              <w:bottom w:val="nil"/>
              <w:right w:val="nil"/>
            </w:tcBorders>
            <w:shd w:val="clear" w:color="auto" w:fill="FFFFFF"/>
            <w:tcMar>
              <w:top w:w="0" w:type="dxa"/>
              <w:left w:w="0" w:type="dxa"/>
              <w:bottom w:w="0" w:type="dxa"/>
              <w:right w:w="0" w:type="dxa"/>
            </w:tcMar>
          </w:tcPr>
          <w:p w14:paraId="73E15C38">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Reference</w:t>
            </w:r>
          </w:p>
        </w:tc>
        <w:tc>
          <w:tcPr>
            <w:tcW w:w="1309" w:type="dxa"/>
            <w:tcBorders>
              <w:top w:val="nil"/>
              <w:left w:val="nil"/>
              <w:bottom w:val="nil"/>
              <w:right w:val="nil"/>
            </w:tcBorders>
            <w:shd w:val="clear" w:color="auto" w:fill="FFFFFF"/>
            <w:tcMar>
              <w:top w:w="0" w:type="dxa"/>
              <w:left w:w="0" w:type="dxa"/>
              <w:bottom w:w="0" w:type="dxa"/>
              <w:right w:w="0" w:type="dxa"/>
            </w:tcMar>
          </w:tcPr>
          <w:p w14:paraId="279BC0F6">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r>
      <w:tr w14:paraId="4345C330">
        <w:tblPrEx>
          <w:tblCellMar>
            <w:top w:w="0" w:type="dxa"/>
            <w:left w:w="108" w:type="dxa"/>
            <w:bottom w:w="0" w:type="dxa"/>
            <w:right w:w="108" w:type="dxa"/>
          </w:tblCellMar>
        </w:tblPrEx>
        <w:tc>
          <w:tcPr>
            <w:tcW w:w="1767" w:type="dxa"/>
            <w:tcBorders>
              <w:top w:val="nil"/>
              <w:left w:val="nil"/>
              <w:bottom w:val="nil"/>
              <w:right w:val="nil"/>
            </w:tcBorders>
            <w:shd w:val="clear" w:color="auto" w:fill="FFFFFF"/>
            <w:tcMar>
              <w:top w:w="0" w:type="dxa"/>
              <w:left w:w="0" w:type="dxa"/>
              <w:bottom w:w="0" w:type="dxa"/>
              <w:right w:w="0" w:type="dxa"/>
            </w:tcMar>
          </w:tcPr>
          <w:p w14:paraId="33637D69">
            <w:pPr>
              <w:pBdr>
                <w:top w:val="none" w:color="000000" w:sz="0" w:space="0"/>
                <w:left w:val="none" w:color="000000" w:sz="0" w:space="0"/>
                <w:bottom w:val="none" w:color="000000" w:sz="0" w:space="0"/>
                <w:right w:val="none" w:color="000000" w:sz="0" w:space="0"/>
              </w:pBdr>
              <w:spacing w:before="120" w:after="120" w:line="360" w:lineRule="auto"/>
              <w:ind w:right="120" w:firstLine="600" w:firstLineChars="300"/>
              <w:jc w:val="left"/>
              <w:rPr>
                <w:rFonts w:eastAsia="DejaVu Sans"/>
                <w:bCs/>
                <w:color w:val="000000"/>
                <w:sz w:val="20"/>
                <w:szCs w:val="20"/>
              </w:rPr>
            </w:pPr>
            <w:r>
              <w:rPr>
                <w:rFonts w:eastAsia="DejaVu Sans"/>
                <w:bCs/>
                <w:color w:val="000000"/>
                <w:sz w:val="20"/>
                <w:szCs w:val="20"/>
              </w:rPr>
              <w:t>Matched</w:t>
            </w:r>
          </w:p>
        </w:tc>
        <w:tc>
          <w:tcPr>
            <w:tcW w:w="1080" w:type="dxa"/>
            <w:tcBorders>
              <w:top w:val="nil"/>
              <w:left w:val="nil"/>
              <w:bottom w:val="nil"/>
              <w:right w:val="nil"/>
            </w:tcBorders>
            <w:shd w:val="clear" w:color="auto" w:fill="FFFFFF"/>
            <w:tcMar>
              <w:top w:w="0" w:type="dxa"/>
              <w:left w:w="0" w:type="dxa"/>
              <w:bottom w:w="0" w:type="dxa"/>
              <w:right w:w="0" w:type="dxa"/>
            </w:tcMar>
          </w:tcPr>
          <w:p w14:paraId="0ACEEE0E">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26</w:t>
            </w:r>
          </w:p>
        </w:tc>
        <w:tc>
          <w:tcPr>
            <w:tcW w:w="1233" w:type="dxa"/>
            <w:tcBorders>
              <w:top w:val="nil"/>
              <w:left w:val="nil"/>
              <w:bottom w:val="nil"/>
              <w:right w:val="nil"/>
            </w:tcBorders>
            <w:shd w:val="clear" w:color="auto" w:fill="FFFFFF"/>
            <w:tcMar>
              <w:top w:w="0" w:type="dxa"/>
              <w:left w:w="0" w:type="dxa"/>
              <w:bottom w:w="0" w:type="dxa"/>
              <w:right w:w="0" w:type="dxa"/>
            </w:tcMar>
          </w:tcPr>
          <w:p w14:paraId="3F8F3872">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7</w:t>
            </w:r>
          </w:p>
        </w:tc>
        <w:tc>
          <w:tcPr>
            <w:tcW w:w="1418" w:type="dxa"/>
            <w:tcBorders>
              <w:top w:val="nil"/>
              <w:left w:val="nil"/>
              <w:bottom w:val="nil"/>
              <w:right w:val="nil"/>
            </w:tcBorders>
            <w:shd w:val="clear" w:color="auto" w:fill="FFFFFF"/>
            <w:tcMar>
              <w:top w:w="0" w:type="dxa"/>
              <w:left w:w="0" w:type="dxa"/>
              <w:bottom w:w="0" w:type="dxa"/>
              <w:right w:w="0" w:type="dxa"/>
            </w:tcMar>
          </w:tcPr>
          <w:p w14:paraId="74755171">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1.38</w:t>
            </w:r>
          </w:p>
        </w:tc>
        <w:tc>
          <w:tcPr>
            <w:tcW w:w="1909" w:type="dxa"/>
            <w:tcBorders>
              <w:top w:val="nil"/>
              <w:left w:val="nil"/>
              <w:bottom w:val="nil"/>
              <w:right w:val="nil"/>
            </w:tcBorders>
            <w:shd w:val="clear" w:color="auto" w:fill="FFFFFF"/>
            <w:tcMar>
              <w:top w:w="0" w:type="dxa"/>
              <w:left w:w="0" w:type="dxa"/>
              <w:bottom w:w="0" w:type="dxa"/>
              <w:right w:w="0" w:type="dxa"/>
            </w:tcMar>
          </w:tcPr>
          <w:p w14:paraId="53C248B2">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0.41, 4.60</w:t>
            </w:r>
          </w:p>
        </w:tc>
        <w:tc>
          <w:tcPr>
            <w:tcW w:w="1309" w:type="dxa"/>
            <w:tcBorders>
              <w:top w:val="nil"/>
              <w:left w:val="nil"/>
              <w:bottom w:val="nil"/>
              <w:right w:val="nil"/>
            </w:tcBorders>
            <w:shd w:val="clear" w:color="auto" w:fill="FFFFFF"/>
            <w:tcMar>
              <w:top w:w="0" w:type="dxa"/>
              <w:left w:w="0" w:type="dxa"/>
              <w:bottom w:w="0" w:type="dxa"/>
              <w:right w:w="0" w:type="dxa"/>
            </w:tcMar>
          </w:tcPr>
          <w:p w14:paraId="5F6BBD30">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0.604</w:t>
            </w:r>
          </w:p>
        </w:tc>
      </w:tr>
      <w:tr w14:paraId="3CF94BEE">
        <w:tblPrEx>
          <w:tblCellMar>
            <w:top w:w="0" w:type="dxa"/>
            <w:left w:w="108" w:type="dxa"/>
            <w:bottom w:w="0" w:type="dxa"/>
            <w:right w:w="108" w:type="dxa"/>
          </w:tblCellMar>
        </w:tblPrEx>
        <w:tc>
          <w:tcPr>
            <w:tcW w:w="1767" w:type="dxa"/>
            <w:tcBorders>
              <w:top w:val="nil"/>
              <w:left w:val="nil"/>
              <w:bottom w:val="nil"/>
              <w:right w:val="nil"/>
            </w:tcBorders>
            <w:shd w:val="clear" w:color="auto" w:fill="FFFFFF"/>
            <w:tcMar>
              <w:top w:w="0" w:type="dxa"/>
              <w:left w:w="0" w:type="dxa"/>
              <w:bottom w:w="0" w:type="dxa"/>
              <w:right w:w="0" w:type="dxa"/>
            </w:tcMar>
          </w:tcPr>
          <w:p w14:paraId="665DDFBA">
            <w:pPr>
              <w:pBdr>
                <w:top w:val="none" w:color="000000" w:sz="0" w:space="0"/>
                <w:left w:val="none" w:color="000000" w:sz="0" w:space="0"/>
                <w:bottom w:val="none" w:color="000000" w:sz="0" w:space="0"/>
                <w:right w:val="none" w:color="000000" w:sz="0" w:space="0"/>
              </w:pBdr>
              <w:spacing w:before="120" w:after="120" w:line="360" w:lineRule="auto"/>
              <w:ind w:right="120"/>
              <w:jc w:val="left"/>
              <w:rPr>
                <w:rFonts w:eastAsia="DejaVu Sans"/>
                <w:bCs/>
                <w:color w:val="000000"/>
                <w:sz w:val="20"/>
                <w:szCs w:val="20"/>
              </w:rPr>
            </w:pPr>
            <w:r>
              <w:rPr>
                <w:rFonts w:eastAsia="DejaVu Sans"/>
                <w:bCs/>
                <w:color w:val="000000"/>
                <w:sz w:val="20"/>
                <w:szCs w:val="20"/>
              </w:rPr>
              <w:t>Anti GVHD scheme</w:t>
            </w:r>
          </w:p>
        </w:tc>
        <w:tc>
          <w:tcPr>
            <w:tcW w:w="1080" w:type="dxa"/>
            <w:tcBorders>
              <w:top w:val="nil"/>
              <w:left w:val="nil"/>
              <w:bottom w:val="nil"/>
              <w:right w:val="nil"/>
            </w:tcBorders>
            <w:shd w:val="clear" w:color="auto" w:fill="FFFFFF"/>
            <w:tcMar>
              <w:top w:w="0" w:type="dxa"/>
              <w:left w:w="0" w:type="dxa"/>
              <w:bottom w:w="0" w:type="dxa"/>
              <w:right w:w="0" w:type="dxa"/>
            </w:tcMar>
          </w:tcPr>
          <w:p w14:paraId="3A5CD3DD">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c>
          <w:tcPr>
            <w:tcW w:w="1233" w:type="dxa"/>
            <w:tcBorders>
              <w:top w:val="nil"/>
              <w:left w:val="nil"/>
              <w:bottom w:val="nil"/>
              <w:right w:val="nil"/>
            </w:tcBorders>
            <w:shd w:val="clear" w:color="auto" w:fill="FFFFFF"/>
            <w:tcMar>
              <w:top w:w="0" w:type="dxa"/>
              <w:left w:w="0" w:type="dxa"/>
              <w:bottom w:w="0" w:type="dxa"/>
              <w:right w:w="0" w:type="dxa"/>
            </w:tcMar>
          </w:tcPr>
          <w:p w14:paraId="16389157">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c>
          <w:tcPr>
            <w:tcW w:w="1418" w:type="dxa"/>
            <w:tcBorders>
              <w:top w:val="nil"/>
              <w:left w:val="nil"/>
              <w:bottom w:val="nil"/>
              <w:right w:val="nil"/>
            </w:tcBorders>
            <w:shd w:val="clear" w:color="auto" w:fill="FFFFFF"/>
            <w:tcMar>
              <w:top w:w="0" w:type="dxa"/>
              <w:left w:w="0" w:type="dxa"/>
              <w:bottom w:w="0" w:type="dxa"/>
              <w:right w:w="0" w:type="dxa"/>
            </w:tcMar>
          </w:tcPr>
          <w:p w14:paraId="132C7819">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c>
          <w:tcPr>
            <w:tcW w:w="1909" w:type="dxa"/>
            <w:tcBorders>
              <w:top w:val="nil"/>
              <w:left w:val="nil"/>
              <w:bottom w:val="nil"/>
              <w:right w:val="nil"/>
            </w:tcBorders>
            <w:shd w:val="clear" w:color="auto" w:fill="FFFFFF"/>
            <w:tcMar>
              <w:top w:w="0" w:type="dxa"/>
              <w:left w:w="0" w:type="dxa"/>
              <w:bottom w:w="0" w:type="dxa"/>
              <w:right w:w="0" w:type="dxa"/>
            </w:tcMar>
          </w:tcPr>
          <w:p w14:paraId="2C08011E">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c>
          <w:tcPr>
            <w:tcW w:w="1309" w:type="dxa"/>
            <w:tcBorders>
              <w:top w:val="nil"/>
              <w:left w:val="nil"/>
              <w:bottom w:val="nil"/>
              <w:right w:val="nil"/>
            </w:tcBorders>
            <w:shd w:val="clear" w:color="auto" w:fill="FFFFFF"/>
            <w:tcMar>
              <w:top w:w="0" w:type="dxa"/>
              <w:left w:w="0" w:type="dxa"/>
              <w:bottom w:w="0" w:type="dxa"/>
              <w:right w:w="0" w:type="dxa"/>
            </w:tcMar>
          </w:tcPr>
          <w:p w14:paraId="4A1FB1EA">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r>
      <w:tr w14:paraId="0486C09A">
        <w:tblPrEx>
          <w:tblCellMar>
            <w:top w:w="0" w:type="dxa"/>
            <w:left w:w="108" w:type="dxa"/>
            <w:bottom w:w="0" w:type="dxa"/>
            <w:right w:w="108" w:type="dxa"/>
          </w:tblCellMar>
        </w:tblPrEx>
        <w:tc>
          <w:tcPr>
            <w:tcW w:w="1767" w:type="dxa"/>
            <w:tcBorders>
              <w:top w:val="nil"/>
              <w:left w:val="nil"/>
              <w:bottom w:val="nil"/>
              <w:right w:val="nil"/>
            </w:tcBorders>
            <w:shd w:val="clear" w:color="auto" w:fill="FFFFFF"/>
            <w:tcMar>
              <w:top w:w="0" w:type="dxa"/>
              <w:left w:w="0" w:type="dxa"/>
              <w:bottom w:w="0" w:type="dxa"/>
              <w:right w:w="0" w:type="dxa"/>
            </w:tcMar>
          </w:tcPr>
          <w:p w14:paraId="42E2AED8">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CsA</w:t>
            </w:r>
          </w:p>
        </w:tc>
        <w:tc>
          <w:tcPr>
            <w:tcW w:w="1080" w:type="dxa"/>
            <w:tcBorders>
              <w:top w:val="nil"/>
              <w:left w:val="nil"/>
              <w:bottom w:val="nil"/>
              <w:right w:val="nil"/>
            </w:tcBorders>
            <w:shd w:val="clear" w:color="auto" w:fill="FFFFFF"/>
            <w:tcMar>
              <w:top w:w="0" w:type="dxa"/>
              <w:left w:w="0" w:type="dxa"/>
              <w:bottom w:w="0" w:type="dxa"/>
              <w:right w:w="0" w:type="dxa"/>
            </w:tcMar>
          </w:tcPr>
          <w:p w14:paraId="0D5A75F4">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64</w:t>
            </w:r>
          </w:p>
        </w:tc>
        <w:tc>
          <w:tcPr>
            <w:tcW w:w="1233" w:type="dxa"/>
            <w:tcBorders>
              <w:top w:val="nil"/>
              <w:left w:val="nil"/>
              <w:bottom w:val="nil"/>
              <w:right w:val="nil"/>
            </w:tcBorders>
            <w:shd w:val="clear" w:color="auto" w:fill="FFFFFF"/>
            <w:tcMar>
              <w:top w:w="0" w:type="dxa"/>
              <w:left w:w="0" w:type="dxa"/>
              <w:bottom w:w="0" w:type="dxa"/>
              <w:right w:w="0" w:type="dxa"/>
            </w:tcMar>
          </w:tcPr>
          <w:p w14:paraId="626BD12E">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28</w:t>
            </w:r>
          </w:p>
        </w:tc>
        <w:tc>
          <w:tcPr>
            <w:tcW w:w="1418" w:type="dxa"/>
            <w:tcBorders>
              <w:top w:val="nil"/>
              <w:left w:val="nil"/>
              <w:bottom w:val="nil"/>
              <w:right w:val="nil"/>
            </w:tcBorders>
            <w:shd w:val="clear" w:color="auto" w:fill="FFFFFF"/>
            <w:tcMar>
              <w:top w:w="0" w:type="dxa"/>
              <w:left w:w="0" w:type="dxa"/>
              <w:bottom w:w="0" w:type="dxa"/>
              <w:right w:w="0" w:type="dxa"/>
            </w:tcMar>
          </w:tcPr>
          <w:p w14:paraId="5D44ACBF">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Reference</w:t>
            </w:r>
          </w:p>
        </w:tc>
        <w:tc>
          <w:tcPr>
            <w:tcW w:w="1909" w:type="dxa"/>
            <w:tcBorders>
              <w:top w:val="nil"/>
              <w:left w:val="nil"/>
              <w:bottom w:val="nil"/>
              <w:right w:val="nil"/>
            </w:tcBorders>
            <w:shd w:val="clear" w:color="auto" w:fill="FFFFFF"/>
            <w:tcMar>
              <w:top w:w="0" w:type="dxa"/>
              <w:left w:w="0" w:type="dxa"/>
              <w:bottom w:w="0" w:type="dxa"/>
              <w:right w:w="0" w:type="dxa"/>
            </w:tcMar>
          </w:tcPr>
          <w:p w14:paraId="2EA40FD4">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Reference</w:t>
            </w:r>
          </w:p>
        </w:tc>
        <w:tc>
          <w:tcPr>
            <w:tcW w:w="1309" w:type="dxa"/>
            <w:tcBorders>
              <w:top w:val="nil"/>
              <w:left w:val="nil"/>
              <w:bottom w:val="nil"/>
              <w:right w:val="nil"/>
            </w:tcBorders>
            <w:shd w:val="clear" w:color="auto" w:fill="FFFFFF"/>
            <w:tcMar>
              <w:top w:w="0" w:type="dxa"/>
              <w:left w:w="0" w:type="dxa"/>
              <w:bottom w:w="0" w:type="dxa"/>
              <w:right w:w="0" w:type="dxa"/>
            </w:tcMar>
          </w:tcPr>
          <w:p w14:paraId="66FFF5D4">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r>
      <w:tr w14:paraId="66920EC4">
        <w:tblPrEx>
          <w:tblCellMar>
            <w:top w:w="0" w:type="dxa"/>
            <w:left w:w="108" w:type="dxa"/>
            <w:bottom w:w="0" w:type="dxa"/>
            <w:right w:w="108" w:type="dxa"/>
          </w:tblCellMar>
        </w:tblPrEx>
        <w:tc>
          <w:tcPr>
            <w:tcW w:w="1767" w:type="dxa"/>
            <w:tcBorders>
              <w:top w:val="nil"/>
              <w:left w:val="nil"/>
              <w:bottom w:val="nil"/>
              <w:right w:val="nil"/>
            </w:tcBorders>
            <w:shd w:val="clear" w:color="auto" w:fill="FFFFFF"/>
            <w:tcMar>
              <w:top w:w="0" w:type="dxa"/>
              <w:left w:w="0" w:type="dxa"/>
              <w:bottom w:w="0" w:type="dxa"/>
              <w:right w:w="0" w:type="dxa"/>
            </w:tcMar>
          </w:tcPr>
          <w:p w14:paraId="40978DB7">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FK506</w:t>
            </w:r>
          </w:p>
        </w:tc>
        <w:tc>
          <w:tcPr>
            <w:tcW w:w="1080" w:type="dxa"/>
            <w:tcBorders>
              <w:top w:val="nil"/>
              <w:left w:val="nil"/>
              <w:bottom w:val="nil"/>
              <w:right w:val="nil"/>
            </w:tcBorders>
            <w:shd w:val="clear" w:color="auto" w:fill="FFFFFF"/>
            <w:tcMar>
              <w:top w:w="0" w:type="dxa"/>
              <w:left w:w="0" w:type="dxa"/>
              <w:bottom w:w="0" w:type="dxa"/>
              <w:right w:w="0" w:type="dxa"/>
            </w:tcMar>
          </w:tcPr>
          <w:p w14:paraId="1124810C">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42</w:t>
            </w:r>
          </w:p>
        </w:tc>
        <w:tc>
          <w:tcPr>
            <w:tcW w:w="1233" w:type="dxa"/>
            <w:tcBorders>
              <w:top w:val="nil"/>
              <w:left w:val="nil"/>
              <w:bottom w:val="nil"/>
              <w:right w:val="nil"/>
            </w:tcBorders>
            <w:shd w:val="clear" w:color="auto" w:fill="FFFFFF"/>
            <w:tcMar>
              <w:top w:w="0" w:type="dxa"/>
              <w:left w:w="0" w:type="dxa"/>
              <w:bottom w:w="0" w:type="dxa"/>
              <w:right w:w="0" w:type="dxa"/>
            </w:tcMar>
          </w:tcPr>
          <w:p w14:paraId="40775B7D">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6</w:t>
            </w:r>
          </w:p>
        </w:tc>
        <w:tc>
          <w:tcPr>
            <w:tcW w:w="1418" w:type="dxa"/>
            <w:tcBorders>
              <w:top w:val="nil"/>
              <w:left w:val="nil"/>
              <w:bottom w:val="nil"/>
              <w:right w:val="nil"/>
            </w:tcBorders>
            <w:shd w:val="clear" w:color="auto" w:fill="FFFFFF"/>
            <w:tcMar>
              <w:top w:w="0" w:type="dxa"/>
              <w:left w:w="0" w:type="dxa"/>
              <w:bottom w:w="0" w:type="dxa"/>
              <w:right w:w="0" w:type="dxa"/>
            </w:tcMar>
          </w:tcPr>
          <w:p w14:paraId="3DFD91BE">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0.18</w:t>
            </w:r>
          </w:p>
        </w:tc>
        <w:tc>
          <w:tcPr>
            <w:tcW w:w="1909" w:type="dxa"/>
            <w:tcBorders>
              <w:top w:val="nil"/>
              <w:left w:val="nil"/>
              <w:bottom w:val="nil"/>
              <w:right w:val="nil"/>
            </w:tcBorders>
            <w:shd w:val="clear" w:color="auto" w:fill="FFFFFF"/>
            <w:tcMar>
              <w:top w:w="0" w:type="dxa"/>
              <w:left w:w="0" w:type="dxa"/>
              <w:bottom w:w="0" w:type="dxa"/>
              <w:right w:w="0" w:type="dxa"/>
            </w:tcMar>
          </w:tcPr>
          <w:p w14:paraId="43CCFCDE">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0.06, 0.53</w:t>
            </w:r>
          </w:p>
        </w:tc>
        <w:tc>
          <w:tcPr>
            <w:tcW w:w="1309" w:type="dxa"/>
            <w:tcBorders>
              <w:top w:val="nil"/>
              <w:left w:val="nil"/>
              <w:bottom w:val="nil"/>
              <w:right w:val="nil"/>
            </w:tcBorders>
            <w:shd w:val="clear" w:color="auto" w:fill="FFFFFF"/>
            <w:tcMar>
              <w:top w:w="0" w:type="dxa"/>
              <w:left w:w="0" w:type="dxa"/>
              <w:bottom w:w="0" w:type="dxa"/>
              <w:right w:w="0" w:type="dxa"/>
            </w:tcMar>
          </w:tcPr>
          <w:p w14:paraId="2A0D9822">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
                <w:color w:val="000000"/>
                <w:sz w:val="20"/>
                <w:szCs w:val="20"/>
              </w:rPr>
              <w:t>0.002</w:t>
            </w:r>
          </w:p>
        </w:tc>
      </w:tr>
      <w:tr w14:paraId="00098893">
        <w:tblPrEx>
          <w:tblCellMar>
            <w:top w:w="0" w:type="dxa"/>
            <w:left w:w="108" w:type="dxa"/>
            <w:bottom w:w="0" w:type="dxa"/>
            <w:right w:w="108" w:type="dxa"/>
          </w:tblCellMar>
        </w:tblPrEx>
        <w:tc>
          <w:tcPr>
            <w:tcW w:w="1767" w:type="dxa"/>
            <w:tcBorders>
              <w:top w:val="nil"/>
              <w:left w:val="nil"/>
              <w:bottom w:val="nil"/>
              <w:right w:val="nil"/>
            </w:tcBorders>
            <w:shd w:val="clear" w:color="auto" w:fill="FFFFFF"/>
            <w:tcMar>
              <w:top w:w="0" w:type="dxa"/>
              <w:left w:w="0" w:type="dxa"/>
              <w:bottom w:w="0" w:type="dxa"/>
              <w:right w:w="0" w:type="dxa"/>
            </w:tcMar>
          </w:tcPr>
          <w:p w14:paraId="0C4D5ACF">
            <w:pPr>
              <w:pBdr>
                <w:top w:val="none" w:color="000000" w:sz="0" w:space="0"/>
                <w:left w:val="none" w:color="000000" w:sz="0" w:space="0"/>
                <w:bottom w:val="none" w:color="000000" w:sz="0" w:space="0"/>
                <w:right w:val="none" w:color="000000" w:sz="0" w:space="0"/>
              </w:pBdr>
              <w:spacing w:before="120" w:after="120" w:line="360" w:lineRule="auto"/>
              <w:ind w:right="120"/>
              <w:jc w:val="left"/>
              <w:rPr>
                <w:rFonts w:eastAsia="DejaVu Sans"/>
                <w:bCs/>
                <w:color w:val="000000"/>
                <w:sz w:val="20"/>
                <w:szCs w:val="20"/>
              </w:rPr>
            </w:pPr>
            <w:r>
              <w:rPr>
                <w:rFonts w:eastAsia="DejaVu Sans"/>
                <w:bCs/>
                <w:color w:val="000000"/>
                <w:sz w:val="20"/>
                <w:szCs w:val="20"/>
              </w:rPr>
              <w:t>ATG</w:t>
            </w:r>
          </w:p>
        </w:tc>
        <w:tc>
          <w:tcPr>
            <w:tcW w:w="1080" w:type="dxa"/>
            <w:tcBorders>
              <w:top w:val="nil"/>
              <w:left w:val="nil"/>
              <w:bottom w:val="nil"/>
              <w:right w:val="nil"/>
            </w:tcBorders>
            <w:shd w:val="clear" w:color="auto" w:fill="FFFFFF"/>
            <w:tcMar>
              <w:top w:w="0" w:type="dxa"/>
              <w:left w:w="0" w:type="dxa"/>
              <w:bottom w:w="0" w:type="dxa"/>
              <w:right w:w="0" w:type="dxa"/>
            </w:tcMar>
          </w:tcPr>
          <w:p w14:paraId="0EA1765E">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c>
          <w:tcPr>
            <w:tcW w:w="1233" w:type="dxa"/>
            <w:tcBorders>
              <w:top w:val="nil"/>
              <w:left w:val="nil"/>
              <w:bottom w:val="nil"/>
              <w:right w:val="nil"/>
            </w:tcBorders>
            <w:shd w:val="clear" w:color="auto" w:fill="FFFFFF"/>
            <w:tcMar>
              <w:top w:w="0" w:type="dxa"/>
              <w:left w:w="0" w:type="dxa"/>
              <w:bottom w:w="0" w:type="dxa"/>
              <w:right w:w="0" w:type="dxa"/>
            </w:tcMar>
          </w:tcPr>
          <w:p w14:paraId="6346AC58">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c>
          <w:tcPr>
            <w:tcW w:w="1418" w:type="dxa"/>
            <w:tcBorders>
              <w:top w:val="nil"/>
              <w:left w:val="nil"/>
              <w:bottom w:val="nil"/>
              <w:right w:val="nil"/>
            </w:tcBorders>
            <w:shd w:val="clear" w:color="auto" w:fill="FFFFFF"/>
            <w:tcMar>
              <w:top w:w="0" w:type="dxa"/>
              <w:left w:w="0" w:type="dxa"/>
              <w:bottom w:w="0" w:type="dxa"/>
              <w:right w:w="0" w:type="dxa"/>
            </w:tcMar>
          </w:tcPr>
          <w:p w14:paraId="294E8EA7">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c>
          <w:tcPr>
            <w:tcW w:w="1909" w:type="dxa"/>
            <w:tcBorders>
              <w:top w:val="nil"/>
              <w:left w:val="nil"/>
              <w:bottom w:val="nil"/>
              <w:right w:val="nil"/>
            </w:tcBorders>
            <w:shd w:val="clear" w:color="auto" w:fill="FFFFFF"/>
            <w:tcMar>
              <w:top w:w="0" w:type="dxa"/>
              <w:left w:w="0" w:type="dxa"/>
              <w:bottom w:w="0" w:type="dxa"/>
              <w:right w:w="0" w:type="dxa"/>
            </w:tcMar>
          </w:tcPr>
          <w:p w14:paraId="45C3589C">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c>
          <w:tcPr>
            <w:tcW w:w="1309" w:type="dxa"/>
            <w:tcBorders>
              <w:top w:val="nil"/>
              <w:left w:val="nil"/>
              <w:bottom w:val="nil"/>
              <w:right w:val="nil"/>
            </w:tcBorders>
            <w:shd w:val="clear" w:color="auto" w:fill="FFFFFF"/>
            <w:tcMar>
              <w:top w:w="0" w:type="dxa"/>
              <w:left w:w="0" w:type="dxa"/>
              <w:bottom w:w="0" w:type="dxa"/>
              <w:right w:w="0" w:type="dxa"/>
            </w:tcMar>
          </w:tcPr>
          <w:p w14:paraId="722B3E7F">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r>
      <w:tr w14:paraId="21C66FB9">
        <w:tblPrEx>
          <w:tblCellMar>
            <w:top w:w="0" w:type="dxa"/>
            <w:left w:w="108" w:type="dxa"/>
            <w:bottom w:w="0" w:type="dxa"/>
            <w:right w:w="108" w:type="dxa"/>
          </w:tblCellMar>
        </w:tblPrEx>
        <w:tc>
          <w:tcPr>
            <w:tcW w:w="1767" w:type="dxa"/>
            <w:tcBorders>
              <w:top w:val="nil"/>
              <w:left w:val="nil"/>
              <w:bottom w:val="nil"/>
              <w:right w:val="nil"/>
            </w:tcBorders>
            <w:shd w:val="clear" w:color="auto" w:fill="FFFFFF"/>
            <w:tcMar>
              <w:top w:w="0" w:type="dxa"/>
              <w:left w:w="0" w:type="dxa"/>
              <w:bottom w:w="0" w:type="dxa"/>
              <w:right w:w="0" w:type="dxa"/>
            </w:tcMar>
          </w:tcPr>
          <w:p w14:paraId="08C91B64">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hint="default" w:eastAsia="宋体"/>
                <w:bCs/>
                <w:color w:val="000000"/>
                <w:sz w:val="20"/>
                <w:szCs w:val="20"/>
                <w:lang w:val="en-US" w:eastAsia="zh-CN"/>
              </w:rPr>
            </w:pPr>
            <w:r>
              <w:rPr>
                <w:rFonts w:hint="eastAsia"/>
                <w:bCs/>
                <w:color w:val="000000"/>
                <w:sz w:val="20"/>
                <w:szCs w:val="20"/>
                <w:lang w:val="en-US" w:eastAsia="zh-CN"/>
              </w:rPr>
              <w:t>No</w:t>
            </w:r>
          </w:p>
        </w:tc>
        <w:tc>
          <w:tcPr>
            <w:tcW w:w="1080" w:type="dxa"/>
            <w:tcBorders>
              <w:top w:val="nil"/>
              <w:left w:val="nil"/>
              <w:bottom w:val="nil"/>
              <w:right w:val="nil"/>
            </w:tcBorders>
            <w:shd w:val="clear" w:color="auto" w:fill="FFFFFF"/>
            <w:tcMar>
              <w:top w:w="0" w:type="dxa"/>
              <w:left w:w="0" w:type="dxa"/>
              <w:bottom w:w="0" w:type="dxa"/>
              <w:right w:w="0" w:type="dxa"/>
            </w:tcMar>
          </w:tcPr>
          <w:p w14:paraId="262C7059">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9</w:t>
            </w:r>
          </w:p>
        </w:tc>
        <w:tc>
          <w:tcPr>
            <w:tcW w:w="1233" w:type="dxa"/>
            <w:tcBorders>
              <w:top w:val="nil"/>
              <w:left w:val="nil"/>
              <w:bottom w:val="nil"/>
              <w:right w:val="nil"/>
            </w:tcBorders>
            <w:shd w:val="clear" w:color="auto" w:fill="FFFFFF"/>
            <w:tcMar>
              <w:top w:w="0" w:type="dxa"/>
              <w:left w:w="0" w:type="dxa"/>
              <w:bottom w:w="0" w:type="dxa"/>
              <w:right w:w="0" w:type="dxa"/>
            </w:tcMar>
          </w:tcPr>
          <w:p w14:paraId="11DEBD20">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0</w:t>
            </w:r>
          </w:p>
        </w:tc>
        <w:tc>
          <w:tcPr>
            <w:tcW w:w="1418" w:type="dxa"/>
            <w:tcBorders>
              <w:top w:val="nil"/>
              <w:left w:val="nil"/>
              <w:bottom w:val="nil"/>
              <w:right w:val="nil"/>
            </w:tcBorders>
            <w:shd w:val="clear" w:color="auto" w:fill="FFFFFF"/>
            <w:tcMar>
              <w:top w:w="0" w:type="dxa"/>
              <w:left w:w="0" w:type="dxa"/>
              <w:bottom w:w="0" w:type="dxa"/>
              <w:right w:w="0" w:type="dxa"/>
            </w:tcMar>
          </w:tcPr>
          <w:p w14:paraId="290A3E22">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Reference</w:t>
            </w:r>
          </w:p>
        </w:tc>
        <w:tc>
          <w:tcPr>
            <w:tcW w:w="1909" w:type="dxa"/>
            <w:tcBorders>
              <w:top w:val="nil"/>
              <w:left w:val="nil"/>
              <w:bottom w:val="nil"/>
              <w:right w:val="nil"/>
            </w:tcBorders>
            <w:shd w:val="clear" w:color="auto" w:fill="FFFFFF"/>
            <w:tcMar>
              <w:top w:w="0" w:type="dxa"/>
              <w:left w:w="0" w:type="dxa"/>
              <w:bottom w:w="0" w:type="dxa"/>
              <w:right w:w="0" w:type="dxa"/>
            </w:tcMar>
          </w:tcPr>
          <w:p w14:paraId="08FE5919">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Reference</w:t>
            </w:r>
          </w:p>
        </w:tc>
        <w:tc>
          <w:tcPr>
            <w:tcW w:w="1309" w:type="dxa"/>
            <w:tcBorders>
              <w:top w:val="nil"/>
              <w:left w:val="nil"/>
              <w:bottom w:val="nil"/>
              <w:right w:val="nil"/>
            </w:tcBorders>
            <w:shd w:val="clear" w:color="auto" w:fill="FFFFFF"/>
            <w:tcMar>
              <w:top w:w="0" w:type="dxa"/>
              <w:left w:w="0" w:type="dxa"/>
              <w:bottom w:w="0" w:type="dxa"/>
              <w:right w:w="0" w:type="dxa"/>
            </w:tcMar>
          </w:tcPr>
          <w:p w14:paraId="20ACD725">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p>
        </w:tc>
      </w:tr>
      <w:tr w14:paraId="4046A34E">
        <w:tblPrEx>
          <w:tblCellMar>
            <w:top w:w="0" w:type="dxa"/>
            <w:left w:w="108" w:type="dxa"/>
            <w:bottom w:w="0" w:type="dxa"/>
            <w:right w:w="108" w:type="dxa"/>
          </w:tblCellMar>
        </w:tblPrEx>
        <w:tc>
          <w:tcPr>
            <w:tcW w:w="1767" w:type="dxa"/>
            <w:tcBorders>
              <w:top w:val="nil"/>
              <w:left w:val="nil"/>
              <w:bottom w:val="single" w:color="000000" w:sz="8" w:space="0"/>
              <w:right w:val="nil"/>
            </w:tcBorders>
            <w:shd w:val="clear" w:color="auto" w:fill="FFFFFF"/>
            <w:tcMar>
              <w:top w:w="0" w:type="dxa"/>
              <w:left w:w="0" w:type="dxa"/>
              <w:bottom w:w="0" w:type="dxa"/>
              <w:right w:w="0" w:type="dxa"/>
            </w:tcMar>
          </w:tcPr>
          <w:p w14:paraId="54B8D868">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hint="default" w:eastAsia="宋体"/>
                <w:bCs/>
                <w:color w:val="000000"/>
                <w:sz w:val="20"/>
                <w:szCs w:val="20"/>
                <w:lang w:val="en-US" w:eastAsia="zh-CN"/>
              </w:rPr>
            </w:pPr>
            <w:r>
              <w:rPr>
                <w:rFonts w:hint="eastAsia"/>
                <w:bCs/>
                <w:color w:val="000000"/>
                <w:sz w:val="20"/>
                <w:szCs w:val="20"/>
                <w:lang w:val="en-US" w:eastAsia="zh-CN"/>
              </w:rPr>
              <w:t>Yes</w:t>
            </w:r>
          </w:p>
        </w:tc>
        <w:tc>
          <w:tcPr>
            <w:tcW w:w="1080" w:type="dxa"/>
            <w:tcBorders>
              <w:top w:val="nil"/>
              <w:left w:val="nil"/>
              <w:bottom w:val="single" w:color="000000" w:sz="8" w:space="0"/>
              <w:right w:val="nil"/>
            </w:tcBorders>
            <w:shd w:val="clear" w:color="auto" w:fill="FFFFFF"/>
            <w:tcMar>
              <w:top w:w="0" w:type="dxa"/>
              <w:left w:w="0" w:type="dxa"/>
              <w:bottom w:w="0" w:type="dxa"/>
              <w:right w:w="0" w:type="dxa"/>
            </w:tcMar>
          </w:tcPr>
          <w:p w14:paraId="52530391">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97</w:t>
            </w:r>
          </w:p>
        </w:tc>
        <w:tc>
          <w:tcPr>
            <w:tcW w:w="1233" w:type="dxa"/>
            <w:tcBorders>
              <w:top w:val="nil"/>
              <w:left w:val="nil"/>
              <w:bottom w:val="single" w:color="000000" w:sz="8" w:space="0"/>
              <w:right w:val="nil"/>
            </w:tcBorders>
            <w:shd w:val="clear" w:color="auto" w:fill="FFFFFF"/>
            <w:tcMar>
              <w:top w:w="0" w:type="dxa"/>
              <w:left w:w="0" w:type="dxa"/>
              <w:bottom w:w="0" w:type="dxa"/>
              <w:right w:w="0" w:type="dxa"/>
            </w:tcMar>
          </w:tcPr>
          <w:p w14:paraId="55BCC032">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34</w:t>
            </w:r>
          </w:p>
        </w:tc>
        <w:tc>
          <w:tcPr>
            <w:tcW w:w="1418" w:type="dxa"/>
            <w:tcBorders>
              <w:top w:val="nil"/>
              <w:left w:val="nil"/>
              <w:bottom w:val="single" w:color="000000" w:sz="8" w:space="0"/>
              <w:right w:val="nil"/>
            </w:tcBorders>
            <w:shd w:val="clear" w:color="auto" w:fill="FFFFFF"/>
            <w:tcMar>
              <w:top w:w="0" w:type="dxa"/>
              <w:left w:w="0" w:type="dxa"/>
              <w:bottom w:w="0" w:type="dxa"/>
              <w:right w:w="0" w:type="dxa"/>
            </w:tcMar>
          </w:tcPr>
          <w:p w14:paraId="452614EE">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3.48 ×10^07</w:t>
            </w:r>
          </w:p>
        </w:tc>
        <w:tc>
          <w:tcPr>
            <w:tcW w:w="1909" w:type="dxa"/>
            <w:tcBorders>
              <w:top w:val="nil"/>
              <w:left w:val="nil"/>
              <w:bottom w:val="single" w:color="000000" w:sz="8" w:space="0"/>
              <w:right w:val="nil"/>
            </w:tcBorders>
            <w:shd w:val="clear" w:color="auto" w:fill="FFFFFF"/>
            <w:tcMar>
              <w:top w:w="0" w:type="dxa"/>
              <w:left w:w="0" w:type="dxa"/>
              <w:bottom w:w="0" w:type="dxa"/>
              <w:right w:w="0" w:type="dxa"/>
            </w:tcMar>
          </w:tcPr>
          <w:p w14:paraId="60FDD556">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0.00, Inf</w:t>
            </w:r>
          </w:p>
        </w:tc>
        <w:tc>
          <w:tcPr>
            <w:tcW w:w="1309" w:type="dxa"/>
            <w:tcBorders>
              <w:top w:val="nil"/>
              <w:left w:val="nil"/>
              <w:bottom w:val="single" w:color="000000" w:sz="8" w:space="0"/>
              <w:right w:val="nil"/>
            </w:tcBorders>
            <w:shd w:val="clear" w:color="auto" w:fill="FFFFFF"/>
            <w:tcMar>
              <w:top w:w="0" w:type="dxa"/>
              <w:left w:w="0" w:type="dxa"/>
              <w:bottom w:w="0" w:type="dxa"/>
              <w:right w:w="0" w:type="dxa"/>
            </w:tcMar>
          </w:tcPr>
          <w:p w14:paraId="04EE2D25">
            <w:pPr>
              <w:pBdr>
                <w:top w:val="none" w:color="000000" w:sz="0" w:space="0"/>
                <w:left w:val="none" w:color="000000" w:sz="0" w:space="0"/>
                <w:bottom w:val="none" w:color="000000" w:sz="0" w:space="0"/>
                <w:right w:val="none" w:color="000000" w:sz="0" w:space="0"/>
              </w:pBdr>
              <w:spacing w:before="120" w:after="120" w:line="360" w:lineRule="auto"/>
              <w:ind w:right="120" w:firstLine="400" w:firstLineChars="200"/>
              <w:jc w:val="left"/>
              <w:rPr>
                <w:rFonts w:eastAsia="DejaVu Sans"/>
                <w:bCs/>
                <w:color w:val="000000"/>
                <w:sz w:val="20"/>
                <w:szCs w:val="20"/>
              </w:rPr>
            </w:pPr>
            <w:r>
              <w:rPr>
                <w:rFonts w:eastAsia="DejaVu Sans"/>
                <w:bCs/>
                <w:color w:val="000000"/>
                <w:sz w:val="20"/>
                <w:szCs w:val="20"/>
              </w:rPr>
              <w:t>0.989</w:t>
            </w:r>
          </w:p>
        </w:tc>
      </w:tr>
    </w:tbl>
    <w:p w14:paraId="70F3D062">
      <w:pPr>
        <w:rPr>
          <w:sz w:val="20"/>
          <w:szCs w:val="20"/>
        </w:rPr>
      </w:pPr>
      <w:r>
        <w:rPr>
          <w:sz w:val="20"/>
          <w:szCs w:val="20"/>
        </w:rPr>
        <w:t>HID, Haploidentical Donor;CSA, Cyclosporin A; MTX, Methotrexate; MMF, Mycophenolate Mofetil; FK506,Fujisawa K-506; ATG, anti-thymocyte globulin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jaVu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F1"/>
    <w:rsid w:val="00041AB7"/>
    <w:rsid w:val="00483A47"/>
    <w:rsid w:val="0049133E"/>
    <w:rsid w:val="006357BE"/>
    <w:rsid w:val="00731EE5"/>
    <w:rsid w:val="00B26C7E"/>
    <w:rsid w:val="00C00DDC"/>
    <w:rsid w:val="00DA5C52"/>
    <w:rsid w:val="00DF1D8A"/>
    <w:rsid w:val="00EE1A5A"/>
    <w:rsid w:val="00F26EF1"/>
    <w:rsid w:val="00F92D91"/>
    <w:rsid w:val="067D77AC"/>
    <w:rsid w:val="0D2070E4"/>
    <w:rsid w:val="0D8256A8"/>
    <w:rsid w:val="0DB50B21"/>
    <w:rsid w:val="14422691"/>
    <w:rsid w:val="16702E8A"/>
    <w:rsid w:val="17FD24FB"/>
    <w:rsid w:val="24662ED8"/>
    <w:rsid w:val="24FD7FDE"/>
    <w:rsid w:val="28426420"/>
    <w:rsid w:val="28537F15"/>
    <w:rsid w:val="290C4C94"/>
    <w:rsid w:val="2D83304B"/>
    <w:rsid w:val="30DB6CFA"/>
    <w:rsid w:val="32AE50FD"/>
    <w:rsid w:val="365655A8"/>
    <w:rsid w:val="3A1208C2"/>
    <w:rsid w:val="3AE315CD"/>
    <w:rsid w:val="400242A3"/>
    <w:rsid w:val="49296D45"/>
    <w:rsid w:val="493C4382"/>
    <w:rsid w:val="49826809"/>
    <w:rsid w:val="516A3A56"/>
    <w:rsid w:val="55AA4D69"/>
    <w:rsid w:val="56840441"/>
    <w:rsid w:val="57914433"/>
    <w:rsid w:val="5A696FA1"/>
    <w:rsid w:val="5E082F75"/>
    <w:rsid w:val="61B631AA"/>
    <w:rsid w:val="7A150154"/>
    <w:rsid w:val="7AA15E8B"/>
    <w:rsid w:val="7DD41C7E"/>
    <w:rsid w:val="7E883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tabs>
        <w:tab w:val="center" w:pos="4153"/>
        <w:tab w:val="right" w:pos="8306"/>
      </w:tabs>
      <w:snapToGrid w:val="0"/>
      <w:jc w:val="center"/>
    </w:pPr>
    <w:rPr>
      <w:sz w:val="18"/>
      <w:szCs w:val="18"/>
    </w:rPr>
  </w:style>
  <w:style w:type="character" w:styleId="7">
    <w:name w:val="Hyperlink"/>
    <w:unhideWhenUsed/>
    <w:qFormat/>
    <w:uiPriority w:val="99"/>
    <w:rPr>
      <w:color w:val="0563C1"/>
      <w:u w:val="single"/>
    </w:rPr>
  </w:style>
  <w:style w:type="character" w:customStyle="1" w:styleId="8">
    <w:name w:val="页眉 字符"/>
    <w:basedOn w:val="6"/>
    <w:link w:val="4"/>
    <w:qFormat/>
    <w:uiPriority w:val="0"/>
    <w:rPr>
      <w:rFonts w:ascii="Times New Roman" w:hAnsi="Times New Roman" w:eastAsia="宋体" w:cs="Times New Roman"/>
      <w:kern w:val="2"/>
      <w:sz w:val="18"/>
      <w:szCs w:val="18"/>
    </w:rPr>
  </w:style>
  <w:style w:type="character" w:customStyle="1" w:styleId="9">
    <w:name w:val="页脚 字符"/>
    <w:basedOn w:val="6"/>
    <w:link w:val="3"/>
    <w:qFormat/>
    <w:uiPriority w:val="0"/>
    <w:rPr>
      <w:rFonts w:ascii="Times New Roman" w:hAnsi="Times New Roman" w:eastAsia="宋体" w:cs="Times New Roman"/>
      <w:kern w:val="2"/>
      <w:sz w:val="18"/>
      <w:szCs w:val="18"/>
    </w:rPr>
  </w:style>
  <w:style w:type="paragraph" w:customStyle="1" w:styleId="10">
    <w:name w:val="Table Caption"/>
    <w:basedOn w:val="11"/>
    <w:qFormat/>
    <w:uiPriority w:val="0"/>
  </w:style>
  <w:style w:type="paragraph" w:customStyle="1" w:styleId="11">
    <w:name w:val="Image Caption"/>
    <w:basedOn w:val="1"/>
    <w:qFormat/>
    <w:uiPriority w:val="0"/>
    <w:pPr>
      <w:jc w:val="center"/>
    </w:pPr>
    <w:rPr>
      <w:b/>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531</Words>
  <Characters>3168</Characters>
  <Lines>27</Lines>
  <Paragraphs>7</Paragraphs>
  <TotalTime>5</TotalTime>
  <ScaleCrop>false</ScaleCrop>
  <LinksUpToDate>false</LinksUpToDate>
  <CharactersWithSpaces>3623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2025-09-26T13:34:00Z</dcterms:created>
  <dc:creator>可爱双下巴ls</dc:creator>
  <cp:lastModifiedBy>Cassie</cp:lastModifiedBy>
  <dcterms:modified xsi:type="dcterms:W3CDTF">2025-09-28T02:08:54Z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ZOTERO-PREF-1">
    <vt:lpwstr>1</vt:lpwstr>
  </property>
  <property fmtid="{D5CDD505-2E9C-101B-9397-08002B2CF9AE}" pid="4" name="ZOTERO-PREF-2">
    <vt:lpwstr>1</vt:lpwstr>
  </property>
  <property fmtid="{D5CDD505-2E9C-101B-9397-08002B2CF9AE}" pid="5" name="KSOTemplateDocerSaveRecord">
    <vt:lpwstr>eyJoZGlkIjoiNTZjYzZiNTQxNDM1ZmM5NDZlODg0YzRmZjhjYjA4MzIiLCJ1c2VySWQiOiI0MDU3MjYyNzkifQ==</vt:lpwstr>
  </property>
  <property fmtid="{D5CDD505-2E9C-101B-9397-08002B2CF9AE}" pid="6" name="ICV">
    <vt:lpwstr>E8D378C1BA65456B8C7F08C0C253BEC7_12</vt:lpwstr>
  </property>
</Properties>
</file>