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960" w:rsidRPr="001B1DFA" w:rsidRDefault="006D4A21" w:rsidP="00AB7090">
      <w:pPr>
        <w:spacing w:line="480" w:lineRule="auto"/>
        <w:ind w:hanging="567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1B1DFA" w:rsidRPr="001B1DFA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S</w:t>
      </w:r>
      <w:r w:rsidR="001B1DFA" w:rsidRPr="001B1DFA">
        <w:rPr>
          <w:rFonts w:ascii="Arial" w:hAnsi="Arial" w:cs="Arial"/>
          <w:b/>
          <w:bCs/>
          <w:sz w:val="20"/>
          <w:szCs w:val="20"/>
        </w:rPr>
        <w:t>1</w:t>
      </w:r>
      <w:r w:rsidR="00143015">
        <w:rPr>
          <w:rFonts w:ascii="Arial" w:hAnsi="Arial" w:cs="Arial"/>
          <w:sz w:val="20"/>
          <w:szCs w:val="20"/>
        </w:rPr>
        <w:t xml:space="preserve"> Clinical characteristics of </w:t>
      </w:r>
      <w:r w:rsidR="001B1DFA">
        <w:rPr>
          <w:rFonts w:ascii="Arial" w:hAnsi="Arial" w:cs="Arial"/>
          <w:sz w:val="20"/>
          <w:szCs w:val="20"/>
        </w:rPr>
        <w:t xml:space="preserve">patients with </w:t>
      </w:r>
      <w:r w:rsidR="00143015">
        <w:rPr>
          <w:rFonts w:ascii="Arial" w:hAnsi="Arial" w:cs="Arial"/>
          <w:sz w:val="20"/>
          <w:szCs w:val="20"/>
        </w:rPr>
        <w:t>MM included in this study.</w:t>
      </w:r>
      <w:r w:rsidR="001B1DFA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978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840"/>
        <w:gridCol w:w="1984"/>
        <w:gridCol w:w="1977"/>
        <w:gridCol w:w="13"/>
      </w:tblGrid>
      <w:tr w:rsidR="00EA1C3C" w:rsidRPr="001D0E2E" w:rsidTr="00EA1C3C"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:rsidR="00EA1C3C" w:rsidRPr="002C407B" w:rsidRDefault="00EA1C3C" w:rsidP="001D0E2E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</w:tcBorders>
            <w:vAlign w:val="center"/>
          </w:tcPr>
          <w:p w:rsidR="00EA1C3C" w:rsidRPr="002C407B" w:rsidRDefault="00EA1C3C" w:rsidP="001D0E2E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tcBorders>
              <w:top w:val="single" w:sz="4" w:space="0" w:color="auto"/>
            </w:tcBorders>
            <w:vAlign w:val="center"/>
          </w:tcPr>
          <w:p w:rsidR="00EA1C3C" w:rsidRPr="002C407B" w:rsidRDefault="00EA1C3C" w:rsidP="00EA1C3C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407B">
              <w:rPr>
                <w:rFonts w:ascii="Arial" w:hAnsi="Arial" w:cs="Arial"/>
                <w:b/>
                <w:bCs/>
                <w:sz w:val="20"/>
                <w:szCs w:val="20"/>
              </w:rPr>
              <w:t>Number of patient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2C407B">
              <w:rPr>
                <w:rFonts w:ascii="Arial" w:hAnsi="Arial" w:cs="Arial"/>
                <w:b/>
                <w:bCs/>
                <w:sz w:val="20"/>
                <w:szCs w:val="20"/>
              </w:rPr>
              <w:t>n (%)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:rsidR="00EA1C3C" w:rsidRPr="002C407B" w:rsidRDefault="00EA1C3C" w:rsidP="001D0E2E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407B">
              <w:rPr>
                <w:rFonts w:ascii="Arial" w:hAnsi="Arial" w:cs="Arial"/>
                <w:b/>
                <w:bCs/>
                <w:sz w:val="20"/>
                <w:szCs w:val="20"/>
              </w:rPr>
              <w:t>Characteristic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:rsidR="00EA1C3C" w:rsidRPr="002C407B" w:rsidRDefault="00EA1C3C" w:rsidP="001D0E2E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1C3C" w:rsidRDefault="00EA1C3C" w:rsidP="001D0E2E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1C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Comprehensive diagnostic cohort </w:t>
            </w:r>
          </w:p>
          <w:p w:rsidR="00EA1C3C" w:rsidRPr="002C407B" w:rsidRDefault="00EA1C3C" w:rsidP="001D0E2E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1C3C">
              <w:rPr>
                <w:rFonts w:ascii="Arial" w:hAnsi="Arial" w:cs="Arial"/>
                <w:b/>
                <w:bCs/>
                <w:sz w:val="20"/>
                <w:szCs w:val="20"/>
              </w:rPr>
              <w:t>(n = 215)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:rsidR="00EA1C3C" w:rsidRDefault="00EA1C3C" w:rsidP="001D0E2E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1C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HLC analytical cohort </w:t>
            </w:r>
          </w:p>
          <w:p w:rsidR="00EA1C3C" w:rsidRPr="002C407B" w:rsidRDefault="00EA1C3C" w:rsidP="001D0E2E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1C3C">
              <w:rPr>
                <w:rFonts w:ascii="Arial" w:hAnsi="Arial" w:cs="Arial"/>
                <w:b/>
                <w:bCs/>
                <w:sz w:val="20"/>
                <w:szCs w:val="20"/>
              </w:rPr>
              <w:t>(n = 38)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  <w:tcBorders>
              <w:top w:val="single" w:sz="4" w:space="0" w:color="auto"/>
            </w:tcBorders>
          </w:tcPr>
          <w:p w:rsidR="00EA1C3C" w:rsidRPr="002C407B" w:rsidRDefault="00EA1C3C" w:rsidP="00EA1C3C">
            <w:pPr>
              <w:pStyle w:val="NoSpacing"/>
              <w:spacing w:before="24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407B">
              <w:rPr>
                <w:rFonts w:ascii="Arial" w:hAnsi="Arial" w:cs="Arial"/>
                <w:b/>
                <w:bCs/>
                <w:sz w:val="20"/>
                <w:szCs w:val="20"/>
              </w:rPr>
              <w:t>Age, year</w:t>
            </w:r>
          </w:p>
        </w:tc>
        <w:tc>
          <w:tcPr>
            <w:tcW w:w="2840" w:type="dxa"/>
            <w:tcBorders>
              <w:top w:val="single" w:sz="4" w:space="0" w:color="auto"/>
            </w:tcBorders>
          </w:tcPr>
          <w:p w:rsidR="00EA1C3C" w:rsidRPr="001D0E2E" w:rsidRDefault="00EA1C3C" w:rsidP="00EA1C3C">
            <w:pPr>
              <w:pStyle w:val="NoSpacing"/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Mean (</w:t>
            </w:r>
            <w:r w:rsidRPr="001D0E2E"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 w:rsidRPr="001D0E2E">
              <w:rPr>
                <w:rFonts w:ascii="Arial" w:hAnsi="Arial" w:cs="Arial"/>
                <w:sz w:val="20"/>
                <w:szCs w:val="20"/>
              </w:rPr>
              <w:t>SD)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1C3C" w:rsidRPr="001D0E2E" w:rsidRDefault="00EA1C3C" w:rsidP="00EA1C3C">
            <w:pPr>
              <w:pStyle w:val="NoSpacing"/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62.4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12.2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EA1C3C" w:rsidRPr="001D0E2E" w:rsidRDefault="00EA1C3C" w:rsidP="00EA1C3C">
            <w:pPr>
              <w:pStyle w:val="NoSpacing"/>
              <w:spacing w:before="24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59.3 </w:t>
            </w:r>
            <w:r w:rsidRPr="001D0E2E">
              <w:rPr>
                <w:rFonts w:ascii="Arial" w:hAnsi="Arial" w:cs="Arial"/>
                <w:sz w:val="20"/>
                <w:szCs w:val="20"/>
              </w:rPr>
              <w:sym w:font="Symbol" w:char="F0B1"/>
            </w:r>
            <w:r>
              <w:rPr>
                <w:rFonts w:ascii="Arial" w:hAnsi="Arial" w:cs="Arial"/>
                <w:sz w:val="20"/>
                <w:szCs w:val="20"/>
              </w:rPr>
              <w:t xml:space="preserve"> 12.4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120 (55.8)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(34.2)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95 (44.2)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(65.8)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407B">
              <w:rPr>
                <w:rFonts w:ascii="Arial" w:hAnsi="Arial" w:cs="Arial"/>
                <w:b/>
                <w:bCs/>
                <w:sz w:val="20"/>
                <w:szCs w:val="20"/>
              </w:rPr>
              <w:t>Clonal isotype</w:t>
            </w: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IgG Kappa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 (35.3)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(39.5)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IgG Lambda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 (23.7)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(28.9)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IgA Kappa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 (21.9)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(21.1)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IgA Lambda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 (17.2)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(10.5)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Ig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1D0E2E">
              <w:rPr>
                <w:rFonts w:ascii="Arial" w:hAnsi="Arial" w:cs="Arial"/>
                <w:sz w:val="20"/>
                <w:szCs w:val="20"/>
              </w:rPr>
              <w:t xml:space="preserve"> Kappa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(0.5)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Ig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1D0E2E">
              <w:rPr>
                <w:rFonts w:ascii="Arial" w:hAnsi="Arial" w:cs="Arial"/>
                <w:sz w:val="20"/>
                <w:szCs w:val="20"/>
              </w:rPr>
              <w:t xml:space="preserve"> Lambda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(0.5)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0E2E">
              <w:rPr>
                <w:rFonts w:ascii="Arial" w:hAnsi="Arial" w:cs="Arial"/>
                <w:sz w:val="20"/>
                <w:szCs w:val="20"/>
              </w:rPr>
              <w:t>Ig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proofErr w:type="spellEnd"/>
            <w:r w:rsidRPr="001D0E2E">
              <w:rPr>
                <w:rFonts w:ascii="Arial" w:hAnsi="Arial" w:cs="Arial"/>
                <w:sz w:val="20"/>
                <w:szCs w:val="20"/>
              </w:rPr>
              <w:t xml:space="preserve"> Lambda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(0.9)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407B">
              <w:rPr>
                <w:rFonts w:ascii="Arial" w:hAnsi="Arial" w:cs="Arial"/>
                <w:b/>
                <w:bCs/>
                <w:sz w:val="20"/>
                <w:szCs w:val="20"/>
              </w:rPr>
              <w:t>ISS-stage</w:t>
            </w: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 (20.5)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(15.8)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 (25.6)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(29.0)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 (53.9)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(55.2)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ASCT</w:t>
            </w:r>
            <w:r w:rsidRPr="002C40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eligibility</w:t>
            </w: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(age &lt;65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1D0E2E">
              <w:rPr>
                <w:rFonts w:ascii="Arial" w:hAnsi="Arial" w:cs="Arial"/>
                <w:sz w:val="20"/>
                <w:szCs w:val="20"/>
              </w:rPr>
              <w:t>r</w:t>
            </w:r>
            <w:proofErr w:type="spellEnd"/>
            <w:r w:rsidRPr="001D0E2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 (58.1)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(73.7)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 xml:space="preserve">Non-eligible (age </w:t>
            </w:r>
            <w:r w:rsidRPr="001D0E2E">
              <w:rPr>
                <w:rFonts w:ascii="Arial" w:hAnsi="Arial" w:cs="Arial"/>
                <w:sz w:val="20"/>
                <w:szCs w:val="20"/>
              </w:rPr>
              <w:sym w:font="Symbol" w:char="F0B3"/>
            </w:r>
            <w:r>
              <w:rPr>
                <w:rFonts w:ascii="Arial" w:hAnsi="Arial" w:cs="Arial"/>
                <w:sz w:val="20"/>
                <w:szCs w:val="20"/>
              </w:rPr>
              <w:t xml:space="preserve">65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1D0E2E">
              <w:rPr>
                <w:rFonts w:ascii="Arial" w:hAnsi="Arial" w:cs="Arial"/>
                <w:sz w:val="20"/>
                <w:szCs w:val="20"/>
              </w:rPr>
              <w:t>r</w:t>
            </w:r>
            <w:proofErr w:type="spellEnd"/>
            <w:r w:rsidRPr="001D0E2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 (41.9)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(26.3)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407B">
              <w:rPr>
                <w:rFonts w:ascii="Arial" w:hAnsi="Arial" w:cs="Arial"/>
                <w:b/>
                <w:bCs/>
                <w:sz w:val="20"/>
                <w:szCs w:val="20"/>
              </w:rPr>
              <w:t>First line treatment regimen</w:t>
            </w: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</w:tcPr>
          <w:p w:rsidR="00EA1C3C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Bortezomib-based regimen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 (69.3)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(78.9)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D0E2E">
              <w:rPr>
                <w:rFonts w:ascii="Arial" w:hAnsi="Arial" w:cs="Arial"/>
                <w:sz w:val="20"/>
                <w:szCs w:val="20"/>
              </w:rPr>
              <w:t>Other regimen</w:t>
            </w:r>
          </w:p>
        </w:tc>
        <w:tc>
          <w:tcPr>
            <w:tcW w:w="1984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 (23.7)</w:t>
            </w:r>
          </w:p>
        </w:tc>
        <w:tc>
          <w:tcPr>
            <w:tcW w:w="1977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(21.1)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treatment/palliative care</w:t>
            </w:r>
          </w:p>
        </w:tc>
        <w:tc>
          <w:tcPr>
            <w:tcW w:w="1984" w:type="dxa"/>
          </w:tcPr>
          <w:p w:rsidR="00EA1C3C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(7.0)</w:t>
            </w:r>
          </w:p>
        </w:tc>
        <w:tc>
          <w:tcPr>
            <w:tcW w:w="1977" w:type="dxa"/>
          </w:tcPr>
          <w:p w:rsidR="00EA1C3C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EA1C3C" w:rsidRPr="001D0E2E" w:rsidTr="00EA1C3C">
        <w:trPr>
          <w:gridAfter w:val="1"/>
          <w:wAfter w:w="13" w:type="dxa"/>
        </w:trPr>
        <w:tc>
          <w:tcPr>
            <w:tcW w:w="2972" w:type="dxa"/>
            <w:tcBorders>
              <w:bottom w:val="single" w:sz="4" w:space="0" w:color="auto"/>
            </w:tcBorders>
          </w:tcPr>
          <w:p w:rsidR="00EA1C3C" w:rsidRPr="002C407B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Median follow-up, month</w:t>
            </w:r>
          </w:p>
        </w:tc>
        <w:tc>
          <w:tcPr>
            <w:tcW w:w="2840" w:type="dxa"/>
            <w:tcBorders>
              <w:bottom w:val="single" w:sz="4" w:space="0" w:color="auto"/>
            </w:tcBorders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Median (range)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1C3C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(1–50)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EA1C3C" w:rsidRPr="001D0E2E" w:rsidRDefault="00EA1C3C" w:rsidP="00EA1C3C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(6–22)</w:t>
            </w:r>
          </w:p>
        </w:tc>
      </w:tr>
    </w:tbl>
    <w:p w:rsidR="005B14E1" w:rsidRDefault="005B14E1" w:rsidP="00EA1C3C">
      <w:pPr>
        <w:spacing w:after="0"/>
        <w:ind w:lef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ASCT, autologous stem cells transplantation; </w:t>
      </w:r>
      <w:r w:rsidR="00143015">
        <w:rPr>
          <w:rFonts w:ascii="Arial" w:hAnsi="Arial" w:cs="Arial"/>
          <w:sz w:val="20"/>
          <w:szCs w:val="20"/>
        </w:rPr>
        <w:t xml:space="preserve">HLC, heavy/light chain; </w:t>
      </w:r>
      <w:r>
        <w:rPr>
          <w:rFonts w:ascii="Arial" w:hAnsi="Arial" w:cs="Arial"/>
          <w:sz w:val="20"/>
          <w:szCs w:val="20"/>
        </w:rPr>
        <w:t>Ig, immunoglobulin; ISS, the International Staging System; SD, standard deviation</w:t>
      </w:r>
    </w:p>
    <w:p w:rsidR="005B14E1" w:rsidRPr="00E7350E" w:rsidRDefault="005B14E1" w:rsidP="005B14E1">
      <w:pPr>
        <w:rPr>
          <w:rFonts w:ascii="Arial" w:hAnsi="Arial" w:cs="Arial"/>
          <w:sz w:val="20"/>
          <w:szCs w:val="20"/>
        </w:rPr>
      </w:pPr>
    </w:p>
    <w:p w:rsidR="001B1DFA" w:rsidRPr="001B1DFA" w:rsidRDefault="001B1DFA" w:rsidP="001B1DFA">
      <w:pPr>
        <w:spacing w:line="480" w:lineRule="auto"/>
        <w:rPr>
          <w:rFonts w:ascii="Arial" w:hAnsi="Arial" w:cs="Arial"/>
          <w:sz w:val="20"/>
          <w:szCs w:val="20"/>
        </w:rPr>
      </w:pPr>
    </w:p>
    <w:p w:rsidR="001B1DFA" w:rsidRPr="001B1DFA" w:rsidRDefault="001B1DFA" w:rsidP="001B1DFA">
      <w:pPr>
        <w:spacing w:line="480" w:lineRule="auto"/>
        <w:rPr>
          <w:rFonts w:ascii="Arial" w:hAnsi="Arial" w:cs="Arial"/>
          <w:sz w:val="20"/>
          <w:szCs w:val="20"/>
        </w:rPr>
      </w:pPr>
    </w:p>
    <w:p w:rsidR="001B1DFA" w:rsidRPr="001B1DFA" w:rsidRDefault="001B1DFA" w:rsidP="001B1DFA">
      <w:pPr>
        <w:spacing w:line="480" w:lineRule="auto"/>
        <w:rPr>
          <w:rFonts w:ascii="Arial" w:hAnsi="Arial" w:cs="Arial"/>
          <w:sz w:val="20"/>
          <w:szCs w:val="20"/>
        </w:rPr>
      </w:pPr>
    </w:p>
    <w:sectPr w:rsidR="001B1DFA" w:rsidRPr="001B1DFA" w:rsidSect="00EA1C3C">
      <w:pgSz w:w="11906" w:h="16838" w:code="9"/>
      <w:pgMar w:top="1440" w:right="1416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FA"/>
    <w:rsid w:val="00051CE7"/>
    <w:rsid w:val="00143015"/>
    <w:rsid w:val="001B1DFA"/>
    <w:rsid w:val="001D0E2E"/>
    <w:rsid w:val="002C407B"/>
    <w:rsid w:val="003638E9"/>
    <w:rsid w:val="004C1344"/>
    <w:rsid w:val="00556F1A"/>
    <w:rsid w:val="00574D60"/>
    <w:rsid w:val="005B14E1"/>
    <w:rsid w:val="005E0555"/>
    <w:rsid w:val="006D4A21"/>
    <w:rsid w:val="007265B4"/>
    <w:rsid w:val="007D3EA5"/>
    <w:rsid w:val="00880486"/>
    <w:rsid w:val="008B447F"/>
    <w:rsid w:val="00AB7090"/>
    <w:rsid w:val="00AB7C29"/>
    <w:rsid w:val="00AE1CAB"/>
    <w:rsid w:val="00C27881"/>
    <w:rsid w:val="00C55523"/>
    <w:rsid w:val="00CE0E77"/>
    <w:rsid w:val="00E40D34"/>
    <w:rsid w:val="00EA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7CA34"/>
  <w15:chartTrackingRefBased/>
  <w15:docId w15:val="{F6965E76-88F6-414C-9E1D-3F3900FA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1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0E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2025-02-17T03:43:00Z</dcterms:created>
  <dcterms:modified xsi:type="dcterms:W3CDTF">2025-10-12T14:30:00Z</dcterms:modified>
</cp:coreProperties>
</file>