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ED082" w14:textId="247E4BA2" w:rsidR="00FB4E10" w:rsidRDefault="002A4D51" w:rsidP="002A4D51">
      <w:pPr>
        <w:jc w:val="center"/>
        <w:rPr>
          <w:rFonts w:ascii="Times New Roman" w:hAnsi="Times New Roman" w:cs="Times New Roman"/>
          <w:sz w:val="32"/>
          <w:szCs w:val="32"/>
        </w:rPr>
      </w:pPr>
      <w:r w:rsidRPr="002A4D51">
        <w:rPr>
          <w:rFonts w:ascii="Times New Roman" w:hAnsi="Times New Roman" w:cs="Times New Roman"/>
          <w:sz w:val="32"/>
          <w:szCs w:val="32"/>
        </w:rPr>
        <w:t>Supplementary Material for “</w:t>
      </w:r>
      <w:proofErr w:type="spellStart"/>
      <w:r w:rsidRPr="002A4D51">
        <w:rPr>
          <w:rFonts w:ascii="Times New Roman" w:hAnsi="Times New Roman" w:cs="Times New Roman"/>
          <w:sz w:val="32"/>
          <w:szCs w:val="32"/>
        </w:rPr>
        <w:t>SyncDIT</w:t>
      </w:r>
      <w:proofErr w:type="spellEnd"/>
      <w:r w:rsidRPr="002A4D51">
        <w:rPr>
          <w:rFonts w:ascii="Times New Roman" w:hAnsi="Times New Roman" w:cs="Times New Roman"/>
          <w:sz w:val="32"/>
          <w:szCs w:val="32"/>
        </w:rPr>
        <w:t>: High-Fidelity Video Synthesis Synchronized to Complex Audio”</w:t>
      </w:r>
    </w:p>
    <w:p w14:paraId="05420457" w14:textId="44169190" w:rsidR="002A4D51" w:rsidRDefault="002A4D51" w:rsidP="002A4D51">
      <w:pPr>
        <w:jc w:val="left"/>
        <w:rPr>
          <w:rFonts w:ascii="Times New Roman" w:hAnsi="Times New Roman" w:cs="Times New Roman"/>
          <w:sz w:val="32"/>
          <w:szCs w:val="32"/>
        </w:rPr>
      </w:pPr>
    </w:p>
    <w:p w14:paraId="30DB19CE" w14:textId="72F6B1E1" w:rsidR="002A4D51" w:rsidRPr="002A4D51" w:rsidRDefault="002A4D51" w:rsidP="002A4D51">
      <w:pPr>
        <w:jc w:val="left"/>
        <w:rPr>
          <w:rFonts w:ascii="Times New Roman" w:hAnsi="Times New Roman" w:cs="Times New Roman"/>
          <w:sz w:val="28"/>
          <w:szCs w:val="28"/>
        </w:rPr>
      </w:pPr>
      <w:r w:rsidRPr="002A4D51">
        <w:rPr>
          <w:rFonts w:ascii="Times New Roman" w:hAnsi="Times New Roman" w:cs="Times New Roman" w:hint="eastAsia"/>
          <w:sz w:val="28"/>
          <w:szCs w:val="28"/>
        </w:rPr>
        <w:t>1</w:t>
      </w:r>
      <w:r w:rsidRPr="002A4D51">
        <w:rPr>
          <w:rFonts w:ascii="Times New Roman" w:hAnsi="Times New Roman" w:cs="Times New Roman"/>
          <w:sz w:val="28"/>
          <w:szCs w:val="28"/>
        </w:rPr>
        <w:t>.</w:t>
      </w:r>
      <w:r w:rsidRPr="002A4D51">
        <w:rPr>
          <w:sz w:val="28"/>
          <w:szCs w:val="28"/>
        </w:rPr>
        <w:t xml:space="preserve"> </w:t>
      </w:r>
      <w:r w:rsidRPr="002A4D51">
        <w:rPr>
          <w:rFonts w:ascii="Times New Roman" w:hAnsi="Times New Roman" w:cs="Times New Roman"/>
          <w:sz w:val="28"/>
          <w:szCs w:val="28"/>
        </w:rPr>
        <w:t>Dataset Details</w:t>
      </w:r>
    </w:p>
    <w:p w14:paraId="7D12E7DD" w14:textId="6142AF2C" w:rsidR="002A4D51" w:rsidRDefault="002A4D51" w:rsidP="002A4D51">
      <w:pPr>
        <w:ind w:firstLineChars="100" w:firstLine="210"/>
        <w:jc w:val="left"/>
        <w:rPr>
          <w:rFonts w:ascii="Times New Roman" w:hAnsi="Times New Roman" w:cs="Times New Roman"/>
          <w:szCs w:val="21"/>
        </w:rPr>
      </w:pPr>
      <w:r w:rsidRPr="002A4D51">
        <w:rPr>
          <w:rFonts w:ascii="Times New Roman" w:hAnsi="Times New Roman" w:cs="Times New Roman"/>
          <w:szCs w:val="21"/>
        </w:rPr>
        <w:t>In this paper, we constructed a dataset of musical instrument videos (MIV). After segmentation and careful screening, the high-quality subset consists of high-definition videos with precise audio-visual synchronization. The video duration ranges from a minimum of 4 seconds to a maximum of 60 seconds. All videos are captured with a fixed camera, focusing on the performers’ hands. The audio tracks correspond closely to the instruments being played in the videos.</w:t>
      </w:r>
    </w:p>
    <w:p w14:paraId="56472531" w14:textId="2AB2564F" w:rsidR="002A4D51" w:rsidRDefault="002A4D51" w:rsidP="002A4D51">
      <w:pPr>
        <w:ind w:firstLineChars="100" w:firstLine="21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Figure 1 </w:t>
      </w:r>
      <w:r w:rsidRPr="002A4D51">
        <w:rPr>
          <w:rFonts w:ascii="Times New Roman" w:hAnsi="Times New Roman" w:cs="Times New Roman"/>
          <w:szCs w:val="21"/>
        </w:rPr>
        <w:t>showcases some examples of our MIV dataset.</w:t>
      </w:r>
    </w:p>
    <w:p w14:paraId="16A5E194" w14:textId="5540932A" w:rsidR="002A4D51" w:rsidRDefault="00C16B88" w:rsidP="002A4D51">
      <w:pPr>
        <w:jc w:val="left"/>
        <w:rPr>
          <w:rFonts w:ascii="Times New Roman" w:hAnsi="Times New Roman" w:cs="Times New Roman"/>
          <w:szCs w:val="21"/>
        </w:rPr>
      </w:pPr>
      <w:r w:rsidRPr="00C16B88">
        <w:rPr>
          <w:rFonts w:ascii="Times New Roman" w:hAnsi="Times New Roman" w:cs="Times New Roman"/>
          <w:szCs w:val="21"/>
        </w:rPr>
        <w:drawing>
          <wp:inline distT="0" distB="0" distL="0" distR="0" wp14:anchorId="01F436C4" wp14:editId="6A3A2F97">
            <wp:extent cx="5274310" cy="4683125"/>
            <wp:effectExtent l="0" t="0" r="254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8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A8DE6" w14:textId="5D3BA458" w:rsidR="00C16B88" w:rsidRDefault="00C16B88" w:rsidP="00C16B88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Figure</w:t>
      </w:r>
      <w:r>
        <w:rPr>
          <w:rFonts w:ascii="Times New Roman" w:hAnsi="Times New Roman" w:cs="Times New Roman"/>
          <w:szCs w:val="21"/>
        </w:rPr>
        <w:t xml:space="preserve"> 1: MIV dataset</w:t>
      </w:r>
    </w:p>
    <w:p w14:paraId="541CB795" w14:textId="77777777" w:rsidR="00C16B88" w:rsidRDefault="00C16B88" w:rsidP="00C16B88">
      <w:pPr>
        <w:rPr>
          <w:rFonts w:ascii="Times New Roman" w:hAnsi="Times New Roman" w:cs="Times New Roman" w:hint="eastAsia"/>
          <w:szCs w:val="21"/>
        </w:rPr>
      </w:pPr>
    </w:p>
    <w:p w14:paraId="44992A24" w14:textId="5A4029C7" w:rsidR="002A4D51" w:rsidRPr="002A4D51" w:rsidRDefault="002A4D51" w:rsidP="002A4D51">
      <w:pPr>
        <w:jc w:val="left"/>
        <w:rPr>
          <w:rFonts w:ascii="Times New Roman" w:hAnsi="Times New Roman" w:cs="Times New Roman"/>
          <w:sz w:val="28"/>
          <w:szCs w:val="28"/>
        </w:rPr>
      </w:pPr>
      <w:r w:rsidRPr="002A4D51">
        <w:rPr>
          <w:rFonts w:ascii="Times New Roman" w:hAnsi="Times New Roman" w:cs="Times New Roman" w:hint="eastAsia"/>
          <w:sz w:val="28"/>
          <w:szCs w:val="28"/>
        </w:rPr>
        <w:t>2</w:t>
      </w:r>
      <w:r w:rsidRPr="002A4D51">
        <w:rPr>
          <w:rFonts w:ascii="Times New Roman" w:hAnsi="Times New Roman" w:cs="Times New Roman"/>
          <w:sz w:val="28"/>
          <w:szCs w:val="28"/>
        </w:rPr>
        <w:t>.</w:t>
      </w:r>
      <w:r w:rsidRPr="002A4D51">
        <w:rPr>
          <w:sz w:val="28"/>
          <w:szCs w:val="28"/>
        </w:rPr>
        <w:t xml:space="preserve"> </w:t>
      </w:r>
      <w:r w:rsidRPr="002A4D51">
        <w:rPr>
          <w:rFonts w:ascii="Times New Roman" w:hAnsi="Times New Roman" w:cs="Times New Roman"/>
          <w:sz w:val="28"/>
          <w:szCs w:val="28"/>
        </w:rPr>
        <w:t>Implementation Details</w:t>
      </w:r>
    </w:p>
    <w:p w14:paraId="6A8F8AD6" w14:textId="78685556" w:rsidR="002A4D51" w:rsidRDefault="002A4D51" w:rsidP="002A4D51">
      <w:pPr>
        <w:ind w:firstLineChars="100" w:firstLine="210"/>
        <w:jc w:val="left"/>
        <w:rPr>
          <w:rFonts w:ascii="Times New Roman" w:hAnsi="Times New Roman" w:cs="Times New Roman"/>
          <w:szCs w:val="21"/>
        </w:rPr>
      </w:pPr>
      <w:r w:rsidRPr="002A4D51">
        <w:rPr>
          <w:rFonts w:ascii="Times New Roman" w:hAnsi="Times New Roman" w:cs="Times New Roman"/>
          <w:szCs w:val="21"/>
        </w:rPr>
        <w:t xml:space="preserve">In all experiments and evaluations, we use 50 sampling steps, with the text CFG set to 4.0 and the audio CFG set to 4.5. We observed that enabling </w:t>
      </w:r>
      <w:proofErr w:type="spellStart"/>
      <w:r w:rsidRPr="002A4D51">
        <w:rPr>
          <w:rFonts w:ascii="Times New Roman" w:hAnsi="Times New Roman" w:cs="Times New Roman"/>
          <w:szCs w:val="21"/>
        </w:rPr>
        <w:t>teacache</w:t>
      </w:r>
      <w:proofErr w:type="spellEnd"/>
      <w:r w:rsidRPr="002A4D51">
        <w:rPr>
          <w:rFonts w:ascii="Times New Roman" w:hAnsi="Times New Roman" w:cs="Times New Roman"/>
          <w:szCs w:val="21"/>
        </w:rPr>
        <w:t xml:space="preserve"> led to incorrect and limited hand </w:t>
      </w:r>
      <w:r w:rsidRPr="002A4D51">
        <w:rPr>
          <w:rFonts w:ascii="Times New Roman" w:hAnsi="Times New Roman" w:cs="Times New Roman"/>
          <w:szCs w:val="21"/>
        </w:rPr>
        <w:lastRenderedPageBreak/>
        <w:t xml:space="preserve">movements. Thus, it was not employed. To improve hand clarity, we experimented with the </w:t>
      </w:r>
      <w:proofErr w:type="spellStart"/>
      <w:r w:rsidRPr="002A4D51">
        <w:rPr>
          <w:rFonts w:ascii="Times New Roman" w:hAnsi="Times New Roman" w:cs="Times New Roman"/>
          <w:szCs w:val="21"/>
        </w:rPr>
        <w:t>FusionX</w:t>
      </w:r>
      <w:proofErr w:type="spellEnd"/>
      <w:r w:rsidRPr="002A4D51">
        <w:rPr>
          <w:rFonts w:ascii="Times New Roman" w:hAnsi="Times New Roman" w:cs="Times New Roman"/>
          <w:szCs w:val="21"/>
        </w:rPr>
        <w:t xml:space="preserve"> </w:t>
      </w:r>
      <w:proofErr w:type="spellStart"/>
      <w:r w:rsidRPr="002A4D51">
        <w:rPr>
          <w:rFonts w:ascii="Times New Roman" w:hAnsi="Times New Roman" w:cs="Times New Roman"/>
          <w:szCs w:val="21"/>
        </w:rPr>
        <w:t>LoRA</w:t>
      </w:r>
      <w:proofErr w:type="spellEnd"/>
      <w:r w:rsidRPr="002A4D51">
        <w:rPr>
          <w:rFonts w:ascii="Times New Roman" w:hAnsi="Times New Roman" w:cs="Times New Roman"/>
          <w:szCs w:val="21"/>
        </w:rPr>
        <w:t xml:space="preserve">. While </w:t>
      </w:r>
      <w:proofErr w:type="spellStart"/>
      <w:r w:rsidRPr="002A4D51">
        <w:rPr>
          <w:rFonts w:ascii="Times New Roman" w:hAnsi="Times New Roman" w:cs="Times New Roman"/>
          <w:szCs w:val="21"/>
        </w:rPr>
        <w:t>LoRA</w:t>
      </w:r>
      <w:proofErr w:type="spellEnd"/>
      <w:r w:rsidRPr="002A4D51">
        <w:rPr>
          <w:rFonts w:ascii="Times New Roman" w:hAnsi="Times New Roman" w:cs="Times New Roman"/>
          <w:szCs w:val="21"/>
        </w:rPr>
        <w:t xml:space="preserve"> produced sharper hands, it also resulted in smaller and less natural hand movements in the generated videos. Consequently, </w:t>
      </w:r>
      <w:proofErr w:type="spellStart"/>
      <w:r w:rsidRPr="002A4D51">
        <w:rPr>
          <w:rFonts w:ascii="Times New Roman" w:hAnsi="Times New Roman" w:cs="Times New Roman"/>
          <w:szCs w:val="21"/>
        </w:rPr>
        <w:t>LoRA</w:t>
      </w:r>
      <w:proofErr w:type="spellEnd"/>
      <w:r w:rsidRPr="002A4D51">
        <w:rPr>
          <w:rFonts w:ascii="Times New Roman" w:hAnsi="Times New Roman" w:cs="Times New Roman"/>
          <w:szCs w:val="21"/>
        </w:rPr>
        <w:t xml:space="preserve"> was excluded from our evaluations.</w:t>
      </w:r>
    </w:p>
    <w:p w14:paraId="559EC797" w14:textId="189AD872" w:rsidR="002A4D51" w:rsidRDefault="002A4D51" w:rsidP="002A4D51">
      <w:pPr>
        <w:ind w:firstLineChars="100" w:firstLine="21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Figure 2 </w:t>
      </w:r>
      <w:r w:rsidRPr="002A4D51">
        <w:rPr>
          <w:rFonts w:ascii="Times New Roman" w:hAnsi="Times New Roman" w:cs="Times New Roman"/>
          <w:szCs w:val="21"/>
        </w:rPr>
        <w:t xml:space="preserve">showcases some examples of using </w:t>
      </w:r>
      <w:proofErr w:type="spellStart"/>
      <w:r w:rsidRPr="002A4D51">
        <w:rPr>
          <w:rFonts w:ascii="Times New Roman" w:hAnsi="Times New Roman" w:cs="Times New Roman"/>
          <w:szCs w:val="21"/>
        </w:rPr>
        <w:t>LoRA</w:t>
      </w:r>
      <w:proofErr w:type="spellEnd"/>
      <w:r w:rsidRPr="002A4D51">
        <w:rPr>
          <w:rFonts w:ascii="Times New Roman" w:hAnsi="Times New Roman" w:cs="Times New Roman"/>
          <w:szCs w:val="21"/>
        </w:rPr>
        <w:t xml:space="preserve"> and </w:t>
      </w:r>
      <w:proofErr w:type="spellStart"/>
      <w:r w:rsidRPr="002A4D51">
        <w:rPr>
          <w:rFonts w:ascii="Times New Roman" w:hAnsi="Times New Roman" w:cs="Times New Roman"/>
          <w:szCs w:val="21"/>
        </w:rPr>
        <w:t>teacache</w:t>
      </w:r>
      <w:proofErr w:type="spellEnd"/>
      <w:r w:rsidRPr="002A4D51">
        <w:rPr>
          <w:rFonts w:ascii="Times New Roman" w:hAnsi="Times New Roman" w:cs="Times New Roman"/>
          <w:szCs w:val="21"/>
        </w:rPr>
        <w:t>.</w:t>
      </w:r>
    </w:p>
    <w:p w14:paraId="076E59B2" w14:textId="29DAFF79" w:rsidR="002A4D51" w:rsidRDefault="00C16B88" w:rsidP="002A4D51">
      <w:pPr>
        <w:jc w:val="left"/>
        <w:rPr>
          <w:rFonts w:ascii="Times New Roman" w:hAnsi="Times New Roman" w:cs="Times New Roman"/>
          <w:szCs w:val="21"/>
        </w:rPr>
      </w:pPr>
      <w:r w:rsidRPr="00C16B88">
        <w:rPr>
          <w:rFonts w:ascii="Times New Roman" w:hAnsi="Times New Roman" w:cs="Times New Roman"/>
          <w:szCs w:val="21"/>
        </w:rPr>
        <w:drawing>
          <wp:inline distT="0" distB="0" distL="0" distR="0" wp14:anchorId="253788EE" wp14:editId="46BBB351">
            <wp:extent cx="5274310" cy="2811780"/>
            <wp:effectExtent l="0" t="0" r="254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77EA7" w14:textId="609598F0" w:rsidR="00C16B88" w:rsidRDefault="00C16B88" w:rsidP="00C16B88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F</w:t>
      </w:r>
      <w:r>
        <w:rPr>
          <w:rFonts w:ascii="Times New Roman" w:hAnsi="Times New Roman" w:cs="Times New Roman"/>
          <w:szCs w:val="21"/>
        </w:rPr>
        <w:t xml:space="preserve">igure2: </w:t>
      </w:r>
      <w:r w:rsidRPr="00C16B88">
        <w:rPr>
          <w:rFonts w:ascii="Times New Roman" w:hAnsi="Times New Roman" w:cs="Times New Roman"/>
          <w:szCs w:val="21"/>
        </w:rPr>
        <w:t xml:space="preserve">Examples of using </w:t>
      </w:r>
      <w:proofErr w:type="spellStart"/>
      <w:r w:rsidRPr="00C16B88">
        <w:rPr>
          <w:rFonts w:ascii="Times New Roman" w:hAnsi="Times New Roman" w:cs="Times New Roman"/>
          <w:szCs w:val="21"/>
        </w:rPr>
        <w:t>LoRA</w:t>
      </w:r>
      <w:proofErr w:type="spellEnd"/>
      <w:r w:rsidRPr="00C16B88">
        <w:rPr>
          <w:rFonts w:ascii="Times New Roman" w:hAnsi="Times New Roman" w:cs="Times New Roman"/>
          <w:szCs w:val="21"/>
        </w:rPr>
        <w:t xml:space="preserve"> and </w:t>
      </w:r>
      <w:proofErr w:type="spellStart"/>
      <w:r w:rsidRPr="00C16B88">
        <w:rPr>
          <w:rFonts w:ascii="Times New Roman" w:hAnsi="Times New Roman" w:cs="Times New Roman"/>
          <w:szCs w:val="21"/>
        </w:rPr>
        <w:t>teacache</w:t>
      </w:r>
      <w:proofErr w:type="spellEnd"/>
      <w:r w:rsidRPr="00C16B88">
        <w:rPr>
          <w:rFonts w:ascii="Times New Roman" w:hAnsi="Times New Roman" w:cs="Times New Roman"/>
          <w:szCs w:val="21"/>
        </w:rPr>
        <w:t>.</w:t>
      </w:r>
    </w:p>
    <w:p w14:paraId="23C163F4" w14:textId="77777777" w:rsidR="00C16B88" w:rsidRDefault="00C16B88" w:rsidP="002A4D51">
      <w:pPr>
        <w:jc w:val="left"/>
        <w:rPr>
          <w:rFonts w:ascii="Times New Roman" w:hAnsi="Times New Roman" w:cs="Times New Roman" w:hint="eastAsia"/>
          <w:szCs w:val="21"/>
        </w:rPr>
      </w:pPr>
    </w:p>
    <w:p w14:paraId="0474BDB4" w14:textId="4C8312E5" w:rsidR="002A4D51" w:rsidRPr="002A4D51" w:rsidRDefault="002A4D51" w:rsidP="002A4D51">
      <w:pPr>
        <w:jc w:val="left"/>
        <w:rPr>
          <w:rFonts w:ascii="Times New Roman" w:hAnsi="Times New Roman" w:cs="Times New Roman"/>
          <w:sz w:val="28"/>
          <w:szCs w:val="28"/>
        </w:rPr>
      </w:pPr>
      <w:r w:rsidRPr="002A4D51">
        <w:rPr>
          <w:rFonts w:ascii="Times New Roman" w:hAnsi="Times New Roman" w:cs="Times New Roman"/>
          <w:sz w:val="28"/>
          <w:szCs w:val="28"/>
        </w:rPr>
        <w:t>3.Failure Cases</w:t>
      </w:r>
    </w:p>
    <w:p w14:paraId="5B78C583" w14:textId="5D83F457" w:rsidR="002A4D51" w:rsidRDefault="002A4D51" w:rsidP="002A4D51">
      <w:pPr>
        <w:ind w:firstLineChars="100" w:firstLine="210"/>
        <w:jc w:val="left"/>
        <w:rPr>
          <w:rFonts w:ascii="Times New Roman" w:hAnsi="Times New Roman" w:cs="Times New Roman"/>
          <w:szCs w:val="21"/>
        </w:rPr>
      </w:pPr>
      <w:r w:rsidRPr="002A4D51">
        <w:rPr>
          <w:rFonts w:ascii="Times New Roman" w:hAnsi="Times New Roman" w:cs="Times New Roman"/>
          <w:szCs w:val="21"/>
        </w:rPr>
        <w:t>In some cases, the generated videos exhibit frozen or static character movements.</w:t>
      </w:r>
      <w:r>
        <w:rPr>
          <w:rFonts w:ascii="Times New Roman" w:hAnsi="Times New Roman" w:cs="Times New Roman"/>
          <w:szCs w:val="21"/>
        </w:rPr>
        <w:t xml:space="preserve"> </w:t>
      </w:r>
      <w:r w:rsidRPr="002A4D51">
        <w:rPr>
          <w:rFonts w:ascii="Times New Roman" w:hAnsi="Times New Roman" w:cs="Times New Roman"/>
          <w:szCs w:val="21"/>
        </w:rPr>
        <w:t>Figure</w:t>
      </w:r>
      <w:r>
        <w:rPr>
          <w:rFonts w:ascii="Times New Roman" w:hAnsi="Times New Roman" w:cs="Times New Roman"/>
          <w:szCs w:val="21"/>
        </w:rPr>
        <w:t xml:space="preserve"> 3 </w:t>
      </w:r>
      <w:r w:rsidRPr="002A4D51">
        <w:rPr>
          <w:rFonts w:ascii="Times New Roman" w:hAnsi="Times New Roman" w:cs="Times New Roman"/>
          <w:szCs w:val="21"/>
        </w:rPr>
        <w:t>illustrates an example driven by flute audio, where the character remains largely stationary, with only the fingers moving.</w:t>
      </w:r>
    </w:p>
    <w:p w14:paraId="2A419EC0" w14:textId="6A4090A4" w:rsidR="002A4D51" w:rsidRDefault="00C16B88" w:rsidP="002A4D51">
      <w:pPr>
        <w:jc w:val="left"/>
        <w:rPr>
          <w:rFonts w:ascii="Times New Roman" w:hAnsi="Times New Roman" w:cs="Times New Roman"/>
          <w:szCs w:val="21"/>
        </w:rPr>
      </w:pPr>
      <w:r w:rsidRPr="00C16B88">
        <w:rPr>
          <w:rFonts w:ascii="Times New Roman" w:hAnsi="Times New Roman" w:cs="Times New Roman"/>
          <w:szCs w:val="21"/>
        </w:rPr>
        <w:drawing>
          <wp:inline distT="0" distB="0" distL="0" distR="0" wp14:anchorId="5102DB5B" wp14:editId="7A27F720">
            <wp:extent cx="5274310" cy="81915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9D3E5" w14:textId="64468447" w:rsidR="00C16B88" w:rsidRDefault="00C16B88" w:rsidP="00C16B88">
      <w:pPr>
        <w:jc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 w:hint="eastAsia"/>
          <w:szCs w:val="21"/>
        </w:rPr>
        <w:t>F</w:t>
      </w:r>
      <w:r>
        <w:rPr>
          <w:rFonts w:ascii="Times New Roman" w:hAnsi="Times New Roman" w:cs="Times New Roman"/>
          <w:szCs w:val="21"/>
        </w:rPr>
        <w:t xml:space="preserve">igure3: </w:t>
      </w:r>
      <w:r w:rsidRPr="00C16B88">
        <w:rPr>
          <w:rFonts w:ascii="Times New Roman" w:hAnsi="Times New Roman" w:cs="Times New Roman"/>
          <w:szCs w:val="21"/>
        </w:rPr>
        <w:t>Failure case.</w:t>
      </w:r>
    </w:p>
    <w:p w14:paraId="701B5C15" w14:textId="77777777" w:rsidR="00C16B88" w:rsidRDefault="00C16B88" w:rsidP="002A4D51">
      <w:pPr>
        <w:jc w:val="left"/>
        <w:rPr>
          <w:rFonts w:ascii="Times New Roman" w:hAnsi="Times New Roman" w:cs="Times New Roman" w:hint="eastAsia"/>
          <w:szCs w:val="21"/>
        </w:rPr>
      </w:pPr>
      <w:bookmarkStart w:id="0" w:name="_GoBack"/>
      <w:bookmarkEnd w:id="0"/>
    </w:p>
    <w:p w14:paraId="23DFB361" w14:textId="11F48F32" w:rsidR="002A4D51" w:rsidRPr="002A4D51" w:rsidRDefault="002A4D51" w:rsidP="002A4D51">
      <w:pPr>
        <w:jc w:val="left"/>
        <w:rPr>
          <w:rFonts w:ascii="Times New Roman" w:hAnsi="Times New Roman" w:cs="Times New Roman"/>
          <w:sz w:val="28"/>
          <w:szCs w:val="28"/>
        </w:rPr>
      </w:pPr>
      <w:r w:rsidRPr="002A4D51">
        <w:rPr>
          <w:rFonts w:ascii="Times New Roman" w:hAnsi="Times New Roman" w:cs="Times New Roman" w:hint="eastAsia"/>
          <w:sz w:val="28"/>
          <w:szCs w:val="28"/>
        </w:rPr>
        <w:t>4</w:t>
      </w:r>
      <w:r w:rsidRPr="002A4D51">
        <w:rPr>
          <w:rFonts w:ascii="Times New Roman" w:hAnsi="Times New Roman" w:cs="Times New Roman"/>
          <w:sz w:val="28"/>
          <w:szCs w:val="28"/>
        </w:rPr>
        <w:t>.</w:t>
      </w:r>
      <w:r w:rsidRPr="002A4D51">
        <w:rPr>
          <w:sz w:val="28"/>
          <w:szCs w:val="28"/>
        </w:rPr>
        <w:t xml:space="preserve"> </w:t>
      </w:r>
      <w:r w:rsidRPr="002A4D51">
        <w:rPr>
          <w:rFonts w:ascii="Times New Roman" w:hAnsi="Times New Roman" w:cs="Times New Roman"/>
          <w:sz w:val="28"/>
          <w:szCs w:val="28"/>
        </w:rPr>
        <w:t>Video Demonstrations</w:t>
      </w:r>
    </w:p>
    <w:p w14:paraId="6E262F80" w14:textId="59E69C6C" w:rsidR="002A4D51" w:rsidRPr="002A4D51" w:rsidRDefault="002A4D51" w:rsidP="002A4D51">
      <w:pPr>
        <w:ind w:firstLineChars="100" w:firstLine="210"/>
        <w:jc w:val="left"/>
        <w:rPr>
          <w:rFonts w:ascii="Times New Roman" w:hAnsi="Times New Roman" w:cs="Times New Roman" w:hint="eastAsia"/>
          <w:szCs w:val="21"/>
        </w:rPr>
      </w:pPr>
      <w:r w:rsidRPr="002A4D51">
        <w:rPr>
          <w:rFonts w:ascii="Times New Roman" w:hAnsi="Times New Roman" w:cs="Times New Roman"/>
          <w:szCs w:val="21"/>
        </w:rPr>
        <w:t>Video demonstrations of our results are provided in the supplementary material package.</w:t>
      </w:r>
      <w:r>
        <w:rPr>
          <w:rFonts w:ascii="Times New Roman" w:hAnsi="Times New Roman" w:cs="Times New Roman"/>
          <w:szCs w:val="21"/>
        </w:rPr>
        <w:t xml:space="preserve"> </w:t>
      </w:r>
      <w:r w:rsidRPr="002A4D51">
        <w:rPr>
          <w:rFonts w:ascii="Times New Roman" w:hAnsi="Times New Roman" w:cs="Times New Roman"/>
          <w:szCs w:val="21"/>
        </w:rPr>
        <w:t>It includes comparative experimental samples as well as samples from the ablation studies. We also provide a demo generated by our model, using a reference image produced by a T2I model.</w:t>
      </w:r>
    </w:p>
    <w:p w14:paraId="1E692E01" w14:textId="77777777" w:rsidR="002A4D51" w:rsidRPr="002A4D51" w:rsidRDefault="002A4D51" w:rsidP="002A4D51">
      <w:pPr>
        <w:jc w:val="center"/>
        <w:rPr>
          <w:rFonts w:ascii="Times New Roman" w:hAnsi="Times New Roman" w:cs="Times New Roman" w:hint="eastAsia"/>
          <w:sz w:val="32"/>
          <w:szCs w:val="32"/>
        </w:rPr>
      </w:pPr>
    </w:p>
    <w:sectPr w:rsidR="002A4D51" w:rsidRPr="002A4D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3E3"/>
    <w:rsid w:val="002A4D51"/>
    <w:rsid w:val="00C16B88"/>
    <w:rsid w:val="00C173E3"/>
    <w:rsid w:val="00FB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2DEC7"/>
  <w15:chartTrackingRefBased/>
  <w15:docId w15:val="{363F1FBF-C0C6-4E30-A030-893EABDA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</dc:creator>
  <cp:keywords/>
  <dc:description/>
  <cp:lastModifiedBy>song</cp:lastModifiedBy>
  <cp:revision>3</cp:revision>
  <dcterms:created xsi:type="dcterms:W3CDTF">2026-02-25T02:27:00Z</dcterms:created>
  <dcterms:modified xsi:type="dcterms:W3CDTF">2026-02-25T02:37:00Z</dcterms:modified>
</cp:coreProperties>
</file>