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5BEA3" w14:textId="10160F71" w:rsidR="008B3134" w:rsidRDefault="008B3134" w:rsidP="008B3134">
      <w:pPr>
        <w:spacing w:line="360" w:lineRule="auto"/>
        <w:rPr>
          <w:rFonts w:ascii="Times New Roman" w:hAnsi="Times New Roman"/>
          <w:b/>
          <w:bCs/>
          <w:sz w:val="20"/>
          <w:szCs w:val="20"/>
        </w:rPr>
      </w:pPr>
      <w:r w:rsidRPr="00904D4C">
        <w:rPr>
          <w:rFonts w:ascii="Times New Roman" w:hAnsi="Times New Roman"/>
          <w:b/>
          <w:bCs/>
          <w:sz w:val="20"/>
          <w:szCs w:val="20"/>
        </w:rPr>
        <w:t xml:space="preserve">Table </w:t>
      </w:r>
      <w:r>
        <w:rPr>
          <w:rFonts w:ascii="Times New Roman" w:hAnsi="Times New Roman" w:hint="eastAsia"/>
          <w:b/>
          <w:bCs/>
          <w:sz w:val="20"/>
          <w:szCs w:val="20"/>
        </w:rPr>
        <w:t>S1</w:t>
      </w:r>
      <w:r w:rsidRPr="00904D4C">
        <w:rPr>
          <w:rFonts w:ascii="Times New Roman" w:hAnsi="Times New Roman"/>
          <w:b/>
          <w:bCs/>
          <w:sz w:val="20"/>
          <w:szCs w:val="20"/>
        </w:rPr>
        <w:t xml:space="preserve">. Predicted protein-level consequences of the </w:t>
      </w:r>
      <w:r w:rsidRPr="00904D4C">
        <w:rPr>
          <w:rFonts w:ascii="Times New Roman" w:hAnsi="Times New Roman"/>
          <w:b/>
          <w:bCs/>
          <w:i/>
          <w:iCs/>
          <w:sz w:val="20"/>
          <w:szCs w:val="20"/>
        </w:rPr>
        <w:t>BRCA2</w:t>
      </w:r>
      <w:r w:rsidRPr="00904D4C">
        <w:rPr>
          <w:rFonts w:ascii="Times New Roman" w:hAnsi="Times New Roman"/>
          <w:b/>
          <w:bCs/>
          <w:sz w:val="20"/>
          <w:szCs w:val="20"/>
        </w:rPr>
        <w:t xml:space="preserve"> c.7523_7526delGCAG variant.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874"/>
        <w:gridCol w:w="5422"/>
      </w:tblGrid>
      <w:tr w:rsidR="008B3134" w14:paraId="48839062" w14:textId="77777777">
        <w:tc>
          <w:tcPr>
            <w:tcW w:w="2943" w:type="dxa"/>
          </w:tcPr>
          <w:p w14:paraId="736F3A3E" w14:textId="77777777" w:rsidR="008B3134" w:rsidRDefault="008B3134">
            <w:pPr>
              <w:spacing w:line="360" w:lineRule="auto"/>
              <w:rPr>
                <w:rFonts w:ascii="Times New Roman" w:hAnsi="Times New Roman"/>
                <w:b/>
                <w:bCs/>
                <w:szCs w:val="20"/>
              </w:rPr>
            </w:pPr>
            <w:r w:rsidRPr="00904D4C">
              <w:rPr>
                <w:rFonts w:ascii="Times New Roman" w:hAnsi="Times New Roman"/>
                <w:b/>
                <w:bCs/>
                <w:szCs w:val="20"/>
              </w:rPr>
              <w:t>Protein feature / characteristic</w:t>
            </w:r>
          </w:p>
        </w:tc>
        <w:tc>
          <w:tcPr>
            <w:tcW w:w="5579" w:type="dxa"/>
          </w:tcPr>
          <w:p w14:paraId="0D1A6439" w14:textId="77777777" w:rsidR="008B3134" w:rsidRDefault="008B3134">
            <w:pPr>
              <w:spacing w:line="360" w:lineRule="auto"/>
              <w:rPr>
                <w:rFonts w:ascii="Times New Roman" w:hAnsi="Times New Roman"/>
                <w:b/>
                <w:bCs/>
                <w:szCs w:val="20"/>
              </w:rPr>
            </w:pPr>
            <w:r w:rsidRPr="00904D4C">
              <w:rPr>
                <w:rFonts w:ascii="Times New Roman" w:hAnsi="Times New Roman"/>
                <w:b/>
                <w:bCs/>
                <w:szCs w:val="20"/>
              </w:rPr>
              <w:t>Description and predicted pathogenic impact</w:t>
            </w:r>
          </w:p>
        </w:tc>
      </w:tr>
      <w:tr w:rsidR="008B3134" w14:paraId="6C8949B9" w14:textId="77777777">
        <w:tc>
          <w:tcPr>
            <w:tcW w:w="2943" w:type="dxa"/>
          </w:tcPr>
          <w:p w14:paraId="7A46E9D9" w14:textId="77777777" w:rsidR="008B3134" w:rsidRPr="00552E9E" w:rsidRDefault="008B3134">
            <w:pPr>
              <w:spacing w:line="360" w:lineRule="auto"/>
              <w:rPr>
                <w:rFonts w:ascii="Times New Roman" w:hAnsi="Times New Roman"/>
                <w:szCs w:val="20"/>
              </w:rPr>
            </w:pPr>
            <w:r w:rsidRPr="00552E9E">
              <w:rPr>
                <w:rFonts w:ascii="Times New Roman" w:hAnsi="Times New Roman"/>
                <w:szCs w:val="20"/>
              </w:rPr>
              <w:t>Wild-type protein</w:t>
            </w:r>
          </w:p>
        </w:tc>
        <w:tc>
          <w:tcPr>
            <w:tcW w:w="5579" w:type="dxa"/>
          </w:tcPr>
          <w:p w14:paraId="0D861967" w14:textId="77777777" w:rsidR="008B3134" w:rsidRPr="00552E9E" w:rsidRDefault="008B3134">
            <w:pPr>
              <w:spacing w:line="360" w:lineRule="auto"/>
              <w:rPr>
                <w:rFonts w:ascii="Times New Roman" w:hAnsi="Times New Roman"/>
                <w:szCs w:val="20"/>
              </w:rPr>
            </w:pPr>
            <w:r w:rsidRPr="00904D4C">
              <w:rPr>
                <w:rFonts w:ascii="Times New Roman" w:hAnsi="Times New Roman"/>
                <w:szCs w:val="20"/>
              </w:rPr>
              <w:t>BRCA2 is a 3418-amino-acid tumor-suppressor protein that plays a critical role in homologous recombination repair (HRR).</w:t>
            </w:r>
          </w:p>
        </w:tc>
      </w:tr>
      <w:tr w:rsidR="008B3134" w14:paraId="0737CB56" w14:textId="77777777">
        <w:tc>
          <w:tcPr>
            <w:tcW w:w="2943" w:type="dxa"/>
          </w:tcPr>
          <w:p w14:paraId="69DE3F15" w14:textId="77777777" w:rsidR="008B3134" w:rsidRPr="00552E9E" w:rsidRDefault="008B3134">
            <w:pPr>
              <w:spacing w:line="360" w:lineRule="auto"/>
              <w:rPr>
                <w:rFonts w:ascii="Times New Roman" w:hAnsi="Times New Roman"/>
                <w:szCs w:val="20"/>
              </w:rPr>
            </w:pPr>
            <w:r w:rsidRPr="00904D4C">
              <w:rPr>
                <w:rFonts w:ascii="Times New Roman" w:hAnsi="Times New Roman"/>
                <w:szCs w:val="20"/>
              </w:rPr>
              <w:t>Protein alteration</w:t>
            </w:r>
          </w:p>
        </w:tc>
        <w:tc>
          <w:tcPr>
            <w:tcW w:w="5579" w:type="dxa"/>
          </w:tcPr>
          <w:p w14:paraId="0E26F2A8" w14:textId="77777777" w:rsidR="008B3134" w:rsidRPr="00552E9E" w:rsidRDefault="008B3134">
            <w:pPr>
              <w:spacing w:line="360" w:lineRule="auto"/>
              <w:rPr>
                <w:rFonts w:ascii="Times New Roman" w:hAnsi="Times New Roman"/>
                <w:szCs w:val="20"/>
              </w:rPr>
            </w:pPr>
            <w:r w:rsidRPr="00904D4C">
              <w:rPr>
                <w:rFonts w:ascii="Times New Roman" w:hAnsi="Times New Roman"/>
                <w:szCs w:val="20"/>
              </w:rPr>
              <w:t>The c.7523_7526delGCAG variant is predicted to cause p.(Gly2508Valfs*15), resulting in a frameshift beginning at glycine 2508 and introducing a premature termination codon 15 amino acids downstream.</w:t>
            </w:r>
          </w:p>
        </w:tc>
      </w:tr>
      <w:tr w:rsidR="008B3134" w14:paraId="35E7325F" w14:textId="77777777">
        <w:tc>
          <w:tcPr>
            <w:tcW w:w="2943" w:type="dxa"/>
          </w:tcPr>
          <w:p w14:paraId="02804D7B" w14:textId="77777777" w:rsidR="008B3134" w:rsidRPr="00552E9E" w:rsidRDefault="008B3134">
            <w:pPr>
              <w:spacing w:line="360" w:lineRule="auto"/>
              <w:rPr>
                <w:rFonts w:ascii="Times New Roman" w:hAnsi="Times New Roman"/>
                <w:szCs w:val="20"/>
              </w:rPr>
            </w:pPr>
            <w:r w:rsidRPr="00904D4C">
              <w:rPr>
                <w:rFonts w:ascii="Times New Roman" w:hAnsi="Times New Roman"/>
                <w:szCs w:val="20"/>
              </w:rPr>
              <w:t>Variant location</w:t>
            </w:r>
          </w:p>
        </w:tc>
        <w:tc>
          <w:tcPr>
            <w:tcW w:w="5579" w:type="dxa"/>
          </w:tcPr>
          <w:p w14:paraId="0F2913BF" w14:textId="77777777" w:rsidR="008B3134" w:rsidRPr="00552E9E" w:rsidRDefault="008B3134">
            <w:pPr>
              <w:spacing w:line="360" w:lineRule="auto"/>
              <w:rPr>
                <w:rFonts w:ascii="Times New Roman" w:hAnsi="Times New Roman"/>
                <w:szCs w:val="20"/>
              </w:rPr>
            </w:pPr>
            <w:r w:rsidRPr="00904D4C">
              <w:rPr>
                <w:rFonts w:ascii="Times New Roman" w:hAnsi="Times New Roman"/>
                <w:szCs w:val="20"/>
              </w:rPr>
              <w:t xml:space="preserve">The variant is located in exon 15 of </w:t>
            </w:r>
            <w:r w:rsidRPr="00904D4C">
              <w:rPr>
                <w:rFonts w:ascii="Times New Roman" w:hAnsi="Times New Roman"/>
                <w:i/>
                <w:iCs/>
                <w:szCs w:val="20"/>
              </w:rPr>
              <w:t>BRCA2</w:t>
            </w:r>
            <w:r w:rsidRPr="00904D4C">
              <w:rPr>
                <w:rFonts w:ascii="Times New Roman" w:hAnsi="Times New Roman"/>
                <w:szCs w:val="20"/>
              </w:rPr>
              <w:t>, within the region encoding the C-terminal functional portion of BRCA2, including the DNA-binding/DSS1-interacting region.</w:t>
            </w:r>
          </w:p>
        </w:tc>
      </w:tr>
      <w:tr w:rsidR="008B3134" w14:paraId="0AAEAD14" w14:textId="77777777">
        <w:tc>
          <w:tcPr>
            <w:tcW w:w="2943" w:type="dxa"/>
          </w:tcPr>
          <w:p w14:paraId="018448E6" w14:textId="77777777" w:rsidR="008B3134" w:rsidRPr="00552E9E" w:rsidRDefault="008B3134">
            <w:pPr>
              <w:spacing w:line="360" w:lineRule="auto"/>
              <w:rPr>
                <w:rFonts w:ascii="Times New Roman" w:hAnsi="Times New Roman"/>
                <w:szCs w:val="20"/>
              </w:rPr>
            </w:pPr>
            <w:r w:rsidRPr="00904D4C">
              <w:rPr>
                <w:rFonts w:ascii="Times New Roman" w:hAnsi="Times New Roman"/>
                <w:szCs w:val="20"/>
              </w:rPr>
              <w:t>Predicted molecular mechanism</w:t>
            </w:r>
          </w:p>
        </w:tc>
        <w:tc>
          <w:tcPr>
            <w:tcW w:w="5579" w:type="dxa"/>
          </w:tcPr>
          <w:p w14:paraId="4AED3FA0" w14:textId="77777777" w:rsidR="008B3134" w:rsidRPr="00552E9E" w:rsidRDefault="008B3134">
            <w:pPr>
              <w:spacing w:line="360" w:lineRule="auto"/>
              <w:rPr>
                <w:rFonts w:ascii="Times New Roman" w:hAnsi="Times New Roman"/>
                <w:szCs w:val="20"/>
              </w:rPr>
            </w:pPr>
            <w:r w:rsidRPr="00904D4C">
              <w:rPr>
                <w:rFonts w:ascii="Times New Roman" w:hAnsi="Times New Roman"/>
                <w:szCs w:val="20"/>
              </w:rPr>
              <w:t xml:space="preserve">Because the premature termination codon is located in exon 15 and well upstream of the final exon-exon junction, the mutant transcript is predicted to be subject to nonsense-mediated mRNA decay (NMD). This mechanism would be expected to reduce or abolish expression of the mutant </w:t>
            </w:r>
            <w:r w:rsidRPr="00904D4C">
              <w:rPr>
                <w:rFonts w:ascii="Times New Roman" w:hAnsi="Times New Roman"/>
                <w:i/>
                <w:iCs/>
                <w:szCs w:val="20"/>
              </w:rPr>
              <w:t>BRCA2</w:t>
            </w:r>
            <w:r w:rsidRPr="00904D4C">
              <w:rPr>
                <w:rFonts w:ascii="Times New Roman" w:hAnsi="Times New Roman"/>
                <w:szCs w:val="20"/>
              </w:rPr>
              <w:t xml:space="preserve"> allele.</w:t>
            </w:r>
          </w:p>
        </w:tc>
      </w:tr>
      <w:tr w:rsidR="008B3134" w14:paraId="20D8B4EF" w14:textId="77777777">
        <w:tc>
          <w:tcPr>
            <w:tcW w:w="2943" w:type="dxa"/>
          </w:tcPr>
          <w:p w14:paraId="6A328FEF" w14:textId="77777777" w:rsidR="008B3134" w:rsidRPr="00552E9E" w:rsidRDefault="008B3134">
            <w:pPr>
              <w:spacing w:line="360" w:lineRule="auto"/>
              <w:rPr>
                <w:rFonts w:ascii="Times New Roman" w:hAnsi="Times New Roman"/>
                <w:szCs w:val="20"/>
              </w:rPr>
            </w:pPr>
            <w:r w:rsidRPr="00904D4C">
              <w:rPr>
                <w:rFonts w:ascii="Times New Roman" w:hAnsi="Times New Roman"/>
                <w:szCs w:val="20"/>
              </w:rPr>
              <w:t>Predicted structural impact if translated</w:t>
            </w:r>
          </w:p>
        </w:tc>
        <w:tc>
          <w:tcPr>
            <w:tcW w:w="5579" w:type="dxa"/>
          </w:tcPr>
          <w:p w14:paraId="30C8C274" w14:textId="77777777" w:rsidR="008B3134" w:rsidRPr="00552E9E" w:rsidRDefault="008B3134">
            <w:pPr>
              <w:spacing w:line="360" w:lineRule="auto"/>
              <w:rPr>
                <w:rFonts w:ascii="Times New Roman" w:hAnsi="Times New Roman"/>
                <w:szCs w:val="20"/>
              </w:rPr>
            </w:pPr>
            <w:r w:rsidRPr="00904D4C">
              <w:rPr>
                <w:rFonts w:ascii="Times New Roman" w:hAnsi="Times New Roman"/>
                <w:szCs w:val="20"/>
              </w:rPr>
              <w:t>If the mutant transcript escapes NMD and is translated, the resulting truncated protein would be predicted to lack major downstream C-terminal functional regions, including most of the highly conserved DNA-binding/DSS1-interacting region and the C-terminal RAD51-binding region.</w:t>
            </w:r>
          </w:p>
        </w:tc>
      </w:tr>
      <w:tr w:rsidR="008B3134" w14:paraId="5C497EAA" w14:textId="77777777">
        <w:tc>
          <w:tcPr>
            <w:tcW w:w="2943" w:type="dxa"/>
          </w:tcPr>
          <w:p w14:paraId="34A1F1AB" w14:textId="77777777" w:rsidR="008B3134" w:rsidRPr="00904D4C" w:rsidRDefault="008B3134">
            <w:pPr>
              <w:spacing w:line="360" w:lineRule="auto"/>
              <w:rPr>
                <w:rFonts w:ascii="Times New Roman" w:hAnsi="Times New Roman"/>
                <w:szCs w:val="20"/>
              </w:rPr>
            </w:pPr>
            <w:r w:rsidRPr="00904D4C">
              <w:rPr>
                <w:rFonts w:ascii="Times New Roman" w:hAnsi="Times New Roman"/>
                <w:szCs w:val="20"/>
              </w:rPr>
              <w:t>Functional consequence</w:t>
            </w:r>
            <w:r>
              <w:rPr>
                <w:rFonts w:ascii="Times New Roman" w:hAnsi="Times New Roman" w:hint="eastAsia"/>
                <w:szCs w:val="20"/>
              </w:rPr>
              <w:t xml:space="preserve"> </w:t>
            </w:r>
            <w:r w:rsidRPr="006711A6">
              <w:rPr>
                <w:rFonts w:ascii="Times New Roman" w:hAnsi="Times New Roman"/>
                <w:szCs w:val="20"/>
              </w:rPr>
              <w:t>and pathway disruption</w:t>
            </w:r>
          </w:p>
        </w:tc>
        <w:tc>
          <w:tcPr>
            <w:tcW w:w="5579" w:type="dxa"/>
          </w:tcPr>
          <w:p w14:paraId="43C0F37B" w14:textId="77777777" w:rsidR="008B3134" w:rsidRPr="00904D4C" w:rsidRDefault="008B3134">
            <w:pPr>
              <w:spacing w:line="360" w:lineRule="auto"/>
              <w:rPr>
                <w:rFonts w:ascii="Times New Roman" w:hAnsi="Times New Roman"/>
                <w:szCs w:val="20"/>
              </w:rPr>
            </w:pPr>
            <w:r w:rsidRPr="006711A6">
              <w:rPr>
                <w:rFonts w:ascii="Times New Roman" w:hAnsi="Times New Roman"/>
                <w:szCs w:val="20"/>
              </w:rPr>
              <w:t>Loss or disruption of these C-terminal regions would be expected to impair BRCA2-mediated DNA binding, DSS1-mediated regulation, displacement of replication protein A (RPA), RAD51 loading onto single-stranded DNA, and efficient HRR. This disruption of the HRR pathway may lead to defective DNA double-strand break repair, genomic instability, and increased susceptibility to breast and ovarian tumorigenesis.</w:t>
            </w:r>
          </w:p>
        </w:tc>
      </w:tr>
      <w:tr w:rsidR="008B3134" w14:paraId="491D3B98" w14:textId="77777777">
        <w:tc>
          <w:tcPr>
            <w:tcW w:w="2943" w:type="dxa"/>
          </w:tcPr>
          <w:p w14:paraId="0A8D1674" w14:textId="77777777" w:rsidR="008B3134" w:rsidRPr="00904D4C" w:rsidRDefault="008B3134">
            <w:pPr>
              <w:spacing w:line="360" w:lineRule="auto"/>
              <w:rPr>
                <w:rFonts w:ascii="Times New Roman" w:hAnsi="Times New Roman"/>
                <w:szCs w:val="20"/>
              </w:rPr>
            </w:pPr>
            <w:r w:rsidRPr="00904D4C">
              <w:rPr>
                <w:rFonts w:ascii="Times New Roman" w:hAnsi="Times New Roman"/>
                <w:szCs w:val="20"/>
              </w:rPr>
              <w:t>Overall interpretation</w:t>
            </w:r>
          </w:p>
        </w:tc>
        <w:tc>
          <w:tcPr>
            <w:tcW w:w="5579" w:type="dxa"/>
          </w:tcPr>
          <w:p w14:paraId="61A319AF" w14:textId="77777777" w:rsidR="008B3134" w:rsidRPr="00904D4C" w:rsidRDefault="008B3134">
            <w:pPr>
              <w:spacing w:line="360" w:lineRule="auto"/>
              <w:rPr>
                <w:rFonts w:ascii="Times New Roman" w:hAnsi="Times New Roman"/>
                <w:szCs w:val="20"/>
              </w:rPr>
            </w:pPr>
            <w:r w:rsidRPr="00904D4C">
              <w:rPr>
                <w:rFonts w:ascii="Times New Roman" w:hAnsi="Times New Roman"/>
                <w:szCs w:val="20"/>
              </w:rPr>
              <w:t>These predicted protein-level consequences support a loss-of-</w:t>
            </w:r>
            <w:r w:rsidRPr="00904D4C">
              <w:rPr>
                <w:rFonts w:ascii="Times New Roman" w:hAnsi="Times New Roman"/>
                <w:szCs w:val="20"/>
              </w:rPr>
              <w:lastRenderedPageBreak/>
              <w:t>function interpretation and the application of the ACMG/AMP PVS1 criterion. Together with population rarity and supporting segregation evidence, they support classification of the variant as likely pathogenic.</w:t>
            </w:r>
          </w:p>
        </w:tc>
      </w:tr>
    </w:tbl>
    <w:p w14:paraId="71BD3475" w14:textId="77777777" w:rsidR="00F96267" w:rsidRPr="008B3134" w:rsidRDefault="00F96267"/>
    <w:sectPr w:rsidR="00F96267" w:rsidRPr="008B31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3BA3A" w14:textId="77777777" w:rsidR="00D72A35" w:rsidRDefault="00D72A35" w:rsidP="008B3134">
      <w:r>
        <w:separator/>
      </w:r>
    </w:p>
  </w:endnote>
  <w:endnote w:type="continuationSeparator" w:id="0">
    <w:p w14:paraId="1DC3CF52" w14:textId="77777777" w:rsidR="00D72A35" w:rsidRDefault="00D72A35" w:rsidP="008B3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0F7A6" w14:textId="77777777" w:rsidR="00D72A35" w:rsidRDefault="00D72A35" w:rsidP="008B3134">
      <w:r>
        <w:separator/>
      </w:r>
    </w:p>
  </w:footnote>
  <w:footnote w:type="continuationSeparator" w:id="0">
    <w:p w14:paraId="4537AF91" w14:textId="77777777" w:rsidR="00D72A35" w:rsidRDefault="00D72A35" w:rsidP="008B31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41B"/>
    <w:rsid w:val="00615873"/>
    <w:rsid w:val="006B14D4"/>
    <w:rsid w:val="00734025"/>
    <w:rsid w:val="008B3134"/>
    <w:rsid w:val="008F49E5"/>
    <w:rsid w:val="0092441B"/>
    <w:rsid w:val="0096253A"/>
    <w:rsid w:val="00CB3C18"/>
    <w:rsid w:val="00D72A35"/>
    <w:rsid w:val="00F75D84"/>
    <w:rsid w:val="00F80CAA"/>
    <w:rsid w:val="00F9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0EEB66"/>
  <w15:chartTrackingRefBased/>
  <w15:docId w15:val="{90EDE840-502C-4FDD-9DBE-6F76CAD9D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3134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92441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44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44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441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441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441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441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441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441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2441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244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244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2441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2441B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2441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2441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2441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2441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244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2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44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244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44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244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441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2441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244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2441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2441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B313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B313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B31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B3134"/>
    <w:rPr>
      <w:sz w:val="18"/>
      <w:szCs w:val="18"/>
    </w:rPr>
  </w:style>
  <w:style w:type="table" w:styleId="af2">
    <w:name w:val="Table Grid"/>
    <w:basedOn w:val="a1"/>
    <w:rsid w:val="008B3134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Qifan Jing</dc:creator>
  <cp:keywords/>
  <dc:description/>
  <cp:lastModifiedBy>Qifan Jing</cp:lastModifiedBy>
  <cp:revision>1</cp:revision>
  <dcterms:created xsi:type="dcterms:W3CDTF">2026-06-26T03:17:00Z</dcterms:created>
  <dcterms:modified xsi:type="dcterms:W3CDTF">2026-06-29T01:37:00Z</dcterms:modified>
</cp:coreProperties>
</file>