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A1CF9" w14:textId="5E637191" w:rsidR="00340696" w:rsidRPr="00340696" w:rsidRDefault="00340696" w:rsidP="00340696">
      <w:pPr>
        <w:spacing w:line="360" w:lineRule="auto"/>
        <w:jc w:val="center"/>
        <w:rPr>
          <w:rFonts w:asciiTheme="majorBidi" w:hAnsiTheme="majorBidi" w:cstheme="majorBidi"/>
          <w:b/>
          <w:bCs/>
        </w:rPr>
      </w:pPr>
      <w:r w:rsidRPr="00340696">
        <w:rPr>
          <w:rFonts w:asciiTheme="majorBidi" w:hAnsiTheme="majorBidi" w:cstheme="majorBidi"/>
          <w:b/>
          <w:bCs/>
        </w:rPr>
        <w:t>Supplementary Methods and Results: PubMed Sensitivity Analysis</w:t>
      </w:r>
    </w:p>
    <w:p w14:paraId="0BF6F654" w14:textId="77777777" w:rsidR="00340696" w:rsidRDefault="006958D2" w:rsidP="00340696">
      <w:pPr>
        <w:spacing w:after="0" w:line="360" w:lineRule="auto"/>
        <w:jc w:val="both"/>
        <w:rPr>
          <w:rFonts w:asciiTheme="majorBidi" w:hAnsiTheme="majorBidi" w:cstheme="majorBidi"/>
          <w:b/>
          <w:bCs/>
        </w:rPr>
      </w:pPr>
      <w:r w:rsidRPr="00340696">
        <w:rPr>
          <w:rFonts w:asciiTheme="majorBidi" w:hAnsiTheme="majorBidi" w:cstheme="majorBidi"/>
        </w:rPr>
        <w:br/>
      </w:r>
      <w:r w:rsidRPr="00340696">
        <w:rPr>
          <w:rFonts w:asciiTheme="majorBidi" w:hAnsiTheme="majorBidi" w:cstheme="majorBidi"/>
          <w:b/>
          <w:bCs/>
        </w:rPr>
        <w:t>2.</w:t>
      </w:r>
      <w:r w:rsidR="00340696">
        <w:rPr>
          <w:rFonts w:asciiTheme="majorBidi" w:hAnsiTheme="majorBidi" w:cstheme="majorBidi"/>
          <w:b/>
          <w:bCs/>
        </w:rPr>
        <w:t>1</w:t>
      </w:r>
      <w:r w:rsidRPr="00340696">
        <w:rPr>
          <w:rFonts w:asciiTheme="majorBidi" w:hAnsiTheme="majorBidi" w:cstheme="majorBidi"/>
          <w:b/>
          <w:bCs/>
        </w:rPr>
        <w:t>. PubMed Sensitivity Search and Eligibility Screening</w:t>
      </w:r>
    </w:p>
    <w:p w14:paraId="4489B94A" w14:textId="629CC042" w:rsidR="00340696" w:rsidRDefault="006958D2" w:rsidP="00340696">
      <w:pPr>
        <w:spacing w:after="0" w:line="360" w:lineRule="auto"/>
        <w:jc w:val="both"/>
        <w:rPr>
          <w:rFonts w:asciiTheme="majorBidi" w:hAnsiTheme="majorBidi" w:cstheme="majorBidi"/>
          <w:b/>
          <w:bCs/>
        </w:rPr>
      </w:pPr>
      <w:r w:rsidRPr="00340696">
        <w:rPr>
          <w:rFonts w:asciiTheme="majorBidi" w:hAnsiTheme="majorBidi" w:cstheme="majorBidi"/>
        </w:rPr>
        <w:t xml:space="preserve">A post hoc sensitivity analysis was conducted using PubMed (MEDLINE) to evaluate the robustness of the primary Web of Science–derived dataset to database selection bias. The search was performed on </w:t>
      </w:r>
      <w:r w:rsidR="004316D3" w:rsidRPr="00340696">
        <w:rPr>
          <w:rFonts w:asciiTheme="majorBidi" w:hAnsiTheme="majorBidi" w:cstheme="majorBidi"/>
        </w:rPr>
        <w:t>13 April 2026</w:t>
      </w:r>
      <w:r w:rsidRPr="00340696">
        <w:rPr>
          <w:rFonts w:asciiTheme="majorBidi" w:hAnsiTheme="majorBidi" w:cstheme="majorBidi"/>
        </w:rPr>
        <w:t xml:space="preserve"> using a </w:t>
      </w:r>
      <w:r w:rsidR="004316D3" w:rsidRPr="00340696">
        <w:rPr>
          <w:rFonts w:asciiTheme="majorBidi" w:hAnsiTheme="majorBidi" w:cstheme="majorBidi"/>
        </w:rPr>
        <w:t xml:space="preserve">same </w:t>
      </w:r>
      <w:r w:rsidRPr="00340696">
        <w:rPr>
          <w:rFonts w:asciiTheme="majorBidi" w:hAnsiTheme="majorBidi" w:cstheme="majorBidi"/>
        </w:rPr>
        <w:t>structured Boolean query targeting programmable genome-editing technologies and livestock-relevant terms</w:t>
      </w:r>
      <w:r w:rsidR="004316D3" w:rsidRPr="00340696">
        <w:rPr>
          <w:rFonts w:asciiTheme="majorBidi" w:hAnsiTheme="majorBidi" w:cstheme="majorBidi"/>
        </w:rPr>
        <w:t xml:space="preserve"> used for the Web of science</w:t>
      </w:r>
      <w:r w:rsidRPr="00340696">
        <w:rPr>
          <w:rFonts w:asciiTheme="majorBidi" w:hAnsiTheme="majorBidi" w:cstheme="majorBidi"/>
        </w:rPr>
        <w:t>, with restrictions to English-language publications between 2010 and 2026. Non-primary literature, including reviews, editorials, letters, and meta-analyses, was excluded using publication type filters.</w:t>
      </w:r>
      <w:r w:rsidR="004316D3" w:rsidRPr="00340696">
        <w:rPr>
          <w:rFonts w:asciiTheme="majorBidi" w:hAnsiTheme="majorBidi" w:cstheme="majorBidi"/>
        </w:rPr>
        <w:t xml:space="preserve"> </w:t>
      </w:r>
      <w:r w:rsidRPr="00340696">
        <w:rPr>
          <w:rFonts w:asciiTheme="majorBidi" w:hAnsiTheme="majorBidi" w:cstheme="majorBidi"/>
        </w:rPr>
        <w:t>A total of 283 records were retrieved following application of these constraints.</w:t>
      </w:r>
      <w:r w:rsidRPr="00340696">
        <w:rPr>
          <w:rFonts w:asciiTheme="majorBidi" w:hAnsiTheme="majorBidi" w:cstheme="majorBidi"/>
        </w:rPr>
        <w:br/>
      </w:r>
      <w:r w:rsidRPr="00340696">
        <w:rPr>
          <w:rFonts w:asciiTheme="majorBidi" w:hAnsiTheme="majorBidi" w:cstheme="majorBidi"/>
          <w:b/>
          <w:bCs/>
        </w:rPr>
        <w:t>2.</w:t>
      </w:r>
      <w:r w:rsidR="00340696" w:rsidRPr="00340696">
        <w:rPr>
          <w:rFonts w:asciiTheme="majorBidi" w:hAnsiTheme="majorBidi" w:cstheme="majorBidi"/>
          <w:b/>
          <w:bCs/>
        </w:rPr>
        <w:t>2</w:t>
      </w:r>
      <w:r w:rsidRPr="00340696">
        <w:rPr>
          <w:rFonts w:asciiTheme="majorBidi" w:hAnsiTheme="majorBidi" w:cstheme="majorBidi"/>
          <w:b/>
          <w:bCs/>
        </w:rPr>
        <w:t>. Application of Eligibility Criteria</w:t>
      </w:r>
    </w:p>
    <w:p w14:paraId="7B2E9E85" w14:textId="77777777" w:rsidR="00340696" w:rsidRDefault="006958D2" w:rsidP="00340696">
      <w:pPr>
        <w:spacing w:after="0" w:line="360" w:lineRule="auto"/>
        <w:jc w:val="both"/>
        <w:rPr>
          <w:rFonts w:asciiTheme="majorBidi" w:hAnsiTheme="majorBidi" w:cstheme="majorBidi"/>
        </w:rPr>
      </w:pPr>
      <w:r w:rsidRPr="00340696">
        <w:rPr>
          <w:rFonts w:asciiTheme="majorBidi" w:hAnsiTheme="majorBidi" w:cstheme="majorBidi"/>
        </w:rPr>
        <w:t>The PubMed dataset was screened using the same predefined eligibility criteria applied in the primary analysis (Supplementary Table S1). Records were required to simultaneously meet all criteria, including: (i) use of genome-editing platforms (ZFN, TALEN, CRISPR-based systems, base editors, or prime editors); (ii) relevance to livestock or aquaculture species; (iii) agricultural application context; (iv) in vivo, embryo, or organism-level experimentation; (v) sufficient methodological transparency; and (vi)</w:t>
      </w:r>
      <w:r w:rsidRPr="00340696">
        <w:rPr>
          <w:rFonts w:asciiTheme="majorBidi" w:hAnsiTheme="majorBidi" w:cstheme="majorBidi"/>
        </w:rPr>
        <w:t xml:space="preserve"> reporting of experimental genome-editing outcomes.</w:t>
      </w:r>
      <w:r w:rsidRPr="00340696">
        <w:rPr>
          <w:rFonts w:asciiTheme="majorBidi" w:hAnsiTheme="majorBidi" w:cstheme="majorBidi"/>
        </w:rPr>
        <w:br/>
        <w:t>Screening was conducted at the title and abstract level using keyword-based operational definitions aligned with the primary dataset.</w:t>
      </w:r>
    </w:p>
    <w:p w14:paraId="0AB32F06" w14:textId="32889831" w:rsidR="00340696" w:rsidRPr="00340696" w:rsidRDefault="00340696" w:rsidP="00340696">
      <w:pPr>
        <w:spacing w:after="0" w:line="360" w:lineRule="auto"/>
        <w:jc w:val="both"/>
        <w:rPr>
          <w:rFonts w:asciiTheme="majorBidi" w:hAnsiTheme="majorBidi" w:cstheme="majorBidi"/>
          <w:b/>
          <w:bCs/>
        </w:rPr>
      </w:pPr>
      <w:r w:rsidRPr="00340696">
        <w:rPr>
          <w:rFonts w:asciiTheme="majorBidi" w:hAnsiTheme="majorBidi" w:cstheme="majorBidi"/>
          <w:b/>
          <w:bCs/>
        </w:rPr>
        <w:t>2.3. Results</w:t>
      </w:r>
      <w:r w:rsidR="006958D2" w:rsidRPr="00340696">
        <w:rPr>
          <w:rFonts w:asciiTheme="majorBidi" w:hAnsiTheme="majorBidi" w:cstheme="majorBidi"/>
          <w:b/>
          <w:bCs/>
        </w:rPr>
        <w:t xml:space="preserve"> of Sensitivity Screening</w:t>
      </w:r>
    </w:p>
    <w:p w14:paraId="144C49BB" w14:textId="77777777" w:rsidR="00340696" w:rsidRDefault="006958D2" w:rsidP="00340696">
      <w:pPr>
        <w:spacing w:after="0" w:line="360" w:lineRule="auto"/>
        <w:jc w:val="both"/>
        <w:rPr>
          <w:rFonts w:asciiTheme="majorBidi" w:hAnsiTheme="majorBidi" w:cstheme="majorBidi"/>
        </w:rPr>
      </w:pPr>
      <w:r w:rsidRPr="00340696">
        <w:rPr>
          <w:rFonts w:asciiTheme="majorBidi" w:hAnsiTheme="majorBidi" w:cstheme="majorBidi"/>
        </w:rPr>
        <w:t>O</w:t>
      </w:r>
      <w:r w:rsidRPr="00340696">
        <w:rPr>
          <w:rFonts w:asciiTheme="majorBidi" w:hAnsiTheme="majorBidi" w:cstheme="majorBidi"/>
        </w:rPr>
        <w:t>f the 283 retrieved records, 214 remained after exclusion of non-livestock species. Application of all eligibility criteria resulted in 8 studies meeting inclusion thresholds.</w:t>
      </w:r>
      <w:r w:rsidRPr="00340696">
        <w:rPr>
          <w:rFonts w:asciiTheme="majorBidi" w:hAnsiTheme="majorBidi" w:cstheme="majorBidi"/>
        </w:rPr>
        <w:br/>
        <w:t>The primary reason for exclusion was lack of livestock relevance (n = 174), reflecting the strong representation of biomedical and model organism studies in PubMed. Additional exclusions were due to incorrect technological scope (n = 15), insufficient methodological detail (n = 6), in vitro-only design (n = 2), or other criteria mismatches (n = 9).</w:t>
      </w:r>
    </w:p>
    <w:p w14:paraId="04CFD84B" w14:textId="4DB55197" w:rsidR="00340696" w:rsidRDefault="00340696" w:rsidP="00340696">
      <w:pPr>
        <w:spacing w:after="0" w:line="360" w:lineRule="auto"/>
        <w:jc w:val="both"/>
        <w:rPr>
          <w:rFonts w:asciiTheme="majorBidi" w:hAnsiTheme="majorBidi" w:cstheme="majorBidi"/>
        </w:rPr>
      </w:pPr>
      <w:r w:rsidRPr="00340696">
        <w:rPr>
          <w:rFonts w:asciiTheme="majorBidi" w:hAnsiTheme="majorBidi" w:cstheme="majorBidi"/>
          <w:b/>
          <w:bCs/>
        </w:rPr>
        <w:t>2.</w:t>
      </w:r>
      <w:r>
        <w:rPr>
          <w:rFonts w:asciiTheme="majorBidi" w:hAnsiTheme="majorBidi" w:cstheme="majorBidi"/>
          <w:b/>
          <w:bCs/>
        </w:rPr>
        <w:t>4</w:t>
      </w:r>
      <w:r w:rsidRPr="00340696">
        <w:rPr>
          <w:rFonts w:asciiTheme="majorBidi" w:hAnsiTheme="majorBidi" w:cstheme="majorBidi"/>
          <w:b/>
          <w:bCs/>
        </w:rPr>
        <w:t>. Interpretation</w:t>
      </w:r>
    </w:p>
    <w:p w14:paraId="2FE14418" w14:textId="34A957DD" w:rsidR="004553C1" w:rsidRPr="00340696" w:rsidRDefault="006958D2" w:rsidP="00340696">
      <w:pPr>
        <w:spacing w:after="0" w:line="360" w:lineRule="auto"/>
        <w:jc w:val="both"/>
        <w:rPr>
          <w:rFonts w:asciiTheme="majorBidi" w:hAnsiTheme="majorBidi" w:cstheme="majorBidi"/>
        </w:rPr>
      </w:pPr>
      <w:r w:rsidRPr="00340696">
        <w:rPr>
          <w:rFonts w:asciiTheme="majorBidi" w:hAnsiTheme="majorBidi" w:cstheme="majorBidi"/>
        </w:rPr>
        <w:t>The PubMed sensitivity analysis identified 8 additional eligible studies relative to the 125 studies included from the Web of Science dataset, corresponding to a 6.4% increase in corpus size. This limited increment indicates that the primary dataset provides near-comprehensive coverage of relevant livestock genome-editing studies indexed in PubMed.</w:t>
      </w:r>
      <w:r w:rsidRPr="00340696">
        <w:rPr>
          <w:rFonts w:asciiTheme="majorBidi" w:hAnsiTheme="majorBidi" w:cstheme="majorBidi"/>
        </w:rPr>
        <w:br/>
        <w:t xml:space="preserve">Notably, a substantial proportion of studies included in the primary dataset (94.1%) were not indexed in PubMed, highlighting differences in database coverage and confirming that Web of </w:t>
      </w:r>
      <w:r w:rsidRPr="00340696">
        <w:rPr>
          <w:rFonts w:asciiTheme="majorBidi" w:hAnsiTheme="majorBidi" w:cstheme="majorBidi"/>
        </w:rPr>
        <w:lastRenderedPageBreak/>
        <w:t>Science captures a significant volume of domain-specific literature not retrievable through PubMed alone.</w:t>
      </w:r>
      <w:r w:rsidRPr="00340696">
        <w:rPr>
          <w:rFonts w:asciiTheme="majorBidi" w:hAnsiTheme="majorBidi" w:cstheme="majorBidi"/>
        </w:rPr>
        <w:br/>
      </w:r>
      <w:r w:rsidR="004316D3" w:rsidRPr="00340696">
        <w:rPr>
          <w:rFonts w:asciiTheme="majorBidi" w:hAnsiTheme="majorBidi" w:cstheme="majorBidi"/>
        </w:rPr>
        <w:t xml:space="preserve"> T</w:t>
      </w:r>
      <w:r w:rsidR="00340696" w:rsidRPr="00340696">
        <w:rPr>
          <w:rFonts w:asciiTheme="majorBidi" w:hAnsiTheme="majorBidi" w:cstheme="majorBidi"/>
        </w:rPr>
        <w:t>he 08 study identify has been added to the old 125 dataset making a total of</w:t>
      </w:r>
      <w:r w:rsidR="004316D3" w:rsidRPr="00340696">
        <w:rPr>
          <w:rFonts w:asciiTheme="majorBidi" w:hAnsiTheme="majorBidi" w:cstheme="majorBidi"/>
        </w:rPr>
        <w:t xml:space="preserve"> 133 study used for th</w:t>
      </w:r>
      <w:r w:rsidR="00340696" w:rsidRPr="00340696">
        <w:rPr>
          <w:rFonts w:asciiTheme="majorBidi" w:hAnsiTheme="majorBidi" w:cstheme="majorBidi"/>
        </w:rPr>
        <w:t>is</w:t>
      </w:r>
      <w:r w:rsidR="004316D3" w:rsidRPr="00340696">
        <w:rPr>
          <w:rFonts w:asciiTheme="majorBidi" w:hAnsiTheme="majorBidi" w:cstheme="majorBidi"/>
        </w:rPr>
        <w:t xml:space="preserve"> review . </w:t>
      </w:r>
    </w:p>
    <w:sectPr w:rsidR="004553C1" w:rsidRPr="0034069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4C8CF" w14:textId="77777777" w:rsidR="006958D2" w:rsidRDefault="006958D2" w:rsidP="00340696">
      <w:pPr>
        <w:spacing w:after="0" w:line="240" w:lineRule="auto"/>
      </w:pPr>
      <w:r>
        <w:separator/>
      </w:r>
    </w:p>
  </w:endnote>
  <w:endnote w:type="continuationSeparator" w:id="0">
    <w:p w14:paraId="58585B45" w14:textId="77777777" w:rsidR="006958D2" w:rsidRDefault="006958D2" w:rsidP="00340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C6E01" w14:textId="77777777" w:rsidR="006958D2" w:rsidRDefault="006958D2" w:rsidP="00340696">
      <w:pPr>
        <w:spacing w:after="0" w:line="240" w:lineRule="auto"/>
      </w:pPr>
      <w:r>
        <w:separator/>
      </w:r>
    </w:p>
  </w:footnote>
  <w:footnote w:type="continuationSeparator" w:id="0">
    <w:p w14:paraId="1A75BA40" w14:textId="77777777" w:rsidR="006958D2" w:rsidRDefault="006958D2" w:rsidP="003406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8884028">
    <w:abstractNumId w:val="8"/>
  </w:num>
  <w:num w:numId="2" w16cid:durableId="177089253">
    <w:abstractNumId w:val="6"/>
  </w:num>
  <w:num w:numId="3" w16cid:durableId="900141859">
    <w:abstractNumId w:val="5"/>
  </w:num>
  <w:num w:numId="4" w16cid:durableId="174344236">
    <w:abstractNumId w:val="4"/>
  </w:num>
  <w:num w:numId="5" w16cid:durableId="2106221701">
    <w:abstractNumId w:val="7"/>
  </w:num>
  <w:num w:numId="6" w16cid:durableId="511188004">
    <w:abstractNumId w:val="3"/>
  </w:num>
  <w:num w:numId="7" w16cid:durableId="797067169">
    <w:abstractNumId w:val="2"/>
  </w:num>
  <w:num w:numId="8" w16cid:durableId="371227463">
    <w:abstractNumId w:val="1"/>
  </w:num>
  <w:num w:numId="9" w16cid:durableId="652611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18F9"/>
    <w:rsid w:val="0015074B"/>
    <w:rsid w:val="0029639D"/>
    <w:rsid w:val="00326F90"/>
    <w:rsid w:val="00340696"/>
    <w:rsid w:val="004316D3"/>
    <w:rsid w:val="004553C1"/>
    <w:rsid w:val="006556E8"/>
    <w:rsid w:val="006958D2"/>
    <w:rsid w:val="00AA1D8D"/>
    <w:rsid w:val="00B47730"/>
    <w:rsid w:val="00CB0664"/>
    <w:rsid w:val="00F4440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3D797B"/>
  <w14:defaultImageDpi w14:val="300"/>
  <w15:docId w15:val="{A6004C8C-7388-422D-AE51-ABD49EE05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Jafari Halima</cp:lastModifiedBy>
  <cp:revision>2</cp:revision>
  <dcterms:created xsi:type="dcterms:W3CDTF">2026-04-25T11:36:00Z</dcterms:created>
  <dcterms:modified xsi:type="dcterms:W3CDTF">2026-04-25T11:36:00Z</dcterms:modified>
  <cp:category/>
</cp:coreProperties>
</file>