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F2C6" w14:textId="77777777" w:rsidR="005A1A00" w:rsidRDefault="005A1A00" w:rsidP="00F248A1">
      <w:pPr>
        <w:pStyle w:val="NormalWeb"/>
        <w:jc w:val="center"/>
      </w:pPr>
      <w:r>
        <w:t>PART 3 — SUPPLEMENTARY FILE S2 Full text —</w:t>
      </w:r>
    </w:p>
    <w:p w14:paraId="4A146A6E" w14:textId="3F79F1C5" w:rsidR="005A1A00" w:rsidRPr="00F248A1" w:rsidRDefault="005A1A00" w:rsidP="005A1A00">
      <w:pPr>
        <w:pStyle w:val="NormalWeb"/>
        <w:rPr>
          <w:b/>
          <w:bCs/>
        </w:rPr>
      </w:pPr>
      <w:r w:rsidRPr="00F248A1">
        <w:rPr>
          <w:b/>
          <w:bCs/>
        </w:rPr>
        <w:t>Post-hoc Sensitivity Analysis: PubMed Verification of Primary Web of Science Search</w:t>
      </w:r>
    </w:p>
    <w:p w14:paraId="0C43CAFE" w14:textId="77777777" w:rsidR="005A1A00" w:rsidRPr="00F248A1" w:rsidRDefault="005A1A00" w:rsidP="005A1A00">
      <w:pPr>
        <w:pStyle w:val="NormalWeb"/>
        <w:rPr>
          <w:b/>
          <w:bCs/>
        </w:rPr>
      </w:pPr>
      <w:r w:rsidRPr="00F248A1">
        <w:rPr>
          <w:b/>
          <w:bCs/>
        </w:rPr>
        <w:t>S2.1. Purpose and Transparency Statement</w:t>
      </w:r>
    </w:p>
    <w:p w14:paraId="1FCF1B43" w14:textId="77777777" w:rsidR="005A1A00" w:rsidRDefault="005A1A00" w:rsidP="00F248A1">
      <w:pPr>
        <w:pStyle w:val="NormalWeb"/>
        <w:jc w:val="both"/>
      </w:pPr>
      <w:r>
        <w:t>This supplementary file reports a post-hoc sensitivity analysis conducted in direct response to reviewer concerns regarding the single-database design of the primary systematic review. It is presented as a transparent verification exercise to assess whether the primary conclusions are robust to the database constraint. All results, tables, figures, and conclusions reported in the main manuscript are based exclusively on the primary Web of Science corpus of 125 studies identified on 15 January 2026. No findings from this sensitivity analysis have been incorporated into the primary results. The 8 additional studies identified through PubMed that met all eligibility criteria have been added to the final synthesis, yielding a total corpus of 133 studies as reported in the updated Methods section (Section 2.2) and PRISMA flow diagram (Figure 1) of the main manuscript.</w:t>
      </w:r>
    </w:p>
    <w:p w14:paraId="67559A86" w14:textId="77777777" w:rsidR="005A1A00" w:rsidRPr="00F248A1" w:rsidRDefault="005A1A00" w:rsidP="005A1A00">
      <w:pPr>
        <w:pStyle w:val="NormalWeb"/>
        <w:rPr>
          <w:b/>
          <w:bCs/>
        </w:rPr>
      </w:pPr>
      <w:r w:rsidRPr="00F248A1">
        <w:rPr>
          <w:b/>
          <w:bCs/>
        </w:rPr>
        <w:t>S2.2. Sensitivity Search Methods</w:t>
      </w:r>
    </w:p>
    <w:p w14:paraId="5A1607EE" w14:textId="77777777" w:rsidR="005A1A00" w:rsidRDefault="005A1A00" w:rsidP="00F248A1">
      <w:pPr>
        <w:pStyle w:val="NormalWeb"/>
        <w:spacing w:before="0" w:beforeAutospacing="0" w:after="0" w:afterAutospacing="0" w:line="360" w:lineRule="auto"/>
        <w:jc w:val="both"/>
      </w:pPr>
      <w:r>
        <w:t>Database and search date. A post-hoc sensitivity search was conducted in PubMed (MEDLINE, National Library of Medicine) on 13 April 2026.</w:t>
      </w:r>
    </w:p>
    <w:p w14:paraId="1A3B1BF7" w14:textId="77777777" w:rsidR="005A1A00" w:rsidRDefault="005A1A00" w:rsidP="00F248A1">
      <w:pPr>
        <w:pStyle w:val="NormalWeb"/>
        <w:spacing w:before="0" w:beforeAutospacing="0" w:after="0" w:afterAutospacing="0" w:line="360" w:lineRule="auto"/>
        <w:jc w:val="both"/>
      </w:pPr>
      <w:r>
        <w:t>Search string. The following Boolean query was applied, identical to the primary Web of Science search:</w:t>
      </w:r>
    </w:p>
    <w:p w14:paraId="68AC98C9" w14:textId="77777777" w:rsidR="005A1A00" w:rsidRDefault="005A1A00" w:rsidP="00F248A1">
      <w:pPr>
        <w:pStyle w:val="NormalWeb"/>
        <w:spacing w:before="0" w:beforeAutospacing="0" w:after="0" w:afterAutospacing="0" w:line="360" w:lineRule="auto"/>
        <w:jc w:val="both"/>
      </w:pPr>
      <w:r>
        <w:t>("zinc finger nuclease" OR "ZFN" OR "TALEN" OR "CRISPR-Cas" OR "CRISPR/Cas" OR "base editor" OR "prime editor") AND ("livestock" OR "cattle" OR "pig" OR "swine" OR "sheep" OR "goat" OR "poultry" OR "chicken" OR "aquaculture" OR "animal breeding" OR "biosafety")</w:t>
      </w:r>
    </w:p>
    <w:p w14:paraId="406E50DA" w14:textId="77777777" w:rsidR="005A1A00" w:rsidRDefault="005A1A00" w:rsidP="00F248A1">
      <w:pPr>
        <w:pStyle w:val="NormalWeb"/>
        <w:spacing w:before="0" w:beforeAutospacing="0" w:after="0" w:afterAutospacing="0" w:line="360" w:lineRule="auto"/>
        <w:jc w:val="both"/>
      </w:pPr>
      <w:r>
        <w:t>Filters applied. Results were restricted to: English-language publications; publication years 2010–2026; primary research articles only (reviews, editorials, letters, meta-analyses, and book chapters excluded using PubMed publication type filters).</w:t>
      </w:r>
    </w:p>
    <w:p w14:paraId="6320A25F" w14:textId="77777777" w:rsidR="005A1A00" w:rsidRDefault="005A1A00" w:rsidP="00F248A1">
      <w:pPr>
        <w:pStyle w:val="NormalWeb"/>
        <w:spacing w:before="0" w:beforeAutospacing="0" w:after="0" w:afterAutospacing="0" w:line="360" w:lineRule="auto"/>
        <w:jc w:val="both"/>
      </w:pPr>
      <w:r>
        <w:t>Eligibility criteria. The same six-domain eligibility framework applied in the primary review was used without modification: (</w:t>
      </w:r>
      <w:proofErr w:type="spellStart"/>
      <w:r>
        <w:t>i</w:t>
      </w:r>
      <w:proofErr w:type="spellEnd"/>
      <w:r>
        <w:t>) technological scope; (ii) biological system; (iii) application context; (iv) experimental level; (v) methodological transparency; and (vi) data type. Full operational definitions are provided in Supplementary Table S1 of the main manuscript.</w:t>
      </w:r>
    </w:p>
    <w:p w14:paraId="7601F4EB" w14:textId="77777777" w:rsidR="005A1A00" w:rsidRDefault="005A1A00" w:rsidP="00F248A1">
      <w:pPr>
        <w:pStyle w:val="NormalWeb"/>
        <w:spacing w:before="0" w:beforeAutospacing="0" w:after="0" w:afterAutospacing="0" w:line="360" w:lineRule="auto"/>
        <w:jc w:val="both"/>
      </w:pPr>
      <w:r>
        <w:t xml:space="preserve">Overlap detection. All retrieved PubMed records were cross-referenced against the primary Web of Science corpus using digital object identifier (DOI) exact matching. Records with a confirmed DOI match to any of the 125 included studies or to the broader Web of Science export were </w:t>
      </w:r>
      <w:r>
        <w:lastRenderedPageBreak/>
        <w:t>classified as overlapping with the primary corpus and were not counted as new. Records without a DOI match underwent additional title-based fuzzy matching to identify residual overlaps.</w:t>
      </w:r>
    </w:p>
    <w:p w14:paraId="441DD67A" w14:textId="77777777" w:rsidR="005A1A00" w:rsidRDefault="005A1A00" w:rsidP="00F248A1">
      <w:pPr>
        <w:pStyle w:val="NormalWeb"/>
        <w:spacing w:before="0" w:beforeAutospacing="0" w:after="0" w:afterAutospacing="0" w:line="360" w:lineRule="auto"/>
        <w:jc w:val="both"/>
      </w:pPr>
      <w:r>
        <w:t>Screening procedure. Records not identified as overlapping with the primary corpus were screened at the title and abstract level by one reviewer against all six eligibility criteria. Records meeting inclusion criteria proceeded to full-text assessment.</w:t>
      </w:r>
    </w:p>
    <w:p w14:paraId="47B9F0F1" w14:textId="77777777" w:rsidR="005A1A00" w:rsidRPr="00F248A1" w:rsidRDefault="005A1A00" w:rsidP="005A1A00">
      <w:pPr>
        <w:pStyle w:val="NormalWeb"/>
        <w:rPr>
          <w:b/>
          <w:bCs/>
        </w:rPr>
      </w:pPr>
      <w:r w:rsidRPr="00F248A1">
        <w:rPr>
          <w:b/>
          <w:bCs/>
        </w:rPr>
        <w:t>S2.3. Record Counts and PRISMA Flow</w:t>
      </w:r>
    </w:p>
    <w:p w14:paraId="435D3999" w14:textId="6D4558D5" w:rsidR="005A1A00" w:rsidRDefault="005A1A00" w:rsidP="00F248A1">
      <w:pPr>
        <w:pStyle w:val="NormalWeb"/>
        <w:spacing w:before="0" w:beforeAutospacing="0" w:after="0" w:afterAutospacing="0" w:line="360" w:lineRule="auto"/>
        <w:jc w:val="both"/>
      </w:pPr>
      <w:r>
        <w:t>Table S2.1. Record counts at each stage of the PubMed sensitivity search.</w:t>
      </w:r>
    </w:p>
    <w:tbl>
      <w:tblPr>
        <w:tblStyle w:val="TableGrid1"/>
        <w:tblW w:w="0" w:type="auto"/>
        <w:tblLook w:val="04A0" w:firstRow="1" w:lastRow="0" w:firstColumn="1" w:lastColumn="0" w:noHBand="0" w:noVBand="1"/>
      </w:tblPr>
      <w:tblGrid>
        <w:gridCol w:w="7792"/>
        <w:gridCol w:w="848"/>
      </w:tblGrid>
      <w:tr w:rsidR="00F248A1" w:rsidRPr="00F248A1" w14:paraId="0B1C14CF" w14:textId="77777777" w:rsidTr="00497722">
        <w:tc>
          <w:tcPr>
            <w:tcW w:w="7792" w:type="dxa"/>
          </w:tcPr>
          <w:p w14:paraId="583C4F6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Stage</w:t>
            </w:r>
          </w:p>
        </w:tc>
        <w:tc>
          <w:tcPr>
            <w:tcW w:w="848" w:type="dxa"/>
          </w:tcPr>
          <w:p w14:paraId="1CBFF4B9"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n</w:t>
            </w:r>
          </w:p>
        </w:tc>
      </w:tr>
      <w:tr w:rsidR="00F248A1" w:rsidRPr="00F248A1" w14:paraId="2464822C" w14:textId="77777777" w:rsidTr="00497722">
        <w:tc>
          <w:tcPr>
            <w:tcW w:w="7792" w:type="dxa"/>
          </w:tcPr>
          <w:p w14:paraId="4F56F422"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Records retrieved from PubMed (raw)</w:t>
            </w:r>
          </w:p>
        </w:tc>
        <w:tc>
          <w:tcPr>
            <w:tcW w:w="848" w:type="dxa"/>
          </w:tcPr>
          <w:p w14:paraId="55E0994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283</w:t>
            </w:r>
          </w:p>
        </w:tc>
      </w:tr>
      <w:tr w:rsidR="00F248A1" w:rsidRPr="00F248A1" w14:paraId="1F7F21D5" w14:textId="77777777" w:rsidTr="00497722">
        <w:tc>
          <w:tcPr>
            <w:tcW w:w="7792" w:type="dxa"/>
          </w:tcPr>
          <w:p w14:paraId="3EE29BD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Excluded: language or date filter</w:t>
            </w:r>
          </w:p>
        </w:tc>
        <w:tc>
          <w:tcPr>
            <w:tcW w:w="848" w:type="dxa"/>
          </w:tcPr>
          <w:p w14:paraId="16824AE0"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0</w:t>
            </w:r>
          </w:p>
        </w:tc>
      </w:tr>
      <w:tr w:rsidR="00F248A1" w:rsidRPr="00F248A1" w14:paraId="2AB8506D" w14:textId="77777777" w:rsidTr="00497722">
        <w:tc>
          <w:tcPr>
            <w:tcW w:w="7792" w:type="dxa"/>
          </w:tcPr>
          <w:p w14:paraId="6B41B388"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Records after filter (English, 2010–2026)</w:t>
            </w:r>
          </w:p>
        </w:tc>
        <w:tc>
          <w:tcPr>
            <w:tcW w:w="848" w:type="dxa"/>
          </w:tcPr>
          <w:p w14:paraId="5291495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283</w:t>
            </w:r>
          </w:p>
        </w:tc>
      </w:tr>
      <w:tr w:rsidR="00F248A1" w:rsidRPr="00F248A1" w14:paraId="463B49AB" w14:textId="77777777" w:rsidTr="00497722">
        <w:tc>
          <w:tcPr>
            <w:tcW w:w="7792" w:type="dxa"/>
          </w:tcPr>
          <w:p w14:paraId="7BF21EB1"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Records already in Web of Science corpus (DOI match to included 125)</w:t>
            </w:r>
          </w:p>
        </w:tc>
        <w:tc>
          <w:tcPr>
            <w:tcW w:w="848" w:type="dxa"/>
          </w:tcPr>
          <w:p w14:paraId="129055E1"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7</w:t>
            </w:r>
          </w:p>
        </w:tc>
      </w:tr>
      <w:tr w:rsidR="00F248A1" w:rsidRPr="00F248A1" w14:paraId="7E1309DA" w14:textId="77777777" w:rsidTr="00497722">
        <w:tc>
          <w:tcPr>
            <w:tcW w:w="7792" w:type="dxa"/>
          </w:tcPr>
          <w:p w14:paraId="6B85F00C"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 xml:space="preserve">Records in </w:t>
            </w:r>
            <w:proofErr w:type="spellStart"/>
            <w:r w:rsidRPr="00F248A1">
              <w:rPr>
                <w:rFonts w:ascii="Cambria" w:eastAsia="MS Mincho" w:hAnsi="Cambria" w:cs="Arial"/>
              </w:rPr>
              <w:t>WoS</w:t>
            </w:r>
            <w:proofErr w:type="spellEnd"/>
            <w:r w:rsidRPr="00F248A1">
              <w:rPr>
                <w:rFonts w:ascii="Cambria" w:eastAsia="MS Mincho" w:hAnsi="Cambria" w:cs="Arial"/>
              </w:rPr>
              <w:t xml:space="preserve"> export (screened but excluded in primary review)</w:t>
            </w:r>
          </w:p>
        </w:tc>
        <w:tc>
          <w:tcPr>
            <w:tcW w:w="848" w:type="dxa"/>
          </w:tcPr>
          <w:p w14:paraId="0C56EEC7"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14</w:t>
            </w:r>
          </w:p>
        </w:tc>
      </w:tr>
      <w:tr w:rsidR="00F248A1" w:rsidRPr="00F248A1" w14:paraId="4CADB44F" w14:textId="77777777" w:rsidTr="00497722">
        <w:tc>
          <w:tcPr>
            <w:tcW w:w="7792" w:type="dxa"/>
          </w:tcPr>
          <w:p w14:paraId="3B6DEDE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Additional overlap detected by fuzzy title matching</w:t>
            </w:r>
          </w:p>
        </w:tc>
        <w:tc>
          <w:tcPr>
            <w:tcW w:w="848" w:type="dxa"/>
          </w:tcPr>
          <w:p w14:paraId="034D6F2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0</w:t>
            </w:r>
          </w:p>
        </w:tc>
      </w:tr>
      <w:tr w:rsidR="00F248A1" w:rsidRPr="00F248A1" w14:paraId="2587F28F" w14:textId="77777777" w:rsidTr="00497722">
        <w:tc>
          <w:tcPr>
            <w:tcW w:w="7792" w:type="dxa"/>
          </w:tcPr>
          <w:p w14:paraId="3EEB1AAF"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Genuinely new unique records</w:t>
            </w:r>
          </w:p>
        </w:tc>
        <w:tc>
          <w:tcPr>
            <w:tcW w:w="848" w:type="dxa"/>
          </w:tcPr>
          <w:p w14:paraId="5C6B9034"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262</w:t>
            </w:r>
          </w:p>
        </w:tc>
      </w:tr>
      <w:tr w:rsidR="00F248A1" w:rsidRPr="00F248A1" w14:paraId="6383055F" w14:textId="77777777" w:rsidTr="00497722">
        <w:tc>
          <w:tcPr>
            <w:tcW w:w="7792" w:type="dxa"/>
          </w:tcPr>
          <w:p w14:paraId="6B711F5B"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Excluded at title/abstract (automated pre-screen: likely irrelevant)</w:t>
            </w:r>
          </w:p>
        </w:tc>
        <w:tc>
          <w:tcPr>
            <w:tcW w:w="848" w:type="dxa"/>
          </w:tcPr>
          <w:p w14:paraId="6DCCC3DE"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5</w:t>
            </w:r>
          </w:p>
        </w:tc>
      </w:tr>
      <w:tr w:rsidR="00F248A1" w:rsidRPr="00F248A1" w14:paraId="730583EA" w14:textId="77777777" w:rsidTr="00497722">
        <w:tc>
          <w:tcPr>
            <w:tcW w:w="7792" w:type="dxa"/>
          </w:tcPr>
          <w:p w14:paraId="3471F2BE"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Proceeding to full-text assessment</w:t>
            </w:r>
          </w:p>
        </w:tc>
        <w:tc>
          <w:tcPr>
            <w:tcW w:w="848" w:type="dxa"/>
          </w:tcPr>
          <w:p w14:paraId="127A25B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257</w:t>
            </w:r>
          </w:p>
        </w:tc>
      </w:tr>
      <w:tr w:rsidR="00F248A1" w:rsidRPr="00F248A1" w14:paraId="2698F51B" w14:textId="77777777" w:rsidTr="00497722">
        <w:tc>
          <w:tcPr>
            <w:tcW w:w="7792" w:type="dxa"/>
          </w:tcPr>
          <w:p w14:paraId="35A2AF2E"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Excluded at full-text (all reasons; see Table S2.2)</w:t>
            </w:r>
          </w:p>
        </w:tc>
        <w:tc>
          <w:tcPr>
            <w:tcW w:w="848" w:type="dxa"/>
          </w:tcPr>
          <w:p w14:paraId="3D27454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249</w:t>
            </w:r>
          </w:p>
        </w:tc>
      </w:tr>
      <w:tr w:rsidR="00F248A1" w:rsidRPr="00F248A1" w14:paraId="5053A54C" w14:textId="77777777" w:rsidTr="00497722">
        <w:tc>
          <w:tcPr>
            <w:tcW w:w="7792" w:type="dxa"/>
          </w:tcPr>
          <w:p w14:paraId="54FFD78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New eligible studies identified</w:t>
            </w:r>
          </w:p>
        </w:tc>
        <w:tc>
          <w:tcPr>
            <w:tcW w:w="848" w:type="dxa"/>
          </w:tcPr>
          <w:p w14:paraId="75FB9A19"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8</w:t>
            </w:r>
          </w:p>
        </w:tc>
      </w:tr>
      <w:tr w:rsidR="00F248A1" w:rsidRPr="00F248A1" w14:paraId="3410037A" w14:textId="77777777" w:rsidTr="00497722">
        <w:tc>
          <w:tcPr>
            <w:tcW w:w="7792" w:type="dxa"/>
          </w:tcPr>
          <w:p w14:paraId="33F923F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Combined total (125 primary + 8 sensitivity)</w:t>
            </w:r>
          </w:p>
        </w:tc>
        <w:tc>
          <w:tcPr>
            <w:tcW w:w="848" w:type="dxa"/>
          </w:tcPr>
          <w:p w14:paraId="77E5558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133</w:t>
            </w:r>
          </w:p>
        </w:tc>
      </w:tr>
    </w:tbl>
    <w:p w14:paraId="7E994015" w14:textId="77777777" w:rsidR="00F248A1" w:rsidRDefault="00F248A1" w:rsidP="00F248A1">
      <w:pPr>
        <w:pStyle w:val="NormalWeb"/>
        <w:spacing w:before="0" w:beforeAutospacing="0" w:after="0" w:afterAutospacing="0" w:line="360" w:lineRule="auto"/>
        <w:jc w:val="both"/>
      </w:pPr>
    </w:p>
    <w:p w14:paraId="36A141D4" w14:textId="2AE06BED" w:rsidR="005A1A00" w:rsidRDefault="005A1A00" w:rsidP="00F248A1">
      <w:pPr>
        <w:pStyle w:val="NormalWeb"/>
        <w:spacing w:before="0" w:beforeAutospacing="0" w:after="0" w:afterAutospacing="0" w:line="360" w:lineRule="auto"/>
        <w:jc w:val="both"/>
      </w:pPr>
      <w:r>
        <w:t xml:space="preserve">Of the 125 studies included in the primary Web of Science corpus, only 7 (5.6%) were confirmed as indexed in PubMed by DOI match. The remaining 118 included studies (94.4%) were not retrievable through PubMed, indicating that Web of Science provides substantially broader coverage of the livestock genome editing literature than PubMed for the topic and date range examined. This finding confirms that the primary database selection was appropriate for this </w:t>
      </w:r>
      <w:r>
        <w:lastRenderedPageBreak/>
        <w:t>subject domain and that PubMed alone would have been insufficient as a sole search source for this review.</w:t>
      </w:r>
    </w:p>
    <w:p w14:paraId="1A863B99" w14:textId="77777777" w:rsidR="00F248A1" w:rsidRPr="00F248A1" w:rsidRDefault="00F248A1" w:rsidP="00F248A1">
      <w:pPr>
        <w:pStyle w:val="NormalWeb"/>
        <w:spacing w:before="0" w:beforeAutospacing="0" w:after="0" w:afterAutospacing="0" w:line="360" w:lineRule="auto"/>
        <w:jc w:val="both"/>
      </w:pPr>
      <w:r w:rsidRPr="00F248A1">
        <w:t>Table S2.2. Reasons for exclusion at full-text assessment in the PubMed sensitivity search (n = 249 excluded)</w:t>
      </w:r>
    </w:p>
    <w:tbl>
      <w:tblPr>
        <w:tblStyle w:val="TableGrid2"/>
        <w:tblW w:w="0" w:type="auto"/>
        <w:tblLook w:val="04A0" w:firstRow="1" w:lastRow="0" w:firstColumn="1" w:lastColumn="0" w:noHBand="0" w:noVBand="1"/>
      </w:tblPr>
      <w:tblGrid>
        <w:gridCol w:w="7508"/>
        <w:gridCol w:w="1132"/>
      </w:tblGrid>
      <w:tr w:rsidR="00F248A1" w:rsidRPr="00F248A1" w14:paraId="50F1FFB1" w14:textId="77777777" w:rsidTr="00497722">
        <w:tc>
          <w:tcPr>
            <w:tcW w:w="7508" w:type="dxa"/>
          </w:tcPr>
          <w:p w14:paraId="3C996CF7"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Exclusion reason</w:t>
            </w:r>
          </w:p>
        </w:tc>
        <w:tc>
          <w:tcPr>
            <w:tcW w:w="1132" w:type="dxa"/>
          </w:tcPr>
          <w:p w14:paraId="64F61E37"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n</w:t>
            </w:r>
          </w:p>
        </w:tc>
      </w:tr>
      <w:tr w:rsidR="00F248A1" w:rsidRPr="00F248A1" w14:paraId="57BD15EB" w14:textId="77777777" w:rsidTr="00497722">
        <w:tc>
          <w:tcPr>
            <w:tcW w:w="7508" w:type="dxa"/>
          </w:tcPr>
          <w:p w14:paraId="6EEB0FBA"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Non-livestock species without translational relevance</w:t>
            </w:r>
          </w:p>
        </w:tc>
        <w:tc>
          <w:tcPr>
            <w:tcW w:w="1132" w:type="dxa"/>
          </w:tcPr>
          <w:p w14:paraId="4AC7380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174</w:t>
            </w:r>
          </w:p>
        </w:tc>
      </w:tr>
      <w:tr w:rsidR="00F248A1" w:rsidRPr="00F248A1" w14:paraId="7368D604" w14:textId="77777777" w:rsidTr="00497722">
        <w:tc>
          <w:tcPr>
            <w:tcW w:w="7508" w:type="dxa"/>
          </w:tcPr>
          <w:p w14:paraId="0BFECD1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Incorrect technological scope (CRISPR diagnostics, microbial)</w:t>
            </w:r>
          </w:p>
        </w:tc>
        <w:tc>
          <w:tcPr>
            <w:tcW w:w="1132" w:type="dxa"/>
          </w:tcPr>
          <w:p w14:paraId="490F84DC"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15</w:t>
            </w:r>
          </w:p>
        </w:tc>
      </w:tr>
      <w:tr w:rsidR="00F248A1" w:rsidRPr="00F248A1" w14:paraId="61254C47" w14:textId="77777777" w:rsidTr="00497722">
        <w:tc>
          <w:tcPr>
            <w:tcW w:w="7508" w:type="dxa"/>
          </w:tcPr>
          <w:p w14:paraId="17E75F7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Insufficient methodological detail</w:t>
            </w:r>
          </w:p>
        </w:tc>
        <w:tc>
          <w:tcPr>
            <w:tcW w:w="1132" w:type="dxa"/>
          </w:tcPr>
          <w:p w14:paraId="22458C55"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6</w:t>
            </w:r>
          </w:p>
        </w:tc>
      </w:tr>
      <w:tr w:rsidR="00F248A1" w:rsidRPr="00F248A1" w14:paraId="0F43812E" w14:textId="77777777" w:rsidTr="00497722">
        <w:tc>
          <w:tcPr>
            <w:tcW w:w="7508" w:type="dxa"/>
          </w:tcPr>
          <w:p w14:paraId="6EEC30DB"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Purely in vitro study without agricultural application</w:t>
            </w:r>
          </w:p>
        </w:tc>
        <w:tc>
          <w:tcPr>
            <w:tcW w:w="1132" w:type="dxa"/>
          </w:tcPr>
          <w:p w14:paraId="761B456E"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w:t>
            </w:r>
          </w:p>
        </w:tc>
      </w:tr>
      <w:tr w:rsidR="00F248A1" w:rsidRPr="00F248A1" w14:paraId="18FA16DF" w14:textId="77777777" w:rsidTr="00497722">
        <w:tc>
          <w:tcPr>
            <w:tcW w:w="7508" w:type="dxa"/>
          </w:tcPr>
          <w:p w14:paraId="2BBF6AB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Review or commentary (not caught by publication type filter)</w:t>
            </w:r>
          </w:p>
        </w:tc>
        <w:tc>
          <w:tcPr>
            <w:tcW w:w="1132" w:type="dxa"/>
          </w:tcPr>
          <w:p w14:paraId="696D163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3</w:t>
            </w:r>
          </w:p>
        </w:tc>
      </w:tr>
      <w:tr w:rsidR="00F248A1" w:rsidRPr="00F248A1" w14:paraId="365E1B8B" w14:textId="77777777" w:rsidTr="00497722">
        <w:tc>
          <w:tcPr>
            <w:tcW w:w="7508" w:type="dxa"/>
          </w:tcPr>
          <w:p w14:paraId="4D4C292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Other scope mismatch</w:t>
            </w:r>
          </w:p>
        </w:tc>
        <w:tc>
          <w:tcPr>
            <w:tcW w:w="1132" w:type="dxa"/>
          </w:tcPr>
          <w:p w14:paraId="7DD38339"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49</w:t>
            </w:r>
          </w:p>
        </w:tc>
      </w:tr>
      <w:tr w:rsidR="00F248A1" w:rsidRPr="00F248A1" w14:paraId="13C31FB3" w14:textId="77777777" w:rsidTr="00497722">
        <w:tc>
          <w:tcPr>
            <w:tcW w:w="7508" w:type="dxa"/>
          </w:tcPr>
          <w:p w14:paraId="53536475"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Total</w:t>
            </w:r>
          </w:p>
        </w:tc>
        <w:tc>
          <w:tcPr>
            <w:tcW w:w="1132" w:type="dxa"/>
          </w:tcPr>
          <w:p w14:paraId="4141C8DA"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249</w:t>
            </w:r>
          </w:p>
        </w:tc>
      </w:tr>
    </w:tbl>
    <w:p w14:paraId="7E750D79" w14:textId="77777777" w:rsidR="00F248A1" w:rsidRDefault="00F248A1" w:rsidP="00F248A1">
      <w:pPr>
        <w:pStyle w:val="NormalWeb"/>
        <w:spacing w:before="0" w:beforeAutospacing="0" w:after="0" w:afterAutospacing="0" w:line="360" w:lineRule="auto"/>
        <w:jc w:val="both"/>
      </w:pPr>
    </w:p>
    <w:p w14:paraId="63672201" w14:textId="77777777" w:rsidR="005A1A00" w:rsidRDefault="005A1A00" w:rsidP="00F248A1">
      <w:pPr>
        <w:pStyle w:val="NormalWeb"/>
        <w:spacing w:before="0" w:beforeAutospacing="0" w:after="0" w:afterAutospacing="0" w:line="360" w:lineRule="auto"/>
        <w:jc w:val="both"/>
      </w:pPr>
      <w:r>
        <w:t>Table S2.3. PubMed indexing coverage of 125 primary included studies.</w:t>
      </w:r>
    </w:p>
    <w:tbl>
      <w:tblPr>
        <w:tblStyle w:val="TableGrid3"/>
        <w:tblW w:w="0" w:type="auto"/>
        <w:tblLook w:val="04A0" w:firstRow="1" w:lastRow="0" w:firstColumn="1" w:lastColumn="0" w:noHBand="0" w:noVBand="1"/>
      </w:tblPr>
      <w:tblGrid>
        <w:gridCol w:w="6374"/>
        <w:gridCol w:w="1134"/>
        <w:gridCol w:w="1132"/>
      </w:tblGrid>
      <w:tr w:rsidR="00F248A1" w:rsidRPr="00F248A1" w14:paraId="75AB2F8D" w14:textId="77777777" w:rsidTr="00F248A1">
        <w:tc>
          <w:tcPr>
            <w:tcW w:w="6374" w:type="dxa"/>
          </w:tcPr>
          <w:p w14:paraId="2C06C38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Coverage category</w:t>
            </w:r>
          </w:p>
        </w:tc>
        <w:tc>
          <w:tcPr>
            <w:tcW w:w="1134" w:type="dxa"/>
          </w:tcPr>
          <w:p w14:paraId="1A88C447"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n</w:t>
            </w:r>
          </w:p>
        </w:tc>
        <w:tc>
          <w:tcPr>
            <w:tcW w:w="1132" w:type="dxa"/>
          </w:tcPr>
          <w:p w14:paraId="0BDE9949"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w:t>
            </w:r>
          </w:p>
        </w:tc>
      </w:tr>
      <w:tr w:rsidR="00F248A1" w:rsidRPr="00F248A1" w14:paraId="59426F63" w14:textId="77777777" w:rsidTr="00F248A1">
        <w:tc>
          <w:tcPr>
            <w:tcW w:w="6374" w:type="dxa"/>
          </w:tcPr>
          <w:p w14:paraId="434C309B"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Included studies found in PubMed (DOI match confirmed)</w:t>
            </w:r>
          </w:p>
        </w:tc>
        <w:tc>
          <w:tcPr>
            <w:tcW w:w="1134" w:type="dxa"/>
          </w:tcPr>
          <w:p w14:paraId="5CF171DD"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7</w:t>
            </w:r>
          </w:p>
        </w:tc>
        <w:tc>
          <w:tcPr>
            <w:tcW w:w="1132" w:type="dxa"/>
          </w:tcPr>
          <w:p w14:paraId="35AA1708"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5.6%</w:t>
            </w:r>
          </w:p>
        </w:tc>
      </w:tr>
      <w:tr w:rsidR="00F248A1" w:rsidRPr="00F248A1" w14:paraId="1ABEAA46" w14:textId="77777777" w:rsidTr="00F248A1">
        <w:tc>
          <w:tcPr>
            <w:tcW w:w="6374" w:type="dxa"/>
          </w:tcPr>
          <w:p w14:paraId="64B80EDE"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Included studies NOT found in PubMed (</w:t>
            </w:r>
            <w:proofErr w:type="spellStart"/>
            <w:r w:rsidRPr="00F248A1">
              <w:rPr>
                <w:rFonts w:ascii="Cambria" w:eastAsia="MS Mincho" w:hAnsi="Cambria" w:cs="Arial"/>
              </w:rPr>
              <w:t>WoS</w:t>
            </w:r>
            <w:proofErr w:type="spellEnd"/>
            <w:r w:rsidRPr="00F248A1">
              <w:rPr>
                <w:rFonts w:ascii="Cambria" w:eastAsia="MS Mincho" w:hAnsi="Cambria" w:cs="Arial"/>
              </w:rPr>
              <w:t>-only coverage)</w:t>
            </w:r>
          </w:p>
        </w:tc>
        <w:tc>
          <w:tcPr>
            <w:tcW w:w="1134" w:type="dxa"/>
          </w:tcPr>
          <w:p w14:paraId="041F35B1"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118</w:t>
            </w:r>
          </w:p>
        </w:tc>
        <w:tc>
          <w:tcPr>
            <w:tcW w:w="1132" w:type="dxa"/>
          </w:tcPr>
          <w:p w14:paraId="3C5B6F03"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94.4%</w:t>
            </w:r>
          </w:p>
        </w:tc>
      </w:tr>
      <w:tr w:rsidR="00F248A1" w:rsidRPr="00F248A1" w14:paraId="7FC1BB12" w14:textId="77777777" w:rsidTr="00F248A1">
        <w:tc>
          <w:tcPr>
            <w:tcW w:w="6374" w:type="dxa"/>
          </w:tcPr>
          <w:p w14:paraId="1F96ED4A"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Total included studies</w:t>
            </w:r>
          </w:p>
        </w:tc>
        <w:tc>
          <w:tcPr>
            <w:tcW w:w="1134" w:type="dxa"/>
          </w:tcPr>
          <w:p w14:paraId="7C19E9A6"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125</w:t>
            </w:r>
          </w:p>
        </w:tc>
        <w:tc>
          <w:tcPr>
            <w:tcW w:w="1132" w:type="dxa"/>
          </w:tcPr>
          <w:p w14:paraId="0925873C" w14:textId="77777777" w:rsidR="00F248A1" w:rsidRPr="00F248A1" w:rsidRDefault="00F248A1" w:rsidP="00F248A1">
            <w:pPr>
              <w:spacing w:after="200" w:line="276" w:lineRule="auto"/>
              <w:rPr>
                <w:rFonts w:ascii="Cambria" w:eastAsia="MS Mincho" w:hAnsi="Cambria" w:cs="Arial"/>
              </w:rPr>
            </w:pPr>
            <w:r w:rsidRPr="00F248A1">
              <w:rPr>
                <w:rFonts w:ascii="Cambria" w:eastAsia="MS Mincho" w:hAnsi="Cambria" w:cs="Arial"/>
              </w:rPr>
              <w:t>100%</w:t>
            </w:r>
          </w:p>
        </w:tc>
      </w:tr>
    </w:tbl>
    <w:p w14:paraId="04AF6A64" w14:textId="77777777" w:rsidR="00F248A1" w:rsidRDefault="00F248A1" w:rsidP="00F248A1">
      <w:pPr>
        <w:pStyle w:val="NormalWeb"/>
        <w:spacing w:before="0" w:beforeAutospacing="0" w:after="0" w:afterAutospacing="0" w:line="360" w:lineRule="auto"/>
        <w:jc w:val="both"/>
      </w:pPr>
    </w:p>
    <w:p w14:paraId="6B93868B" w14:textId="77777777" w:rsidR="005A1A00" w:rsidRDefault="005A1A00" w:rsidP="00F248A1">
      <w:pPr>
        <w:pStyle w:val="NormalWeb"/>
        <w:spacing w:before="0" w:beforeAutospacing="0" w:after="0" w:afterAutospacing="0" w:line="360" w:lineRule="auto"/>
        <w:jc w:val="both"/>
      </w:pPr>
      <w:r>
        <w:t xml:space="preserve">The 8 studies identified exclusively through the PubMed sensitivity search and meeting all eligibility criteria were evaluated using the same six-domain quality framework applied to the primary corpus. These studies addressed the following topics: CRISPR-mediated editing in aquaculture species not indexed in Web of Science under the applied subject category filters (n = 3); base editing applications in pigs and small ruminants in journals with incomplete </w:t>
      </w:r>
      <w:proofErr w:type="spellStart"/>
      <w:r>
        <w:t>WoS</w:t>
      </w:r>
      <w:proofErr w:type="spellEnd"/>
      <w:r>
        <w:t xml:space="preserve"> indexing at the time of the primary search (n = 3); and genome-editing delivery optimization studies in poultry published in PubMed-indexed journals outside </w:t>
      </w:r>
      <w:proofErr w:type="spellStart"/>
      <w:r>
        <w:t>WoS</w:t>
      </w:r>
      <w:proofErr w:type="spellEnd"/>
      <w:r>
        <w:t xml:space="preserve"> subject category coverage (n = 2). None of the 8 studies reported findings that contradict, substantially revise, or alter the primary </w:t>
      </w:r>
      <w:r>
        <w:lastRenderedPageBreak/>
        <w:t>conclusions of this review. Their inclusion in the final synthesis reinforces rather than challenges the existing evidence base.</w:t>
      </w:r>
    </w:p>
    <w:p w14:paraId="28B2839D" w14:textId="77777777" w:rsidR="00660E63" w:rsidRDefault="00660E63"/>
    <w:sectPr w:rsidR="00660E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5855" w14:textId="77777777" w:rsidR="00FD017B" w:rsidRDefault="00FD017B" w:rsidP="00F248A1">
      <w:pPr>
        <w:spacing w:after="0" w:line="240" w:lineRule="auto"/>
      </w:pPr>
      <w:r>
        <w:separator/>
      </w:r>
    </w:p>
  </w:endnote>
  <w:endnote w:type="continuationSeparator" w:id="0">
    <w:p w14:paraId="5B1154A3" w14:textId="77777777" w:rsidR="00FD017B" w:rsidRDefault="00FD017B" w:rsidP="00F24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0096" w14:textId="77777777" w:rsidR="00FD017B" w:rsidRDefault="00FD017B" w:rsidP="00F248A1">
      <w:pPr>
        <w:spacing w:after="0" w:line="240" w:lineRule="auto"/>
      </w:pPr>
      <w:r>
        <w:separator/>
      </w:r>
    </w:p>
  </w:footnote>
  <w:footnote w:type="continuationSeparator" w:id="0">
    <w:p w14:paraId="286F0D98" w14:textId="77777777" w:rsidR="00FD017B" w:rsidRDefault="00FD017B" w:rsidP="00F248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63"/>
    <w:rsid w:val="00497722"/>
    <w:rsid w:val="005A1A00"/>
    <w:rsid w:val="00660E63"/>
    <w:rsid w:val="00A93A91"/>
    <w:rsid w:val="00F248A1"/>
    <w:rsid w:val="00F44406"/>
    <w:rsid w:val="00F650C2"/>
    <w:rsid w:val="00FD01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61224"/>
  <w15:chartTrackingRefBased/>
  <w15:docId w15:val="{52A0C4CB-2BF9-4F48-B869-31646AE6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E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E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E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E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E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E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E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E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E63"/>
    <w:rPr>
      <w:rFonts w:eastAsiaTheme="majorEastAsia" w:cstheme="majorBidi"/>
      <w:color w:val="272727" w:themeColor="text1" w:themeTint="D8"/>
    </w:rPr>
  </w:style>
  <w:style w:type="paragraph" w:styleId="Title">
    <w:name w:val="Title"/>
    <w:basedOn w:val="Normal"/>
    <w:next w:val="Normal"/>
    <w:link w:val="TitleChar"/>
    <w:uiPriority w:val="10"/>
    <w:qFormat/>
    <w:rsid w:val="00660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E63"/>
    <w:pPr>
      <w:spacing w:before="160"/>
      <w:jc w:val="center"/>
    </w:pPr>
    <w:rPr>
      <w:i/>
      <w:iCs/>
      <w:color w:val="404040" w:themeColor="text1" w:themeTint="BF"/>
    </w:rPr>
  </w:style>
  <w:style w:type="character" w:customStyle="1" w:styleId="QuoteChar">
    <w:name w:val="Quote Char"/>
    <w:basedOn w:val="DefaultParagraphFont"/>
    <w:link w:val="Quote"/>
    <w:uiPriority w:val="29"/>
    <w:rsid w:val="00660E63"/>
    <w:rPr>
      <w:i/>
      <w:iCs/>
      <w:color w:val="404040" w:themeColor="text1" w:themeTint="BF"/>
    </w:rPr>
  </w:style>
  <w:style w:type="paragraph" w:styleId="ListParagraph">
    <w:name w:val="List Paragraph"/>
    <w:basedOn w:val="Normal"/>
    <w:uiPriority w:val="34"/>
    <w:qFormat/>
    <w:rsid w:val="00660E63"/>
    <w:pPr>
      <w:ind w:left="720"/>
      <w:contextualSpacing/>
    </w:pPr>
  </w:style>
  <w:style w:type="character" w:styleId="IntenseEmphasis">
    <w:name w:val="Intense Emphasis"/>
    <w:basedOn w:val="DefaultParagraphFont"/>
    <w:uiPriority w:val="21"/>
    <w:qFormat/>
    <w:rsid w:val="00660E63"/>
    <w:rPr>
      <w:i/>
      <w:iCs/>
      <w:color w:val="2F5496" w:themeColor="accent1" w:themeShade="BF"/>
    </w:rPr>
  </w:style>
  <w:style w:type="paragraph" w:styleId="IntenseQuote">
    <w:name w:val="Intense Quote"/>
    <w:basedOn w:val="Normal"/>
    <w:next w:val="Normal"/>
    <w:link w:val="IntenseQuoteChar"/>
    <w:uiPriority w:val="30"/>
    <w:qFormat/>
    <w:rsid w:val="00660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E63"/>
    <w:rPr>
      <w:i/>
      <w:iCs/>
      <w:color w:val="2F5496" w:themeColor="accent1" w:themeShade="BF"/>
    </w:rPr>
  </w:style>
  <w:style w:type="character" w:styleId="IntenseReference">
    <w:name w:val="Intense Reference"/>
    <w:basedOn w:val="DefaultParagraphFont"/>
    <w:uiPriority w:val="32"/>
    <w:qFormat/>
    <w:rsid w:val="00660E63"/>
    <w:rPr>
      <w:b/>
      <w:bCs/>
      <w:smallCaps/>
      <w:color w:val="2F5496" w:themeColor="accent1" w:themeShade="BF"/>
      <w:spacing w:val="5"/>
    </w:rPr>
  </w:style>
  <w:style w:type="paragraph" w:styleId="NormalWeb">
    <w:name w:val="Normal (Web)"/>
    <w:basedOn w:val="Normal"/>
    <w:uiPriority w:val="99"/>
    <w:semiHidden/>
    <w:unhideWhenUsed/>
    <w:rsid w:val="00660E6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248A1"/>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F248A1"/>
    <w:rPr>
      <w:sz w:val="18"/>
      <w:szCs w:val="18"/>
    </w:rPr>
  </w:style>
  <w:style w:type="paragraph" w:styleId="Footer">
    <w:name w:val="footer"/>
    <w:basedOn w:val="Normal"/>
    <w:link w:val="FooterChar"/>
    <w:uiPriority w:val="99"/>
    <w:unhideWhenUsed/>
    <w:rsid w:val="00F248A1"/>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F248A1"/>
    <w:rPr>
      <w:sz w:val="18"/>
      <w:szCs w:val="18"/>
    </w:rPr>
  </w:style>
  <w:style w:type="table" w:customStyle="1" w:styleId="TableGrid1">
    <w:name w:val="Table Grid1"/>
    <w:basedOn w:val="TableNormal"/>
    <w:next w:val="TableGrid"/>
    <w:uiPriority w:val="59"/>
    <w:rsid w:val="00F248A1"/>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24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48A1"/>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248A1"/>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KINKPE</dc:creator>
  <cp:keywords/>
  <dc:description/>
  <cp:lastModifiedBy>Jafari Halima</cp:lastModifiedBy>
  <cp:revision>2</cp:revision>
  <dcterms:created xsi:type="dcterms:W3CDTF">2026-04-25T11:51:00Z</dcterms:created>
  <dcterms:modified xsi:type="dcterms:W3CDTF">2026-04-25T11:51:00Z</dcterms:modified>
</cp:coreProperties>
</file>