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6DDB" w14:textId="75CDD5CD" w:rsidR="00EF7A60" w:rsidRPr="00EF7A60" w:rsidRDefault="00EF7A60" w:rsidP="00EF7A60">
      <w:pPr>
        <w:spacing w:line="480" w:lineRule="auto"/>
        <w:jc w:val="center"/>
        <w:rPr>
          <w:rFonts w:asciiTheme="majorBidi" w:eastAsia="Calibri" w:hAnsiTheme="majorBidi" w:cstheme="majorBidi"/>
          <w:kern w:val="0"/>
          <w:lang w:val="en-US"/>
          <w14:ligatures w14:val="none"/>
        </w:rPr>
      </w:pPr>
      <w:r w:rsidRPr="006F33FA">
        <w:rPr>
          <w:rFonts w:asciiTheme="majorBidi" w:eastAsia="Calibri" w:hAnsiTheme="majorBidi" w:cstheme="majorBidi"/>
          <w:b/>
          <w:bCs/>
          <w:kern w:val="0"/>
          <w:lang w:val="en-US"/>
          <w14:ligatures w14:val="none"/>
        </w:rPr>
        <w:t>Acute Kidney Injury in Elderly Patients</w:t>
      </w:r>
      <w:r w:rsidRPr="006F33FA">
        <w:rPr>
          <w:rFonts w:asciiTheme="majorBidi" w:hAnsiTheme="majorBidi" w:cstheme="majorBidi"/>
        </w:rPr>
        <w:t xml:space="preserve"> </w:t>
      </w:r>
      <w:r w:rsidRPr="006F33FA">
        <w:rPr>
          <w:rFonts w:asciiTheme="majorBidi" w:eastAsia="Calibri" w:hAnsiTheme="majorBidi" w:cstheme="majorBidi"/>
          <w:b/>
          <w:bCs/>
          <w:kern w:val="0"/>
          <w:lang w:val="en-US"/>
          <w14:ligatures w14:val="none"/>
        </w:rPr>
        <w:t>in Saudi Arabia:</w:t>
      </w:r>
      <w:r w:rsidRPr="006F33FA">
        <w:rPr>
          <w:rFonts w:asciiTheme="majorBidi" w:eastAsia="Calibri" w:hAnsiTheme="majorBidi" w:cstheme="majorBidi"/>
          <w:b/>
          <w:bCs/>
          <w:kern w:val="0"/>
          <w14:ligatures w14:val="none"/>
        </w:rPr>
        <w:t xml:space="preserve"> </w:t>
      </w:r>
      <w:r w:rsidRPr="006F33FA">
        <w:rPr>
          <w:rFonts w:asciiTheme="majorBidi" w:eastAsia="Calibri" w:hAnsiTheme="majorBidi" w:cstheme="majorBidi"/>
          <w:b/>
          <w:bCs/>
          <w:kern w:val="0"/>
          <w:lang w:val="en-US"/>
          <w14:ligatures w14:val="none"/>
        </w:rPr>
        <w:t xml:space="preserve">Retrospective </w:t>
      </w:r>
      <w:r w:rsidR="00221507" w:rsidRPr="006F33FA">
        <w:rPr>
          <w:rFonts w:asciiTheme="majorBidi" w:eastAsia="Calibri" w:hAnsiTheme="majorBidi" w:cstheme="majorBidi"/>
          <w:b/>
          <w:bCs/>
          <w:kern w:val="0"/>
          <w:lang w:val="en-US"/>
          <w14:ligatures w14:val="none"/>
        </w:rPr>
        <w:t xml:space="preserve">Single-Center </w:t>
      </w:r>
      <w:r w:rsidRPr="006F33FA">
        <w:rPr>
          <w:rFonts w:asciiTheme="majorBidi" w:eastAsia="Calibri" w:hAnsiTheme="majorBidi" w:cstheme="majorBidi"/>
          <w:b/>
          <w:bCs/>
          <w:kern w:val="0"/>
          <w:lang w:val="en-US"/>
          <w14:ligatures w14:val="none"/>
        </w:rPr>
        <w:t>Study</w:t>
      </w:r>
    </w:p>
    <w:p w14:paraId="43BCDD28" w14:textId="73A1853E" w:rsidR="00EF7A60" w:rsidRPr="00EF7A60" w:rsidRDefault="00EF7A60" w:rsidP="00EF7A60">
      <w:pPr>
        <w:pStyle w:val="MDPI13authornames"/>
        <w:rPr>
          <w:rFonts w:asciiTheme="majorBidi" w:hAnsiTheme="majorBidi" w:cstheme="majorBidi"/>
          <w:color w:val="auto"/>
          <w:sz w:val="16"/>
          <w:szCs w:val="16"/>
        </w:rPr>
      </w:pPr>
      <w:r w:rsidRPr="00EF7A60">
        <w:rPr>
          <w:rFonts w:asciiTheme="majorBidi" w:hAnsiTheme="majorBidi" w:cstheme="majorBidi"/>
          <w:color w:val="auto"/>
          <w:sz w:val="16"/>
          <w:szCs w:val="16"/>
        </w:rPr>
        <w:t xml:space="preserve">Abrar F. Alshehri </w:t>
      </w:r>
      <w:r w:rsidRPr="00EF7A60">
        <w:rPr>
          <w:rFonts w:asciiTheme="majorBidi" w:hAnsiTheme="majorBidi" w:cstheme="majorBidi"/>
          <w:color w:val="auto"/>
          <w:sz w:val="16"/>
          <w:szCs w:val="16"/>
          <w:vertAlign w:val="superscript"/>
        </w:rPr>
        <w:t>1,</w:t>
      </w:r>
      <w:r w:rsidRPr="00EF7A60">
        <w:rPr>
          <w:rFonts w:asciiTheme="majorBidi" w:hAnsiTheme="majorBidi" w:cstheme="majorBidi"/>
          <w:color w:val="auto"/>
          <w:sz w:val="16"/>
          <w:szCs w:val="16"/>
        </w:rPr>
        <w:t xml:space="preserve">*, Nouf Alotaibi </w:t>
      </w:r>
      <w:r w:rsidRPr="00EF7A60">
        <w:rPr>
          <w:rFonts w:asciiTheme="majorBidi" w:hAnsiTheme="majorBidi" w:cstheme="majorBidi"/>
          <w:color w:val="auto"/>
          <w:sz w:val="16"/>
          <w:szCs w:val="16"/>
          <w:vertAlign w:val="superscript"/>
        </w:rPr>
        <w:t>1</w:t>
      </w:r>
      <w:r w:rsidRPr="00EF7A60">
        <w:rPr>
          <w:rFonts w:asciiTheme="majorBidi" w:hAnsiTheme="majorBidi" w:cstheme="majorBidi"/>
          <w:color w:val="auto"/>
          <w:sz w:val="16"/>
          <w:szCs w:val="16"/>
        </w:rPr>
        <w:t xml:space="preserve">, Abdulaziz Alhossan </w:t>
      </w:r>
      <w:r w:rsidRPr="00EF7A60">
        <w:rPr>
          <w:rFonts w:asciiTheme="majorBidi" w:hAnsiTheme="majorBidi" w:cstheme="majorBidi"/>
          <w:color w:val="auto"/>
          <w:sz w:val="16"/>
          <w:szCs w:val="16"/>
          <w:vertAlign w:val="superscript"/>
        </w:rPr>
        <w:t>2</w:t>
      </w:r>
    </w:p>
    <w:p w14:paraId="3F7D1036" w14:textId="77777777" w:rsidR="00EF7A60" w:rsidRPr="00EF7A60" w:rsidRDefault="00EF7A60" w:rsidP="00EF7A60">
      <w:pPr>
        <w:spacing w:line="480" w:lineRule="auto"/>
        <w:jc w:val="both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>Affiliation 1;  Department of Pharmaceutical Services, College of Pharmacy, Umm Al-Qura University, Makkah, Saudi Arabia</w:t>
      </w:r>
    </w:p>
    <w:p w14:paraId="3BE3C8CD" w14:textId="77777777" w:rsidR="00EF7A60" w:rsidRPr="00EF7A60" w:rsidRDefault="00EF7A60" w:rsidP="00EF7A60">
      <w:pPr>
        <w:spacing w:line="480" w:lineRule="auto"/>
        <w:jc w:val="both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 w:bidi="en-US"/>
          <w14:ligatures w14:val="none"/>
        </w:rPr>
        <w:t xml:space="preserve">Affiliation 2; Department of Clinical Pharmacy, College of Pharmacy, King Saud University, Riyadh, Saudi Arabia </w:t>
      </w:r>
    </w:p>
    <w:p w14:paraId="2C9B2A81" w14:textId="77777777" w:rsidR="00EF7A60" w:rsidRPr="00EF7A60" w:rsidRDefault="00EF7A60" w:rsidP="00EF7A60">
      <w:pPr>
        <w:spacing w:line="480" w:lineRule="auto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*Correspondence: </w:t>
      </w:r>
      <w:r w:rsidRPr="00EF7A60">
        <w:rPr>
          <w:rFonts w:asciiTheme="majorBidi" w:eastAsia="Calibri" w:hAnsiTheme="majorBidi" w:cstheme="majorBidi"/>
          <w:b/>
          <w:bCs/>
          <w:kern w:val="0"/>
          <w:sz w:val="16"/>
          <w:szCs w:val="16"/>
          <w:lang w:val="en-US"/>
          <w14:ligatures w14:val="none"/>
        </w:rPr>
        <w:t xml:space="preserve">Abrar Fayez Alshehri, </w:t>
      </w:r>
      <w:proofErr w:type="spellStart"/>
      <w:r w:rsidRPr="00EF7A60">
        <w:rPr>
          <w:rFonts w:asciiTheme="majorBidi" w:eastAsia="Calibri" w:hAnsiTheme="majorBidi" w:cstheme="majorBidi"/>
          <w:b/>
          <w:bCs/>
          <w:kern w:val="0"/>
          <w:sz w:val="16"/>
          <w:szCs w:val="16"/>
          <w:lang w:val="en-US"/>
          <w14:ligatures w14:val="none"/>
        </w:rPr>
        <w:t>Pharm.D</w:t>
      </w:r>
      <w:proofErr w:type="spellEnd"/>
      <w:r w:rsidRPr="00EF7A60">
        <w:rPr>
          <w:rFonts w:asciiTheme="majorBidi" w:eastAsia="Calibri" w:hAnsiTheme="majorBidi" w:cstheme="majorBidi"/>
          <w:b/>
          <w:bCs/>
          <w:kern w:val="0"/>
          <w:sz w:val="16"/>
          <w:szCs w:val="16"/>
          <w:lang w:val="en-US"/>
          <w14:ligatures w14:val="none"/>
        </w:rPr>
        <w:t>, MSc, BCPS, BCCP.</w:t>
      </w:r>
    </w:p>
    <w:p w14:paraId="57BA5C05" w14:textId="77777777" w:rsidR="00EF7A60" w:rsidRPr="00EF7A60" w:rsidRDefault="00EF7A60" w:rsidP="00EF7A60">
      <w:pPr>
        <w:spacing w:line="480" w:lineRule="auto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>Lecturer in Department of Pharmaceutical Services, College of Pharmacy, Umm Al-Qura University, Makkah, Saudia Arabia. P.O. Box: 13578 Zip Code: 21955.</w:t>
      </w:r>
    </w:p>
    <w:p w14:paraId="23691EC2" w14:textId="77777777" w:rsidR="00EF7A60" w:rsidRPr="00EF7A60" w:rsidRDefault="00EF7A60" w:rsidP="00EF7A60">
      <w:pPr>
        <w:spacing w:line="480" w:lineRule="auto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Email: </w:t>
      </w:r>
      <w:hyperlink r:id="rId4" w:history="1">
        <w:r w:rsidRPr="00EF7A60">
          <w:rPr>
            <w:rFonts w:asciiTheme="majorBidi" w:eastAsia="Calibri" w:hAnsiTheme="majorBidi" w:cstheme="majorBidi"/>
            <w:kern w:val="0"/>
            <w:sz w:val="16"/>
            <w:szCs w:val="16"/>
            <w:u w:val="single"/>
            <w:lang w:val="en-US"/>
            <w14:ligatures w14:val="none"/>
          </w:rPr>
          <w:t>afashahri@uqu.edu.sa</w:t>
        </w:r>
      </w:hyperlink>
      <w:r w:rsidRPr="00EF7A60">
        <w:rPr>
          <w:rFonts w:asciiTheme="majorBidi" w:eastAsia="Calibri" w:hAnsiTheme="majorBidi" w:cstheme="majorBidi"/>
          <w:kern w:val="0"/>
          <w:sz w:val="16"/>
          <w:szCs w:val="16"/>
          <w:u w:val="single"/>
          <w:lang w:val="en-US"/>
          <w14:ligatures w14:val="none"/>
        </w:rPr>
        <w:t>;</w:t>
      </w: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 </w:t>
      </w:r>
      <w:hyperlink r:id="rId5" w:history="1">
        <w:r w:rsidRPr="00EF7A60">
          <w:rPr>
            <w:rFonts w:asciiTheme="majorBidi" w:eastAsia="Calibri" w:hAnsiTheme="majorBidi" w:cstheme="majorBidi"/>
            <w:kern w:val="0"/>
            <w:sz w:val="16"/>
            <w:szCs w:val="16"/>
            <w:u w:val="single"/>
            <w:lang w:val="en-US"/>
            <w14:ligatures w14:val="none"/>
          </w:rPr>
          <w:t>abrar.f.alshehri</w:t>
        </w:r>
        <w:r w:rsidRPr="00EF7A60">
          <w:rPr>
            <w:rFonts w:asciiTheme="majorBidi" w:eastAsia="Calibri" w:hAnsiTheme="majorBidi" w:cstheme="majorBidi"/>
            <w:kern w:val="0"/>
            <w:sz w:val="16"/>
            <w:szCs w:val="16"/>
            <w:u w:val="single"/>
            <w:rtl/>
            <w:lang w:val="en-US"/>
            <w14:ligatures w14:val="none"/>
          </w:rPr>
          <w:t>@</w:t>
        </w:r>
        <w:r w:rsidRPr="00EF7A60">
          <w:rPr>
            <w:rFonts w:asciiTheme="majorBidi" w:eastAsia="Calibri" w:hAnsiTheme="majorBidi" w:cstheme="majorBidi"/>
            <w:kern w:val="0"/>
            <w:sz w:val="16"/>
            <w:szCs w:val="16"/>
            <w:u w:val="single"/>
            <w:lang w:val="en-US"/>
            <w14:ligatures w14:val="none"/>
          </w:rPr>
          <w:t>gmail.com</w:t>
        </w:r>
      </w:hyperlink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  </w:t>
      </w:r>
    </w:p>
    <w:p w14:paraId="12CDC462" w14:textId="77777777" w:rsidR="00EF7A60" w:rsidRPr="00EF7A60" w:rsidRDefault="00EF7A60" w:rsidP="00EF7A60">
      <w:pPr>
        <w:spacing w:line="480" w:lineRule="auto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>Mobile Number: 00966563693616</w:t>
      </w:r>
    </w:p>
    <w:p w14:paraId="7A6544D5" w14:textId="13439D6C" w:rsidR="00910DD0" w:rsidRDefault="00EF7A60" w:rsidP="00DE1C27">
      <w:pPr>
        <w:spacing w:line="480" w:lineRule="auto"/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</w:pPr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ORCID: </w:t>
      </w:r>
      <w:hyperlink r:id="rId6" w:history="1">
        <w:r w:rsidRPr="00EF7A60">
          <w:rPr>
            <w:rFonts w:asciiTheme="majorBidi" w:eastAsia="Calibri" w:hAnsiTheme="majorBidi" w:cstheme="majorBidi"/>
            <w:kern w:val="0"/>
            <w:sz w:val="16"/>
            <w:szCs w:val="16"/>
            <w:u w:val="single"/>
            <w:lang w:val="en-US"/>
            <w14:ligatures w14:val="none"/>
          </w:rPr>
          <w:t>0000-0001-6311-3721</w:t>
        </w:r>
      </w:hyperlink>
      <w:r w:rsidRPr="00EF7A60">
        <w:rPr>
          <w:rFonts w:asciiTheme="majorBidi" w:eastAsia="Calibri" w:hAnsiTheme="majorBidi" w:cstheme="majorBidi"/>
          <w:kern w:val="0"/>
          <w:sz w:val="16"/>
          <w:szCs w:val="16"/>
          <w:lang w:val="en-US"/>
          <w14:ligatures w14:val="none"/>
        </w:rPr>
        <w:t xml:space="preserve"> </w:t>
      </w:r>
    </w:p>
    <w:p w14:paraId="64D2B3B9" w14:textId="7C85CB8C" w:rsidR="00EF7A60" w:rsidRPr="00EF7A60" w:rsidRDefault="00EF7A60" w:rsidP="009F1771">
      <w:pPr>
        <w:spacing w:after="0" w:line="260" w:lineRule="atLeast"/>
        <w:jc w:val="both"/>
        <w:rPr>
          <w:rFonts w:ascii="Palatino Linotype" w:eastAsia="SimSun" w:hAnsi="Palatino Linotype" w:cs="Times New Roman"/>
          <w:noProof/>
          <w:color w:val="000000"/>
          <w:kern w:val="0"/>
          <w:sz w:val="20"/>
          <w:szCs w:val="20"/>
          <w:lang w:val="en-US" w:eastAsia="de-DE" w:bidi="en-US"/>
          <w14:ligatures w14:val="none"/>
        </w:rPr>
      </w:pPr>
    </w:p>
    <w:p w14:paraId="727E5898" w14:textId="5A747932" w:rsidR="00AA126C" w:rsidRPr="002C4084" w:rsidRDefault="002C4084" w:rsidP="00EF7A60">
      <w:pPr>
        <w:spacing w:after="0" w:line="260" w:lineRule="atLeast"/>
        <w:ind w:left="2608"/>
        <w:jc w:val="both"/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</w:pPr>
      <w:r>
        <w:rPr>
          <w:noProof/>
        </w:rPr>
        <w:drawing>
          <wp:inline distT="0" distB="0" distL="0" distR="0" wp14:anchorId="415A497B" wp14:editId="35D7D77D">
            <wp:extent cx="4048125" cy="2024063"/>
            <wp:effectExtent l="0" t="0" r="0" b="0"/>
            <wp:docPr id="1" name="Picture 1" descr="A graph of a number of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of a number of blue squar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0991" cy="203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1E161" w14:textId="5408D91F" w:rsidR="002162F0" w:rsidRDefault="00EF7A60" w:rsidP="00EF7A60">
      <w:pPr>
        <w:spacing w:after="0" w:line="260" w:lineRule="atLeast"/>
        <w:ind w:left="2608"/>
        <w:jc w:val="both"/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</w:pPr>
      <w:r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Figure S1. </w:t>
      </w:r>
      <w:r w:rsidR="00404BE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Percentage of factors associated with acute kidney injury in elderly patients</w:t>
      </w:r>
      <w:r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. </w:t>
      </w:r>
    </w:p>
    <w:p w14:paraId="2F87029C" w14:textId="53986A6F" w:rsidR="004514A4" w:rsidRPr="004514A4" w:rsidRDefault="00EF7A60" w:rsidP="004514A4">
      <w:pPr>
        <w:spacing w:after="0" w:line="260" w:lineRule="atLeast"/>
        <w:ind w:left="2608"/>
        <w:jc w:val="both"/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</w:pPr>
      <w:r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CKD: Chronic Kidney Disease, IHD: Ischemic Heart Disease, BPH: Benign Prostatic Hypertrophy, PHTN: Pulmonary hypertension, VTE: Venous Thromboembolism, PAD: Peripheral Arterial Disease.</w:t>
      </w:r>
      <w:r w:rsidR="001E7D3B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8A72BA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Medication: 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Furosemide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35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Aspirin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33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Angiotensin-converting enzyme inhibitor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29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Piperacillin–tazobactam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6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Meropenem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5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Vancomycin</w:t>
      </w:r>
      <w:r w:rsidR="00722DB1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4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Angiotensin receptor blocker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4</w:t>
      </w:r>
      <w:r w:rsidR="00722DB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Ciprofloxacin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2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Colistin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2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patients)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Voriconazole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Cefepime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Hydrochlorothiazide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Valganciclovir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Entecavir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DE0A97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>, Trimethoprim–sulfamethoxazole</w:t>
      </w:r>
      <w:r w:rsidR="004F4148" w:rsidRPr="006F33FA"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4F4148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patient).</w:t>
      </w:r>
      <w:r w:rsidR="008C5C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  <w:r w:rsidR="008C5CE0" w:rsidRPr="00824827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val="en-US" w:bidi="en-US"/>
          <w14:ligatures w14:val="none"/>
        </w:rPr>
        <w:t xml:space="preserve">Note: </w:t>
      </w:r>
      <w:r w:rsidR="004514A4" w:rsidRPr="00824827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bidi="en-US"/>
          <w14:ligatures w14:val="none"/>
        </w:rPr>
        <w:t>This figure represents medication exposures, not the proportion of AKI cases caused by medications. Some patients were exposed to more than one nephrotoxic agent.</w:t>
      </w:r>
      <w:r w:rsidR="007B362F" w:rsidRPr="007B362F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</w:p>
    <w:p w14:paraId="0245B087" w14:textId="697BE0A7" w:rsidR="00EF7A60" w:rsidRPr="00EB1E75" w:rsidRDefault="00EF7A60" w:rsidP="00EF7A60">
      <w:pPr>
        <w:spacing w:after="0" w:line="260" w:lineRule="atLeast"/>
        <w:ind w:left="2608"/>
        <w:jc w:val="both"/>
        <w:rPr>
          <w:rFonts w:asciiTheme="majorBidi" w:eastAsia="SimSun" w:hAnsiTheme="majorBidi" w:cstheme="majorBidi"/>
          <w:noProof/>
          <w:color w:val="000000"/>
          <w:kern w:val="0"/>
          <w:sz w:val="20"/>
          <w:szCs w:val="20"/>
          <w:lang w:val="en-US" w:eastAsia="zh-CN"/>
          <w14:ligatures w14:val="none"/>
        </w:rPr>
      </w:pPr>
    </w:p>
    <w:p w14:paraId="2734B1AB" w14:textId="77777777" w:rsidR="00EF7A60" w:rsidRPr="00EF7A60" w:rsidRDefault="00EF7A60" w:rsidP="00EF7A60">
      <w:pPr>
        <w:spacing w:after="0" w:line="260" w:lineRule="atLeast"/>
        <w:ind w:left="2608"/>
        <w:jc w:val="both"/>
        <w:rPr>
          <w:rFonts w:ascii="Palatino Linotype" w:eastAsia="SimSun" w:hAnsi="Palatino Linotype" w:cs="Times New Roman"/>
          <w:noProof/>
          <w:color w:val="000000"/>
          <w:kern w:val="0"/>
          <w:sz w:val="20"/>
          <w:szCs w:val="20"/>
          <w:lang w:val="en-US" w:eastAsia="de-DE" w:bidi="en-US"/>
          <w14:ligatures w14:val="none"/>
        </w:rPr>
      </w:pPr>
    </w:p>
    <w:p w14:paraId="2B90C17E" w14:textId="77777777" w:rsidR="00EF7A60" w:rsidRPr="00EF7A60" w:rsidRDefault="00EF7A60" w:rsidP="00EF7A60">
      <w:pPr>
        <w:adjustRightInd w:val="0"/>
        <w:snapToGrid w:val="0"/>
        <w:spacing w:before="240" w:after="0" w:line="228" w:lineRule="auto"/>
        <w:ind w:left="2550"/>
        <w:jc w:val="both"/>
        <w:rPr>
          <w:rFonts w:ascii="Palatino Linotype" w:eastAsia="SimSun" w:hAnsi="Palatino Linotype" w:cs="Times New Roman"/>
          <w:snapToGrid w:val="0"/>
          <w:color w:val="000000"/>
          <w:kern w:val="0"/>
          <w:sz w:val="18"/>
          <w:szCs w:val="20"/>
          <w:lang w:val="en-US" w:bidi="en-US"/>
          <w14:ligatures w14:val="none"/>
        </w:rPr>
      </w:pPr>
      <w:r w:rsidRPr="00EF7A60">
        <w:rPr>
          <w:rFonts w:ascii="Palatino Linotype" w:eastAsia="SimSun" w:hAnsi="Palatino Linotype" w:cs="Times New Roman"/>
          <w:noProof/>
          <w:snapToGrid w:val="0"/>
          <w:color w:val="000000"/>
          <w:kern w:val="0"/>
          <w:sz w:val="18"/>
          <w:szCs w:val="20"/>
          <w:lang w:val="en-US" w:bidi="en-US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818B11" wp14:editId="13C0FA13">
                <wp:simplePos x="0" y="0"/>
                <wp:positionH relativeFrom="column">
                  <wp:posOffset>356870</wp:posOffset>
                </wp:positionH>
                <wp:positionV relativeFrom="paragraph">
                  <wp:posOffset>939938</wp:posOffset>
                </wp:positionV>
                <wp:extent cx="561975" cy="140462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C4B6D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  <w:r w:rsidRPr="00EF7A60"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  <w:t>(a)</w:t>
                            </w:r>
                          </w:p>
                          <w:p w14:paraId="6CE68AC2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63661F79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5FD24D7B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21F3506F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textFill>
                                  <w14:noFill/>
                                </w14:textFill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0E61899E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4EE93D53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  <w:r w:rsidRPr="00EF7A60"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  <w:t>(b)</w:t>
                            </w:r>
                          </w:p>
                          <w:p w14:paraId="64E28B91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62112186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46400871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2190AD12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464C5318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</w:p>
                          <w:p w14:paraId="791CAB76" w14:textId="77777777" w:rsidR="00EF7A60" w:rsidRPr="00EF7A60" w:rsidRDefault="00EF7A60" w:rsidP="00EF7A6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  <w:r w:rsidRPr="00EF7A60">
                              <w:rPr>
                                <w:b/>
                                <w:bCs/>
                                <w:sz w:val="28"/>
                                <w:szCs w:val="28"/>
                                <w14:glow w14:rad="0">
                                  <w14:srgbClr w14:val="FFFFFF"/>
                                </w14:glow>
                                <w14:props3d w14:extrusionH="0" w14:contourW="12700" w14:prstMaterial="none"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  <w:t xml:space="preserve">(c)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818B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1pt;margin-top:74pt;width:4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" filled="f" stroked="f">
                <v:textbox style="mso-fit-shape-to-text:t">
                  <w:txbxContent>
                    <w:p w14:paraId="5FFC4B6D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  <w:r w:rsidRPr="00EF7A60"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  <w:t>(a)</w:t>
                      </w:r>
                    </w:p>
                    <w:p w14:paraId="6CE68AC2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63661F79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5FD24D7B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21F3506F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textFill>
                            <w14:noFill/>
                          </w14:textFill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0E61899E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4EE93D53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  <w:r w:rsidRPr="00EF7A60"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  <w:t>(b)</w:t>
                      </w:r>
                    </w:p>
                    <w:p w14:paraId="64E28B91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62112186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46400871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2190AD12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464C5318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</w:p>
                    <w:p w14:paraId="791CAB76" w14:textId="77777777" w:rsidR="00EF7A60" w:rsidRPr="00EF7A60" w:rsidRDefault="00EF7A60" w:rsidP="00EF7A60">
                      <w:pPr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  <w:r w:rsidRPr="00EF7A60">
                        <w:rPr>
                          <w:b/>
                          <w:bCs/>
                          <w:sz w:val="28"/>
                          <w:szCs w:val="28"/>
                          <w14:glow w14:rad="0">
                            <w14:srgbClr w14:val="FFFFFF"/>
                          </w14:glow>
                          <w14:props3d w14:extrusionH="0" w14:contourW="12700" w14:prstMaterial="none">
                            <w14:contourClr>
                              <w14:srgbClr w14:val="FFFFFF"/>
                            </w14:contourClr>
                          </w14:props3d>
                        </w:rPr>
                        <w:t xml:space="preserve">(c) </w:t>
                      </w:r>
                    </w:p>
                  </w:txbxContent>
                </v:textbox>
              </v:shape>
            </w:pict>
          </mc:Fallback>
        </mc:AlternateContent>
      </w:r>
      <w:r w:rsidRPr="00EF7A60">
        <w:rPr>
          <w:rFonts w:ascii="Palatino Linotype" w:eastAsia="SimSun" w:hAnsi="Palatino Linotype" w:cs="Times New Roman"/>
          <w:noProof/>
          <w:snapToGrid w:val="0"/>
          <w:color w:val="000000"/>
          <w:kern w:val="0"/>
          <w:sz w:val="18"/>
          <w:szCs w:val="20"/>
          <w:lang w:val="en-US" w:eastAsia="de-DE" w:bidi="en-US"/>
          <w14:ligatures w14:val="none"/>
        </w:rPr>
        <w:drawing>
          <wp:inline distT="0" distB="0" distL="0" distR="0" wp14:anchorId="6D4657C8" wp14:editId="583D1D35">
            <wp:extent cx="4561429" cy="2204074"/>
            <wp:effectExtent l="0" t="0" r="10795" b="6350"/>
            <wp:docPr id="254120224" name="Chart 2541202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B5BC67A" w14:textId="77777777" w:rsidR="00EF7A60" w:rsidRPr="00EF7A60" w:rsidRDefault="00EF7A60" w:rsidP="00EF7A60">
      <w:pPr>
        <w:adjustRightInd w:val="0"/>
        <w:snapToGrid w:val="0"/>
        <w:spacing w:before="240" w:after="0" w:line="228" w:lineRule="auto"/>
        <w:ind w:left="2550"/>
        <w:jc w:val="both"/>
        <w:rPr>
          <w:rFonts w:ascii="Palatino Linotype" w:eastAsia="SimSun" w:hAnsi="Palatino Linotype" w:cs="Times New Roman"/>
          <w:snapToGrid w:val="0"/>
          <w:color w:val="000000"/>
          <w:kern w:val="0"/>
          <w:sz w:val="18"/>
          <w:szCs w:val="20"/>
          <w:lang w:val="en-US" w:bidi="en-US"/>
          <w14:ligatures w14:val="none"/>
        </w:rPr>
      </w:pPr>
      <w:r w:rsidRPr="00EF7A60">
        <w:rPr>
          <w:rFonts w:ascii="Palatino Linotype" w:eastAsia="SimSun" w:hAnsi="Palatino Linotype" w:cs="Times New Roman"/>
          <w:noProof/>
          <w:snapToGrid w:val="0"/>
          <w:color w:val="000000"/>
          <w:kern w:val="0"/>
          <w:sz w:val="18"/>
          <w:szCs w:val="20"/>
          <w:lang w:val="en-US" w:eastAsia="de-DE" w:bidi="en-US"/>
          <w14:ligatures w14:val="none"/>
        </w:rPr>
        <w:drawing>
          <wp:inline distT="0" distB="0" distL="0" distR="0" wp14:anchorId="7CECDDCD" wp14:editId="2D468CFB">
            <wp:extent cx="4561205" cy="2003223"/>
            <wp:effectExtent l="0" t="0" r="10795" b="16510"/>
            <wp:docPr id="1264650620" name="Chart 12646506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ADA3001" w14:textId="77777777" w:rsidR="00EF7A60" w:rsidRPr="00EF7A60" w:rsidRDefault="00EF7A60" w:rsidP="00EF7A60">
      <w:pPr>
        <w:adjustRightInd w:val="0"/>
        <w:snapToGrid w:val="0"/>
        <w:spacing w:before="240" w:after="0" w:line="228" w:lineRule="auto"/>
        <w:ind w:left="2550"/>
        <w:jc w:val="both"/>
        <w:rPr>
          <w:rFonts w:ascii="Palatino Linotype" w:eastAsia="SimSun" w:hAnsi="Palatino Linotype" w:cs="Times New Roman"/>
          <w:snapToGrid w:val="0"/>
          <w:color w:val="000000"/>
          <w:kern w:val="0"/>
          <w:sz w:val="18"/>
          <w:szCs w:val="20"/>
          <w:lang w:val="en-US" w:bidi="en-US"/>
          <w14:ligatures w14:val="none"/>
        </w:rPr>
      </w:pPr>
      <w:r w:rsidRPr="00EF7A60">
        <w:rPr>
          <w:rFonts w:ascii="Palatino Linotype" w:eastAsia="SimSun" w:hAnsi="Palatino Linotype" w:cs="Times New Roman"/>
          <w:noProof/>
          <w:snapToGrid w:val="0"/>
          <w:color w:val="000000"/>
          <w:kern w:val="0"/>
          <w:sz w:val="18"/>
          <w:szCs w:val="20"/>
          <w:lang w:val="en-US" w:eastAsia="de-DE" w:bidi="en-US"/>
          <w14:ligatures w14:val="none"/>
        </w:rPr>
        <w:drawing>
          <wp:inline distT="0" distB="0" distL="0" distR="0" wp14:anchorId="50A32E59" wp14:editId="37ADF71E">
            <wp:extent cx="4561205" cy="2251644"/>
            <wp:effectExtent l="0" t="0" r="10795" b="15875"/>
            <wp:docPr id="35933607" name="Chart 359336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2396939" w14:textId="5583D468" w:rsidR="002B7F58" w:rsidRPr="003B02AE" w:rsidRDefault="00EF7A60" w:rsidP="004458CE">
      <w:pPr>
        <w:adjustRightInd w:val="0"/>
        <w:snapToGrid w:val="0"/>
        <w:spacing w:before="240" w:after="0" w:line="228" w:lineRule="auto"/>
        <w:ind w:left="2550"/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</w:pPr>
      <w:r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Figure S2. Reason categories of acute kidney injury in the elderly: (a) Number of overall causes of acute kidney injury in elderly patients. (b) </w:t>
      </w:r>
      <w:r w:rsidR="005C6EA1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Number of causes of community acute kidney injury in elderly patients. (c) </w:t>
      </w:r>
      <w:r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Number of causes of hospital-acquired acute kidney injury in elderly patients. 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Comorbidity: Acute decompensated heart failure, Atrial fibrillation, Chronic kidney disease, Diabetic nephropathy, Nephrotic syndrome, Hypertension,</w:t>
      </w:r>
      <w:r w:rsidR="00327F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and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Stroke</w:t>
      </w:r>
      <w:r w:rsidR="00327F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. 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Medications: </w:t>
      </w:r>
      <w:r w:rsidR="00370829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frusemide (</w:t>
      </w:r>
      <w:r w:rsidR="00AA1904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12 patients)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, Antibiotics</w:t>
      </w:r>
      <w:r w:rsidR="00AA1904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(2 patients)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, Acyclovir</w:t>
      </w:r>
      <w:r w:rsidR="0072478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(1 patient)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, Cisplatin </w:t>
      </w:r>
      <w:r w:rsidR="0072478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, </w:t>
      </w:r>
      <w:r w:rsidR="0003464C" w:rsidRPr="00212C78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val="en-US" w:bidi="en-US"/>
          <w14:ligatures w14:val="none"/>
        </w:rPr>
        <w:t>hydrochlorothiazide</w:t>
      </w:r>
      <w:r w:rsidR="0003464C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  <w:r w:rsidR="0003464C" w:rsidRPr="00212C78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val="en-US" w:bidi="en-US"/>
          <w14:ligatures w14:val="none"/>
        </w:rPr>
        <w:t>(1 patient</w:t>
      </w:r>
      <w:r w:rsidR="0003464C" w:rsidRPr="0003464C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)</w:t>
      </w:r>
      <w:r w:rsidR="0003464C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  <w:r w:rsidR="00327FE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and </w:t>
      </w:r>
      <w:r w:rsidR="00F54F7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Aluminum</w:t>
      </w:r>
      <w:r w:rsidR="00724783" w:rsidRPr="006F33FA">
        <w:t xml:space="preserve"> </w:t>
      </w:r>
      <w:r w:rsidR="0072478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(1 patient)</w:t>
      </w:r>
      <w:r w:rsidR="007F1D0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;</w:t>
      </w:r>
      <w:r w:rsidR="0072478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  <w:r w:rsidR="005F756A" w:rsidRPr="006F33FA">
        <w:t xml:space="preserve"> </w:t>
      </w:r>
      <w:r w:rsidR="005F756A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Postrenal AKI such as benign prostate hyperplasia</w:t>
      </w:r>
      <w:r w:rsidR="00AB0A1A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;</w:t>
      </w:r>
      <w:r w:rsidR="0078011F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Postoperative AKI: happened after major surgery</w:t>
      </w:r>
      <w:r w:rsidR="006E14FC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; </w:t>
      </w:r>
      <w:r w:rsidR="00EC05F0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H</w:t>
      </w:r>
      <w:r w:rsidR="008960BD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ypovolemia /p</w:t>
      </w:r>
      <w:r w:rsidR="00AB0A1A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rerenal:</w:t>
      </w:r>
      <w:r w:rsidR="00CF4D8A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 </w:t>
      </w:r>
      <w:r w:rsidR="00B52FE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(</w:t>
      </w:r>
      <w:r w:rsidR="00AB0A1A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BUN/Creatinine ratio &gt;20:1</w:t>
      </w:r>
      <w:r w:rsidR="00B52FE3" w:rsidRPr="006F33FA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>)</w:t>
      </w:r>
      <w:r w:rsidR="004458CE">
        <w:rPr>
          <w:rFonts w:asciiTheme="majorBidi" w:eastAsia="SimSun" w:hAnsiTheme="majorBidi" w:cstheme="majorBidi"/>
          <w:snapToGrid w:val="0"/>
          <w:color w:val="000000"/>
          <w:kern w:val="0"/>
          <w:sz w:val="20"/>
          <w:lang w:val="en-US" w:bidi="en-US"/>
          <w14:ligatures w14:val="none"/>
        </w:rPr>
        <w:t xml:space="preserve">. </w:t>
      </w:r>
      <w:r w:rsidR="004458CE" w:rsidRPr="004458CE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val="en-US" w:bidi="en-US"/>
          <w14:ligatures w14:val="none"/>
        </w:rPr>
        <w:t xml:space="preserve">Note: </w:t>
      </w:r>
      <w:r w:rsidR="004458CE" w:rsidRPr="004458CE">
        <w:rPr>
          <w:rFonts w:asciiTheme="majorBidi" w:eastAsia="SimSun" w:hAnsiTheme="majorBidi" w:cstheme="majorBidi"/>
          <w:snapToGrid w:val="0"/>
          <w:color w:val="000000"/>
          <w:kern w:val="0"/>
          <w:sz w:val="20"/>
          <w:highlight w:val="yellow"/>
          <w:lang w:bidi="en-US"/>
          <w14:ligatures w14:val="none"/>
        </w:rPr>
        <w:t>This figure shows the number of cases in which each factor was determined to be the primary cause of AKI, including overall, community-acquired, and hospital-acquired settings.</w:t>
      </w:r>
    </w:p>
    <w:sectPr w:rsidR="002B7F58" w:rsidRPr="003B0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60"/>
    <w:rsid w:val="0003464C"/>
    <w:rsid w:val="00034947"/>
    <w:rsid w:val="00046D2E"/>
    <w:rsid w:val="00096A8C"/>
    <w:rsid w:val="000A4B91"/>
    <w:rsid w:val="000B7E6B"/>
    <w:rsid w:val="0013096A"/>
    <w:rsid w:val="00135DF9"/>
    <w:rsid w:val="001B7182"/>
    <w:rsid w:val="001E7D3B"/>
    <w:rsid w:val="00212C78"/>
    <w:rsid w:val="002162F0"/>
    <w:rsid w:val="00221507"/>
    <w:rsid w:val="002A1337"/>
    <w:rsid w:val="002B7F58"/>
    <w:rsid w:val="002C4084"/>
    <w:rsid w:val="00321C0C"/>
    <w:rsid w:val="00327FE0"/>
    <w:rsid w:val="00370829"/>
    <w:rsid w:val="003B02AE"/>
    <w:rsid w:val="003D203D"/>
    <w:rsid w:val="00404BE1"/>
    <w:rsid w:val="004162DC"/>
    <w:rsid w:val="004458CE"/>
    <w:rsid w:val="004514A4"/>
    <w:rsid w:val="004F4148"/>
    <w:rsid w:val="00506C09"/>
    <w:rsid w:val="00527228"/>
    <w:rsid w:val="005524C1"/>
    <w:rsid w:val="005600D4"/>
    <w:rsid w:val="005C6EA1"/>
    <w:rsid w:val="005E6D92"/>
    <w:rsid w:val="005F756A"/>
    <w:rsid w:val="00600C76"/>
    <w:rsid w:val="00626200"/>
    <w:rsid w:val="006462F4"/>
    <w:rsid w:val="0066141D"/>
    <w:rsid w:val="006E14FC"/>
    <w:rsid w:val="006F33FA"/>
    <w:rsid w:val="006F3958"/>
    <w:rsid w:val="00722DB1"/>
    <w:rsid w:val="00724783"/>
    <w:rsid w:val="0072481D"/>
    <w:rsid w:val="007275F0"/>
    <w:rsid w:val="007400EC"/>
    <w:rsid w:val="0078011F"/>
    <w:rsid w:val="0079499D"/>
    <w:rsid w:val="007B362F"/>
    <w:rsid w:val="007B51DA"/>
    <w:rsid w:val="007D23BC"/>
    <w:rsid w:val="007F1D00"/>
    <w:rsid w:val="00824827"/>
    <w:rsid w:val="00831347"/>
    <w:rsid w:val="00857DC3"/>
    <w:rsid w:val="008960BD"/>
    <w:rsid w:val="008A72BA"/>
    <w:rsid w:val="008C5CE0"/>
    <w:rsid w:val="008F5097"/>
    <w:rsid w:val="0091023F"/>
    <w:rsid w:val="00910DD0"/>
    <w:rsid w:val="00913619"/>
    <w:rsid w:val="00917F6C"/>
    <w:rsid w:val="00976AC9"/>
    <w:rsid w:val="009906E4"/>
    <w:rsid w:val="009B0FC1"/>
    <w:rsid w:val="009B2F94"/>
    <w:rsid w:val="009F1771"/>
    <w:rsid w:val="00A27F4C"/>
    <w:rsid w:val="00A52CE4"/>
    <w:rsid w:val="00AA0A9C"/>
    <w:rsid w:val="00AA126C"/>
    <w:rsid w:val="00AA1904"/>
    <w:rsid w:val="00AB0A1A"/>
    <w:rsid w:val="00B22321"/>
    <w:rsid w:val="00B3516C"/>
    <w:rsid w:val="00B52FE3"/>
    <w:rsid w:val="00B82EB1"/>
    <w:rsid w:val="00B856D3"/>
    <w:rsid w:val="00BB2551"/>
    <w:rsid w:val="00BB30DC"/>
    <w:rsid w:val="00BD1940"/>
    <w:rsid w:val="00BF7B31"/>
    <w:rsid w:val="00C046F2"/>
    <w:rsid w:val="00C24C43"/>
    <w:rsid w:val="00C34A4A"/>
    <w:rsid w:val="00C41B0E"/>
    <w:rsid w:val="00C51D26"/>
    <w:rsid w:val="00C8759D"/>
    <w:rsid w:val="00CC0A4D"/>
    <w:rsid w:val="00CF4D8A"/>
    <w:rsid w:val="00D16B23"/>
    <w:rsid w:val="00D74A12"/>
    <w:rsid w:val="00DD21BC"/>
    <w:rsid w:val="00DE0A97"/>
    <w:rsid w:val="00DE1C27"/>
    <w:rsid w:val="00E436E4"/>
    <w:rsid w:val="00E9157A"/>
    <w:rsid w:val="00EB1E75"/>
    <w:rsid w:val="00EC05F0"/>
    <w:rsid w:val="00ED12E4"/>
    <w:rsid w:val="00ED745F"/>
    <w:rsid w:val="00EF1F6A"/>
    <w:rsid w:val="00EF7A60"/>
    <w:rsid w:val="00F11C77"/>
    <w:rsid w:val="00F310BF"/>
    <w:rsid w:val="00F54F73"/>
    <w:rsid w:val="00FA687D"/>
    <w:rsid w:val="00FE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EF6A"/>
  <w15:chartTrackingRefBased/>
  <w15:docId w15:val="{7D83000A-6195-47BF-B85B-1737D0A8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A60"/>
  </w:style>
  <w:style w:type="paragraph" w:styleId="Heading1">
    <w:name w:val="heading 1"/>
    <w:basedOn w:val="Normal"/>
    <w:next w:val="Normal"/>
    <w:link w:val="Heading1Char"/>
    <w:uiPriority w:val="9"/>
    <w:qFormat/>
    <w:rsid w:val="00EF7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A60"/>
    <w:rPr>
      <w:b/>
      <w:bCs/>
      <w:smallCaps/>
      <w:color w:val="0F4761" w:themeColor="accent1" w:themeShade="BF"/>
      <w:spacing w:val="5"/>
    </w:rPr>
  </w:style>
  <w:style w:type="paragraph" w:customStyle="1" w:styleId="MDPI13authornames">
    <w:name w:val="MDPI_1.3_authornames"/>
    <w:next w:val="Normal"/>
    <w:qFormat/>
    <w:rsid w:val="00EF7A60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table" w:styleId="TableGrid">
    <w:name w:val="Table Grid"/>
    <w:basedOn w:val="TableNormal"/>
    <w:uiPriority w:val="39"/>
    <w:rsid w:val="00BD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1-6311-3721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brar.f.alshehri@gmail.com" TargetMode="External"/><Relationship Id="rId10" Type="http://schemas.openxmlformats.org/officeDocument/2006/relationships/chart" Target="charts/chart3.xml"/><Relationship Id="rId4" Type="http://schemas.openxmlformats.org/officeDocument/2006/relationships/hyperlink" Target="mailto:afashahri@uqu.edu.sa" TargetMode="Externa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Number of overall causes of acute kidney injury </a:t>
            </a:r>
            <a:r>
              <a:rPr lang="en-US" sz="1400" b="0" i="0" u="none" strike="noStrike" baseline="0">
                <a:effectLst/>
              </a:rPr>
              <a:t>in elderly patients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Overall acute kidney injury reasons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7"/>
                <c:pt idx="0">
                  <c:v>Comorbidity</c:v>
                </c:pt>
                <c:pt idx="1">
                  <c:v>Infection</c:v>
                </c:pt>
                <c:pt idx="2">
                  <c:v>Medication</c:v>
                </c:pt>
                <c:pt idx="3">
                  <c:v>Hypovolemia</c:v>
                </c:pt>
                <c:pt idx="4">
                  <c:v>Postoperative</c:v>
                </c:pt>
                <c:pt idx="5">
                  <c:v>Contrast</c:v>
                </c:pt>
                <c:pt idx="6">
                  <c:v>Postrenal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28</c:v>
                </c:pt>
                <c:pt idx="1">
                  <c:v>24</c:v>
                </c:pt>
                <c:pt idx="2">
                  <c:v>18</c:v>
                </c:pt>
                <c:pt idx="3">
                  <c:v>13</c:v>
                </c:pt>
                <c:pt idx="4">
                  <c:v>7</c:v>
                </c:pt>
                <c:pt idx="5">
                  <c:v>4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01-410F-B433-36ECC3B999B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907395039"/>
        <c:axId val="1945837071"/>
      </c:barChart>
      <c:catAx>
        <c:axId val="190739503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45837071"/>
        <c:crosses val="autoZero"/>
        <c:auto val="1"/>
        <c:lblAlgn val="ctr"/>
        <c:lblOffset val="100"/>
        <c:noMultiLvlLbl val="0"/>
      </c:catAx>
      <c:valAx>
        <c:axId val="19458370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073950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  <a:highlight>
                  <a:srgbClr val="FFFF00"/>
                </a:highlight>
              </a:rPr>
              <a:t>Number of causes of community acute kidney injury in elderly patients. </a:t>
            </a:r>
            <a:endParaRPr lang="en-US">
              <a:highlight>
                <a:srgbClr val="FFFF00"/>
              </a:highlight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Overall acute kidney injury reasons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Comorbidity</c:v>
                </c:pt>
                <c:pt idx="1">
                  <c:v>Infection</c:v>
                </c:pt>
                <c:pt idx="2">
                  <c:v>Hypovolemia</c:v>
                </c:pt>
                <c:pt idx="3">
                  <c:v>Medication</c:v>
                </c:pt>
                <c:pt idx="4">
                  <c:v>Postrenal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26</c:v>
                </c:pt>
                <c:pt idx="1">
                  <c:v>17</c:v>
                </c:pt>
                <c:pt idx="2">
                  <c:v>11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59-40E5-BD08-6503479FD60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907395039"/>
        <c:axId val="1945837071"/>
      </c:barChart>
      <c:catAx>
        <c:axId val="190739503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45837071"/>
        <c:crosses val="autoZero"/>
        <c:auto val="1"/>
        <c:lblAlgn val="ctr"/>
        <c:lblOffset val="100"/>
        <c:noMultiLvlLbl val="0"/>
      </c:catAx>
      <c:valAx>
        <c:axId val="19458370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073950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  <a:highlight>
                  <a:srgbClr val="FFFF00"/>
                </a:highlight>
              </a:rPr>
              <a:t>Number of causes of hospital-acquired acute kidney injury in elderly patients</a:t>
            </a:r>
            <a:endParaRPr lang="en-US">
              <a:highlight>
                <a:srgbClr val="FFFF00"/>
              </a:highlight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Overall acute kidney injury reasons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Medication</c:v>
                </c:pt>
                <c:pt idx="1">
                  <c:v>Infection</c:v>
                </c:pt>
                <c:pt idx="2">
                  <c:v>Postoperative</c:v>
                </c:pt>
                <c:pt idx="3">
                  <c:v>Contrast</c:v>
                </c:pt>
                <c:pt idx="4">
                  <c:v>Hypovolemia</c:v>
                </c:pt>
                <c:pt idx="5">
                  <c:v>Comorbidity</c:v>
                </c:pt>
                <c:pt idx="6">
                  <c:v>Postrenal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15</c:v>
                </c:pt>
                <c:pt idx="1">
                  <c:v>7</c:v>
                </c:pt>
                <c:pt idx="2">
                  <c:v>7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D2-4810-9D8A-618C8F49312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907395039"/>
        <c:axId val="1945837071"/>
      </c:barChart>
      <c:catAx>
        <c:axId val="190739503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45837071"/>
        <c:crosses val="autoZero"/>
        <c:auto val="1"/>
        <c:lblAlgn val="ctr"/>
        <c:lblOffset val="100"/>
        <c:noMultiLvlLbl val="0"/>
      </c:catAx>
      <c:valAx>
        <c:axId val="19458370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073950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Abrar Alshehri</dc:creator>
  <cp:keywords/>
  <dc:description/>
  <cp:lastModifiedBy>Abrar Alshehri</cp:lastModifiedBy>
  <cp:revision>92</cp:revision>
  <dcterms:created xsi:type="dcterms:W3CDTF">2025-07-10T11:20:00Z</dcterms:created>
  <dcterms:modified xsi:type="dcterms:W3CDTF">2025-11-20T12:06:00Z</dcterms:modified>
</cp:coreProperties>
</file>