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E97C8" w14:textId="77777777" w:rsidR="0063736A" w:rsidRPr="00AD3E4C" w:rsidRDefault="0063736A" w:rsidP="0063736A">
      <w:pPr>
        <w:rPr>
          <w:rFonts w:ascii="Times New Roman" w:hAnsi="Times New Roman" w:cs="Times New Roman"/>
          <w:b/>
          <w:bCs/>
        </w:rPr>
      </w:pPr>
      <w:r w:rsidRPr="00AD3E4C">
        <w:rPr>
          <w:rFonts w:ascii="Times New Roman" w:hAnsi="Times New Roman" w:cs="Times New Roman"/>
          <w:b/>
          <w:bCs/>
        </w:rPr>
        <w:t>Healthcare-based analogical instruction for conceptual understanding of disaster risk</w:t>
      </w:r>
    </w:p>
    <w:p w14:paraId="5D51C685" w14:textId="77777777" w:rsidR="0063736A" w:rsidRPr="00AD3E4C" w:rsidRDefault="0063736A" w:rsidP="0063736A">
      <w:pPr>
        <w:rPr>
          <w:rFonts w:ascii="Times New Roman" w:hAnsi="Times New Roman" w:cs="Times New Roman"/>
        </w:rPr>
      </w:pPr>
      <w:r w:rsidRPr="00AD3E4C">
        <w:rPr>
          <w:rFonts w:ascii="Times New Roman" w:hAnsi="Times New Roman" w:cs="Times New Roman"/>
        </w:rPr>
        <w:t xml:space="preserve">Journal of Disaster Science and Management </w:t>
      </w:r>
    </w:p>
    <w:p w14:paraId="2539C79E" w14:textId="77777777" w:rsidR="0063736A" w:rsidRPr="00AD3E4C" w:rsidRDefault="0063736A" w:rsidP="0063736A">
      <w:pPr>
        <w:spacing w:line="240" w:lineRule="auto"/>
        <w:jc w:val="both"/>
        <w:rPr>
          <w:rFonts w:ascii="Times New Roman" w:hAnsi="Times New Roman" w:cs="Times New Roman"/>
        </w:rPr>
      </w:pPr>
      <w:r w:rsidRPr="00AD3E4C">
        <w:rPr>
          <w:rFonts w:ascii="Times New Roman" w:hAnsi="Times New Roman" w:cs="Times New Roman"/>
        </w:rPr>
        <w:t xml:space="preserve">Tatul Atalyan </w:t>
      </w:r>
      <w:r w:rsidRPr="00AD3E4C">
        <w:rPr>
          <w:rFonts w:ascii="Times New Roman" w:hAnsi="Times New Roman" w:cs="Times New Roman"/>
          <w:vertAlign w:val="superscript"/>
        </w:rPr>
        <w:t>1</w:t>
      </w:r>
      <w:r w:rsidRPr="00AD3E4C">
        <w:rPr>
          <w:rFonts w:ascii="Times New Roman" w:hAnsi="Times New Roman" w:cs="Times New Roman"/>
        </w:rPr>
        <w:t xml:space="preserve"> and Netra Prakash Bhandary</w:t>
      </w:r>
      <w:r w:rsidRPr="00AD3E4C">
        <w:rPr>
          <w:rFonts w:ascii="Times New Roman" w:hAnsi="Times New Roman" w:cs="Times New Roman"/>
          <w:vertAlign w:val="superscript"/>
        </w:rPr>
        <w:t xml:space="preserve"> 2</w:t>
      </w:r>
      <w:r w:rsidRPr="00AD3E4C">
        <w:rPr>
          <w:rFonts w:ascii="Times New Roman" w:hAnsi="Times New Roman" w:cs="Times New Roman"/>
        </w:rPr>
        <w:t>*</w:t>
      </w:r>
    </w:p>
    <w:p w14:paraId="34ABB012" w14:textId="77777777" w:rsidR="0063736A" w:rsidRPr="00AD3E4C" w:rsidRDefault="0063736A" w:rsidP="0063736A">
      <w:pPr>
        <w:spacing w:line="240" w:lineRule="auto"/>
        <w:jc w:val="both"/>
        <w:rPr>
          <w:rFonts w:ascii="Times New Roman" w:hAnsi="Times New Roman" w:cs="Times New Roman"/>
        </w:rPr>
      </w:pPr>
      <w:r w:rsidRPr="00AD3E4C">
        <w:rPr>
          <w:rFonts w:ascii="Times New Roman" w:hAnsi="Times New Roman" w:cs="Times New Roman"/>
          <w:vertAlign w:val="superscript"/>
        </w:rPr>
        <w:t xml:space="preserve">1, 2 </w:t>
      </w:r>
      <w:r w:rsidRPr="00AD3E4C">
        <w:rPr>
          <w:rFonts w:ascii="Times New Roman" w:hAnsi="Times New Roman" w:cs="Times New Roman"/>
        </w:rPr>
        <w:t>Graduate School of Science and Engineering, Ehime University, 3 Bunkyo-cho, Matsuyama, Ehime 790-8577, Japan</w:t>
      </w:r>
    </w:p>
    <w:p w14:paraId="398E7ACE" w14:textId="77777777" w:rsidR="0063736A" w:rsidRPr="00AD3E4C" w:rsidRDefault="0063736A" w:rsidP="0063736A">
      <w:pPr>
        <w:spacing w:line="240" w:lineRule="auto"/>
        <w:jc w:val="both"/>
        <w:rPr>
          <w:rFonts w:ascii="Times New Roman" w:hAnsi="Times New Roman" w:cs="Times New Roman"/>
        </w:rPr>
      </w:pPr>
      <w:r w:rsidRPr="00AD3E4C">
        <w:rPr>
          <w:rFonts w:ascii="Times New Roman" w:hAnsi="Times New Roman" w:cs="Times New Roman"/>
          <w:vertAlign w:val="superscript"/>
        </w:rPr>
        <w:t xml:space="preserve">1 </w:t>
      </w:r>
      <w:r w:rsidRPr="00AD3E4C">
        <w:rPr>
          <w:rFonts w:ascii="Times New Roman" w:hAnsi="Times New Roman" w:cs="Times New Roman"/>
        </w:rPr>
        <w:t>Email: tatulatalyan@gmail.com</w:t>
      </w:r>
    </w:p>
    <w:p w14:paraId="2A0A09A1" w14:textId="77777777" w:rsidR="0063736A" w:rsidRPr="00AD3E4C" w:rsidRDefault="0063736A" w:rsidP="0063736A">
      <w:pPr>
        <w:spacing w:line="240" w:lineRule="auto"/>
        <w:jc w:val="both"/>
        <w:rPr>
          <w:rFonts w:ascii="Times New Roman" w:hAnsi="Times New Roman" w:cs="Times New Roman"/>
        </w:rPr>
      </w:pPr>
      <w:r w:rsidRPr="00AD3E4C">
        <w:rPr>
          <w:rFonts w:ascii="Times New Roman" w:hAnsi="Times New Roman" w:cs="Times New Roman"/>
          <w:vertAlign w:val="superscript"/>
        </w:rPr>
        <w:t xml:space="preserve">2 </w:t>
      </w:r>
      <w:r w:rsidRPr="00AD3E4C">
        <w:rPr>
          <w:rFonts w:ascii="Times New Roman" w:hAnsi="Times New Roman" w:cs="Times New Roman"/>
        </w:rPr>
        <w:t xml:space="preserve">Email: </w:t>
      </w:r>
      <w:hyperlink r:id="rId7" w:history="1">
        <w:r w:rsidRPr="00AD3E4C">
          <w:rPr>
            <w:rStyle w:val="ae"/>
            <w:rFonts w:ascii="Times New Roman" w:hAnsi="Times New Roman" w:cs="Times New Roman"/>
          </w:rPr>
          <w:t>netra@ehime-u.ac.jp</w:t>
        </w:r>
      </w:hyperlink>
    </w:p>
    <w:p w14:paraId="5E202254" w14:textId="77777777" w:rsidR="0063736A" w:rsidRPr="00AD3E4C" w:rsidRDefault="0063736A" w:rsidP="0063736A">
      <w:pPr>
        <w:rPr>
          <w:rFonts w:ascii="Times New Roman" w:hAnsi="Times New Roman" w:cs="Times New Roman"/>
        </w:rPr>
      </w:pPr>
      <w:r w:rsidRPr="00AD3E4C">
        <w:rPr>
          <w:rFonts w:ascii="Times New Roman" w:hAnsi="Times New Roman" w:cs="Times New Roman"/>
        </w:rPr>
        <w:t>*Correspondence: netra@ehime-u.ac.jp</w:t>
      </w:r>
    </w:p>
    <w:p w14:paraId="0FF8C231" w14:textId="77777777" w:rsidR="0063736A" w:rsidRPr="00AD3E4C" w:rsidRDefault="0063736A" w:rsidP="002E73CA">
      <w:pPr>
        <w:jc w:val="both"/>
        <w:rPr>
          <w:rFonts w:ascii="Times New Roman" w:hAnsi="Times New Roman" w:cs="Times New Roman"/>
          <w:b/>
          <w:bCs/>
        </w:rPr>
      </w:pPr>
    </w:p>
    <w:p w14:paraId="7CAF10D8" w14:textId="1645BA6A" w:rsidR="00A759F5" w:rsidRPr="00AD3E4C" w:rsidRDefault="00743DCC" w:rsidP="002E73CA">
      <w:pPr>
        <w:jc w:val="both"/>
        <w:rPr>
          <w:rFonts w:ascii="Times New Roman" w:hAnsi="Times New Roman" w:cs="Times New Roman"/>
          <w:b/>
          <w:bCs/>
        </w:rPr>
      </w:pPr>
      <w:r w:rsidRPr="00743DCC">
        <w:rPr>
          <w:rFonts w:ascii="Times New Roman" w:hAnsi="Times New Roman" w:cs="Times New Roman"/>
          <w:b/>
          <w:bCs/>
        </w:rPr>
        <w:t>Lesson Content Summaries and Instructional Conditions</w:t>
      </w:r>
    </w:p>
    <w:p w14:paraId="4CA47A5B" w14:textId="514A9B46" w:rsidR="0050574D" w:rsidRPr="00AD3E4C" w:rsidRDefault="0050574D" w:rsidP="0050574D">
      <w:pPr>
        <w:pStyle w:val="1"/>
        <w:numPr>
          <w:ilvl w:val="0"/>
          <w:numId w:val="2"/>
        </w:numPr>
        <w:ind w:left="357" w:hanging="357"/>
        <w:rPr>
          <w:rFonts w:ascii="Times New Roman" w:hAnsi="Times New Roman" w:cs="Times New Roman"/>
          <w:b/>
          <w:bCs/>
          <w:color w:val="auto"/>
          <w:sz w:val="24"/>
          <w:szCs w:val="24"/>
        </w:rPr>
      </w:pPr>
      <w:r w:rsidRPr="00AD3E4C">
        <w:rPr>
          <w:rFonts w:ascii="Times New Roman" w:hAnsi="Times New Roman" w:cs="Times New Roman"/>
          <w:b/>
          <w:bCs/>
          <w:color w:val="auto"/>
          <w:sz w:val="24"/>
          <w:szCs w:val="24"/>
        </w:rPr>
        <w:t>Lesson content</w:t>
      </w:r>
    </w:p>
    <w:p w14:paraId="7D02F99B" w14:textId="7F139019" w:rsidR="00C923A3" w:rsidRPr="00AD3E4C" w:rsidRDefault="00C923A3" w:rsidP="0050574D">
      <w:pPr>
        <w:pStyle w:val="2"/>
        <w:numPr>
          <w:ilvl w:val="1"/>
          <w:numId w:val="2"/>
        </w:numPr>
        <w:ind w:left="720"/>
        <w:rPr>
          <w:rFonts w:ascii="Times New Roman" w:hAnsi="Times New Roman" w:cs="Times New Roman"/>
          <w:b/>
          <w:bCs/>
          <w:color w:val="auto"/>
          <w:sz w:val="24"/>
          <w:szCs w:val="24"/>
        </w:rPr>
      </w:pPr>
      <w:r w:rsidRPr="00AD3E4C">
        <w:rPr>
          <w:rFonts w:ascii="Times New Roman" w:hAnsi="Times New Roman" w:cs="Times New Roman"/>
          <w:b/>
          <w:bCs/>
          <w:color w:val="auto"/>
          <w:sz w:val="24"/>
          <w:szCs w:val="24"/>
        </w:rPr>
        <w:t>Lesson 1: Disaster Risk and Hazard</w:t>
      </w:r>
    </w:p>
    <w:p w14:paraId="465C0038" w14:textId="64163FF7" w:rsidR="00437B65" w:rsidRPr="00AD3E4C" w:rsidRDefault="00437B65" w:rsidP="002E73CA">
      <w:pPr>
        <w:jc w:val="both"/>
        <w:rPr>
          <w:rFonts w:ascii="Times New Roman" w:hAnsi="Times New Roman" w:cs="Times New Roman"/>
        </w:rPr>
      </w:pPr>
      <w:r w:rsidRPr="00AD3E4C">
        <w:rPr>
          <w:rFonts w:ascii="Times New Roman" w:hAnsi="Times New Roman" w:cs="Times New Roman"/>
        </w:rPr>
        <w:t xml:space="preserve">This lesson introduced disaster risk as the interaction of hazard, exposure, and vulnerability. It emphasized that hazards alone do not produce disasters unless they affect exposed and vulnerable people, assets, or systems. The lesson began with the definition of disaster risk and the explanation that there is no such thing as a “natural disaster,” </w:t>
      </w:r>
      <w:r w:rsidR="001F552D" w:rsidRPr="00AD3E4C">
        <w:rPr>
          <w:rFonts w:ascii="Times New Roman" w:hAnsi="Times New Roman" w:cs="Times New Roman"/>
        </w:rPr>
        <w:t>since disasters result from the interaction between hazards and conditions of exposure and vulnerability.</w:t>
      </w:r>
    </w:p>
    <w:p w14:paraId="52813C62" w14:textId="47A3E194" w:rsidR="00437B65" w:rsidRPr="00AD3E4C" w:rsidRDefault="00361E27" w:rsidP="002E73CA">
      <w:pPr>
        <w:jc w:val="both"/>
        <w:rPr>
          <w:rFonts w:ascii="Times New Roman" w:hAnsi="Times New Roman" w:cs="Times New Roman"/>
        </w:rPr>
      </w:pPr>
      <w:r w:rsidRPr="00AD3E4C">
        <w:rPr>
          <w:rFonts w:ascii="Times New Roman" w:hAnsi="Times New Roman" w:cs="Times New Roman"/>
        </w:rPr>
        <w:t xml:space="preserve">The lesson then introduced the components of disaster risk, presenting hazard, exposure, and vulnerability as the core interacting elements of the disaster risk. Hazard was introduced as a potentially harmful event or process, while exposure and vulnerability were introduced conceptually as conditions shaping disaster risk. The disaster risk equation (Disaster Risk = Hazard × Exposure × Vulnerability) </w:t>
      </w:r>
      <w:r w:rsidR="007F5899" w:rsidRPr="00AD3E4C">
        <w:rPr>
          <w:rFonts w:ascii="Times New Roman" w:hAnsi="Times New Roman" w:cs="Times New Roman"/>
        </w:rPr>
        <w:t>was presented as a conceptual framework to illustrate that disaster risk emerges from the interaction of these components.</w:t>
      </w:r>
    </w:p>
    <w:p w14:paraId="42F665DA" w14:textId="77777777" w:rsidR="00437B65" w:rsidRPr="00AD3E4C" w:rsidRDefault="00437B65" w:rsidP="002E73CA">
      <w:pPr>
        <w:jc w:val="both"/>
        <w:rPr>
          <w:rFonts w:ascii="Times New Roman" w:hAnsi="Times New Roman" w:cs="Times New Roman"/>
        </w:rPr>
      </w:pPr>
      <w:r w:rsidRPr="00AD3E4C">
        <w:rPr>
          <w:rFonts w:ascii="Times New Roman" w:hAnsi="Times New Roman" w:cs="Times New Roman"/>
        </w:rPr>
        <w:t>The lesson also discussed key characteristics of disaster risk, including its forward-looking nature, dynamic character, uneven distribution, and emergent complexity. It explained why disaster risk matters for development, governance, and inequality, and introduced approaches to identifying and assessing disaster risk, including the use of historical data, scenario-based analysis, and risk modeling.</w:t>
      </w:r>
    </w:p>
    <w:p w14:paraId="01AE2568" w14:textId="77777777" w:rsidR="00437B65" w:rsidRPr="00AD3E4C" w:rsidRDefault="00437B65" w:rsidP="002E73CA">
      <w:pPr>
        <w:jc w:val="both"/>
        <w:rPr>
          <w:rFonts w:ascii="Times New Roman" w:hAnsi="Times New Roman" w:cs="Times New Roman"/>
        </w:rPr>
      </w:pPr>
      <w:r w:rsidRPr="00AD3E4C">
        <w:rPr>
          <w:rFonts w:ascii="Times New Roman" w:hAnsi="Times New Roman" w:cs="Times New Roman"/>
        </w:rPr>
        <w:t>The second part of the lesson focused on hazard. Hazard was defined as a process, phenomenon, or human activity with the potential to cause harm. The lesson distinguished between a natural event, a hazard, and a disaster, and explained that a hazardous event becomes a disaster only when it affects exposed and vulnerable elements.</w:t>
      </w:r>
    </w:p>
    <w:p w14:paraId="10DDA5A8" w14:textId="77777777" w:rsidR="00437B65" w:rsidRPr="00AD3E4C" w:rsidRDefault="00437B65" w:rsidP="002E73CA">
      <w:pPr>
        <w:jc w:val="both"/>
        <w:rPr>
          <w:rFonts w:ascii="Times New Roman" w:hAnsi="Times New Roman" w:cs="Times New Roman"/>
        </w:rPr>
      </w:pPr>
      <w:r w:rsidRPr="00AD3E4C">
        <w:rPr>
          <w:rFonts w:ascii="Times New Roman" w:hAnsi="Times New Roman" w:cs="Times New Roman"/>
        </w:rPr>
        <w:lastRenderedPageBreak/>
        <w:t xml:space="preserve">Hazards were classified according to their origin, including natural, anthropogenic, and socio-natural hazards, and were further grouped into major categories such as geological, hydrometeorological, biological, and technological hazards. The lesson also highlighted that hazards </w:t>
      </w:r>
      <w:proofErr w:type="gramStart"/>
      <w:r w:rsidRPr="00AD3E4C">
        <w:rPr>
          <w:rFonts w:ascii="Times New Roman" w:hAnsi="Times New Roman" w:cs="Times New Roman"/>
        </w:rPr>
        <w:t>can</w:t>
      </w:r>
      <w:proofErr w:type="gramEnd"/>
      <w:r w:rsidRPr="00AD3E4C">
        <w:rPr>
          <w:rFonts w:ascii="Times New Roman" w:hAnsi="Times New Roman" w:cs="Times New Roman"/>
        </w:rPr>
        <w:t xml:space="preserve"> interact through cascading processes, such as heavy rainfall leading to flooding.</w:t>
      </w:r>
    </w:p>
    <w:p w14:paraId="2228CB38" w14:textId="2DD5F467" w:rsidR="00437B65" w:rsidRPr="00AD3E4C" w:rsidRDefault="00437B65" w:rsidP="002E73CA">
      <w:pPr>
        <w:jc w:val="both"/>
        <w:rPr>
          <w:rFonts w:ascii="Times New Roman" w:hAnsi="Times New Roman" w:cs="Times New Roman"/>
        </w:rPr>
      </w:pPr>
      <w:r w:rsidRPr="00AD3E4C">
        <w:rPr>
          <w:rFonts w:ascii="Times New Roman" w:hAnsi="Times New Roman" w:cs="Times New Roman"/>
        </w:rPr>
        <w:t>Finally, the lesson introduced major hazard characteristics, including magnitude, intensity, speed of onset, duration, spatial extent, frequency or probability.</w:t>
      </w:r>
    </w:p>
    <w:p w14:paraId="6A291662" w14:textId="1EA48A3C" w:rsidR="00916849" w:rsidRPr="00AD3E4C" w:rsidRDefault="00916849" w:rsidP="002E73CA">
      <w:pPr>
        <w:jc w:val="both"/>
        <w:rPr>
          <w:rFonts w:ascii="Times New Roman" w:hAnsi="Times New Roman" w:cs="Times New Roman"/>
        </w:rPr>
      </w:pPr>
    </w:p>
    <w:p w14:paraId="454CA6C3" w14:textId="3C5494A1" w:rsidR="00916849" w:rsidRPr="00AD3E4C" w:rsidRDefault="00916849" w:rsidP="0050574D">
      <w:pPr>
        <w:pStyle w:val="1"/>
        <w:numPr>
          <w:ilvl w:val="1"/>
          <w:numId w:val="2"/>
        </w:numPr>
        <w:ind w:left="720"/>
        <w:rPr>
          <w:rFonts w:ascii="Times New Roman" w:hAnsi="Times New Roman" w:cs="Times New Roman"/>
          <w:b/>
          <w:bCs/>
          <w:color w:val="auto"/>
          <w:sz w:val="24"/>
          <w:szCs w:val="24"/>
        </w:rPr>
      </w:pPr>
      <w:r w:rsidRPr="00AD3E4C">
        <w:rPr>
          <w:rFonts w:ascii="Times New Roman" w:hAnsi="Times New Roman" w:cs="Times New Roman"/>
          <w:b/>
          <w:bCs/>
          <w:color w:val="auto"/>
          <w:sz w:val="24"/>
          <w:szCs w:val="24"/>
        </w:rPr>
        <w:t>Lesson 2: Exposure and Vulnerability</w:t>
      </w:r>
    </w:p>
    <w:p w14:paraId="2D53205F" w14:textId="77777777" w:rsidR="0025445D" w:rsidRPr="00AD3E4C" w:rsidRDefault="0025445D" w:rsidP="002E73CA">
      <w:pPr>
        <w:jc w:val="both"/>
        <w:rPr>
          <w:rFonts w:ascii="Times New Roman" w:hAnsi="Times New Roman" w:cs="Times New Roman"/>
        </w:rPr>
      </w:pPr>
      <w:r w:rsidRPr="00AD3E4C">
        <w:rPr>
          <w:rFonts w:ascii="Times New Roman" w:hAnsi="Times New Roman" w:cs="Times New Roman"/>
        </w:rPr>
        <w:t>This lesson introduced exposure as the presence of people, infrastructure, housing, production capacities, and other assets in hazard-prone areas. It emphasized that exposure identifies who and what are in harm’s way, regardless of their level of vulnerability. The lesson explained that exposure is dynamic, changing over time as populations grow, people migrate, cities expand, and assets become concentrated in hazardous locations.</w:t>
      </w:r>
    </w:p>
    <w:p w14:paraId="690DB5F9" w14:textId="0C2C6F52" w:rsidR="0025445D" w:rsidRPr="00AD3E4C" w:rsidRDefault="00D32A1A" w:rsidP="002E73CA">
      <w:pPr>
        <w:jc w:val="both"/>
        <w:rPr>
          <w:rFonts w:ascii="Times New Roman" w:hAnsi="Times New Roman" w:cs="Times New Roman"/>
        </w:rPr>
      </w:pPr>
      <w:r w:rsidRPr="00AD3E4C">
        <w:rPr>
          <w:rFonts w:ascii="Times New Roman" w:hAnsi="Times New Roman" w:cs="Times New Roman"/>
        </w:rPr>
        <w:t>Major drivers of exposure were then presented, including population growth and migration, urbanization, economic development, displacement, and concentration of assets. The lesson also discussed key strategies for reducing exposure, such as land-use planning, planned relocation, and risk-informed settlement and development decisions.</w:t>
      </w:r>
    </w:p>
    <w:p w14:paraId="4E0B0D03" w14:textId="77777777" w:rsidR="0025445D" w:rsidRPr="00AD3E4C" w:rsidRDefault="0025445D" w:rsidP="002E73CA">
      <w:pPr>
        <w:jc w:val="both"/>
        <w:rPr>
          <w:rFonts w:ascii="Times New Roman" w:hAnsi="Times New Roman" w:cs="Times New Roman"/>
        </w:rPr>
      </w:pPr>
      <w:r w:rsidRPr="00AD3E4C">
        <w:rPr>
          <w:rFonts w:ascii="Times New Roman" w:hAnsi="Times New Roman" w:cs="Times New Roman"/>
        </w:rPr>
        <w:t>The second part of the lesson focused on vulnerability. Vulnerability was defined as the characteristics and conditions that increase the susceptibility of individuals, communities, assets, or systems to harm. The lesson clearly distinguished vulnerability from exposure, explaining that exposure refers only to being located in harm’s way, whereas vulnerability refers to how severely harm may be experienced under the same hazardous conditions.</w:t>
      </w:r>
    </w:p>
    <w:p w14:paraId="18FF1A16" w14:textId="77777777" w:rsidR="0025445D" w:rsidRPr="00AD3E4C" w:rsidRDefault="0025445D" w:rsidP="002E73CA">
      <w:pPr>
        <w:jc w:val="both"/>
        <w:rPr>
          <w:rFonts w:ascii="Times New Roman" w:hAnsi="Times New Roman" w:cs="Times New Roman"/>
        </w:rPr>
      </w:pPr>
      <w:r w:rsidRPr="00AD3E4C">
        <w:rPr>
          <w:rFonts w:ascii="Times New Roman" w:hAnsi="Times New Roman" w:cs="Times New Roman"/>
        </w:rPr>
        <w:t xml:space="preserve">The lesson explained that vulnerability is multi-dimensional and includes physical, social, economic, and environmental factors, which often interact and reinforce one another. Physical vulnerability included issues such as weak housing and fragile infrastructure. Social vulnerability included poverty, inequality, marginalization, disability, age, and limited access to information or services. Economic vulnerability included insecure livelihoods, lack of savings, dependence on fragile employment, and limited recovery capacity. Environmental vulnerability </w:t>
      </w:r>
      <w:proofErr w:type="gramStart"/>
      <w:r w:rsidRPr="00AD3E4C">
        <w:rPr>
          <w:rFonts w:ascii="Times New Roman" w:hAnsi="Times New Roman" w:cs="Times New Roman"/>
        </w:rPr>
        <w:t>included</w:t>
      </w:r>
      <w:proofErr w:type="gramEnd"/>
      <w:r w:rsidRPr="00AD3E4C">
        <w:rPr>
          <w:rFonts w:ascii="Times New Roman" w:hAnsi="Times New Roman" w:cs="Times New Roman"/>
        </w:rPr>
        <w:t xml:space="preserve"> ecosystem degradation, deforestation, erosion, and other processes that reduce natural protection.</w:t>
      </w:r>
    </w:p>
    <w:p w14:paraId="0D988A59" w14:textId="3B66441B" w:rsidR="0025445D" w:rsidRPr="00AD3E4C" w:rsidRDefault="0025445D" w:rsidP="002E73CA">
      <w:pPr>
        <w:jc w:val="both"/>
        <w:rPr>
          <w:rFonts w:ascii="Times New Roman" w:hAnsi="Times New Roman" w:cs="Times New Roman"/>
        </w:rPr>
      </w:pPr>
      <w:r w:rsidRPr="00AD3E4C">
        <w:rPr>
          <w:rFonts w:ascii="Times New Roman" w:hAnsi="Times New Roman" w:cs="Times New Roman"/>
        </w:rPr>
        <w:t>The lesson also emphasized that vulnerability is dynamic, changing over time as living conditions, governance, services, and environmental conditions improve or deteriorate. It then explained why vulnerability matters, particularly in shaping the severity of disaster impacts, unequal recovery, cumulative losses, and self-reinforcing cycles of risk. Finally, the lesson discussed approaches for reducing vulnerability, including safer construction, social protection, livelihood diversification, awareness raising, stronger governance, and the integration of local knowledge</w:t>
      </w:r>
      <w:r w:rsidR="00804A83" w:rsidRPr="00AD3E4C">
        <w:rPr>
          <w:rFonts w:ascii="Times New Roman" w:hAnsi="Times New Roman" w:cs="Times New Roman"/>
        </w:rPr>
        <w:t>.</w:t>
      </w:r>
    </w:p>
    <w:p w14:paraId="2463772D" w14:textId="6C8CA753" w:rsidR="0050574D" w:rsidRPr="00AD3E4C" w:rsidRDefault="00FB71F5" w:rsidP="00FB71F5">
      <w:pPr>
        <w:pStyle w:val="1"/>
        <w:numPr>
          <w:ilvl w:val="0"/>
          <w:numId w:val="2"/>
        </w:numPr>
        <w:ind w:left="357" w:hanging="357"/>
        <w:rPr>
          <w:rFonts w:ascii="Times New Roman" w:hAnsi="Times New Roman" w:cs="Times New Roman"/>
          <w:b/>
          <w:bCs/>
          <w:color w:val="auto"/>
          <w:sz w:val="24"/>
          <w:szCs w:val="24"/>
        </w:rPr>
      </w:pPr>
      <w:r w:rsidRPr="00AD3E4C">
        <w:rPr>
          <w:rFonts w:ascii="Times New Roman" w:hAnsi="Times New Roman" w:cs="Times New Roman"/>
          <w:b/>
          <w:bCs/>
          <w:color w:val="auto"/>
          <w:sz w:val="24"/>
          <w:szCs w:val="24"/>
        </w:rPr>
        <w:lastRenderedPageBreak/>
        <w:t>Instructional Conditions</w:t>
      </w:r>
    </w:p>
    <w:p w14:paraId="3B662A02" w14:textId="494E84F9" w:rsidR="00BE1DE8" w:rsidRPr="00AD3E4C" w:rsidRDefault="00C74844" w:rsidP="00C74844">
      <w:pPr>
        <w:jc w:val="both"/>
        <w:rPr>
          <w:rFonts w:ascii="Times New Roman" w:hAnsi="Times New Roman" w:cs="Times New Roman"/>
        </w:rPr>
      </w:pPr>
      <w:r w:rsidRPr="00AD3E4C">
        <w:rPr>
          <w:rFonts w:ascii="Times New Roman" w:hAnsi="Times New Roman" w:cs="Times New Roman"/>
        </w:rPr>
        <w:t>Across both instructional conditions, the same lesson topics, learning objectives, instructional sequence, and duration were maintained. The conditions differed only in the use or non-use of a healthcare analogy as an instructional scaffold.</w:t>
      </w:r>
    </w:p>
    <w:p w14:paraId="19E9D27D" w14:textId="5A5F5C5A" w:rsidR="00D1650C" w:rsidRPr="00AD3E4C" w:rsidRDefault="00D1650C" w:rsidP="00D1650C">
      <w:pPr>
        <w:pStyle w:val="2"/>
        <w:rPr>
          <w:rFonts w:ascii="Times New Roman" w:hAnsi="Times New Roman" w:cs="Times New Roman"/>
          <w:b/>
          <w:bCs/>
          <w:color w:val="auto"/>
          <w:sz w:val="24"/>
          <w:szCs w:val="24"/>
        </w:rPr>
      </w:pPr>
      <w:r w:rsidRPr="00AD3E4C">
        <w:rPr>
          <w:rFonts w:ascii="Times New Roman" w:hAnsi="Times New Roman" w:cs="Times New Roman"/>
          <w:b/>
          <w:bCs/>
          <w:color w:val="auto"/>
          <w:sz w:val="24"/>
          <w:szCs w:val="24"/>
        </w:rPr>
        <w:t>2.</w:t>
      </w:r>
      <w:r w:rsidR="00C74844" w:rsidRPr="00AD3E4C">
        <w:rPr>
          <w:rFonts w:ascii="Times New Roman" w:hAnsi="Times New Roman" w:cs="Times New Roman"/>
          <w:b/>
          <w:bCs/>
          <w:color w:val="auto"/>
          <w:sz w:val="24"/>
          <w:szCs w:val="24"/>
        </w:rPr>
        <w:t>1</w:t>
      </w:r>
      <w:r w:rsidRPr="00AD3E4C">
        <w:rPr>
          <w:rFonts w:ascii="Times New Roman" w:hAnsi="Times New Roman" w:cs="Times New Roman"/>
          <w:b/>
          <w:bCs/>
          <w:color w:val="auto"/>
          <w:sz w:val="24"/>
          <w:szCs w:val="24"/>
        </w:rPr>
        <w:t xml:space="preserve"> Traditional instruction condition</w:t>
      </w:r>
      <w:r w:rsidR="00C74844" w:rsidRPr="00AD3E4C">
        <w:rPr>
          <w:rFonts w:ascii="Times New Roman" w:hAnsi="Times New Roman" w:cs="Times New Roman"/>
          <w:b/>
          <w:bCs/>
          <w:color w:val="auto"/>
          <w:sz w:val="24"/>
          <w:szCs w:val="24"/>
        </w:rPr>
        <w:t xml:space="preserve"> </w:t>
      </w:r>
    </w:p>
    <w:p w14:paraId="28C147BC" w14:textId="671E76A8" w:rsidR="00D1650C" w:rsidRPr="00AD3E4C" w:rsidRDefault="00BE1DE8" w:rsidP="002E73CA">
      <w:pPr>
        <w:jc w:val="both"/>
        <w:rPr>
          <w:rFonts w:ascii="Times New Roman" w:hAnsi="Times New Roman" w:cs="Times New Roman"/>
        </w:rPr>
      </w:pPr>
      <w:r w:rsidRPr="00AD3E4C">
        <w:rPr>
          <w:rFonts w:ascii="Times New Roman" w:hAnsi="Times New Roman" w:cs="Times New Roman"/>
        </w:rPr>
        <w:t>The traditional condition presented all concepts using standard disaster risk reduction terminology, definitions, and examples. Instruction followed the same lesson structure and instructor-led, slide-based format as the analogy-based condition, but without the use of any cross-domain analogy.</w:t>
      </w:r>
    </w:p>
    <w:p w14:paraId="14A914B5" w14:textId="3251DCAF" w:rsidR="00C74844" w:rsidRPr="00AD3E4C" w:rsidRDefault="00C74844" w:rsidP="00C74844">
      <w:pPr>
        <w:pStyle w:val="2"/>
        <w:rPr>
          <w:rFonts w:ascii="Times New Roman" w:hAnsi="Times New Roman" w:cs="Times New Roman"/>
          <w:b/>
          <w:bCs/>
          <w:color w:val="auto"/>
          <w:sz w:val="24"/>
          <w:szCs w:val="24"/>
        </w:rPr>
      </w:pPr>
      <w:r w:rsidRPr="00AD3E4C">
        <w:rPr>
          <w:rFonts w:ascii="Times New Roman" w:hAnsi="Times New Roman" w:cs="Times New Roman"/>
          <w:b/>
          <w:bCs/>
          <w:color w:val="auto"/>
          <w:sz w:val="24"/>
          <w:szCs w:val="24"/>
        </w:rPr>
        <w:t>2.2 Analogy-based instruction condition</w:t>
      </w:r>
    </w:p>
    <w:p w14:paraId="358C18F4" w14:textId="77777777" w:rsidR="00C74844" w:rsidRPr="00AD3E4C" w:rsidRDefault="00C74844" w:rsidP="00C74844">
      <w:pPr>
        <w:jc w:val="both"/>
        <w:rPr>
          <w:rFonts w:ascii="Times New Roman" w:hAnsi="Times New Roman" w:cs="Times New Roman"/>
        </w:rPr>
      </w:pPr>
      <w:r w:rsidRPr="00AD3E4C">
        <w:rPr>
          <w:rFonts w:ascii="Times New Roman" w:hAnsi="Times New Roman" w:cs="Times New Roman"/>
        </w:rPr>
        <w:t>The analogy-based condition presented the same concepts, learning objectives, lesson structure, instructional sequence, and duration as the traditional condition. Instruction was delivered through instructor-led explanation using standard definitions, examples, and a slide-based presentation, but additionally incorporated a healthcare analogy as an instructional scaffold to support structural mapping.</w:t>
      </w:r>
      <w:r w:rsidRPr="00AD3E4C">
        <w:rPr>
          <w:rFonts w:ascii="Times New Roman" w:hAnsi="Times New Roman" w:cs="Times New Roman"/>
        </w:rPr>
        <w:br/>
        <w:t>In this analogy, hazard was compared to the presence of a virus, exposure to contact with the virus or an infected environment, and vulnerability to individual susceptibility shaped by factors such as immunity and health condition. The analogy was used selectively to clarify that risk in both domains arises from the interaction of multiple conditions rather than from a single factor alone.</w:t>
      </w:r>
    </w:p>
    <w:p w14:paraId="45DB896A" w14:textId="77777777" w:rsidR="0069733B" w:rsidRPr="00AD3E4C" w:rsidRDefault="0069733B" w:rsidP="002E73CA">
      <w:pPr>
        <w:jc w:val="both"/>
        <w:rPr>
          <w:rFonts w:ascii="Times New Roman" w:hAnsi="Times New Roman" w:cs="Times New Roman"/>
        </w:rPr>
      </w:pPr>
    </w:p>
    <w:sectPr w:rsidR="0069733B" w:rsidRPr="00AD3E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35060" w14:textId="77777777" w:rsidR="00F914EC" w:rsidRDefault="00F914EC" w:rsidP="00916849">
      <w:pPr>
        <w:spacing w:after="0" w:line="240" w:lineRule="auto"/>
      </w:pPr>
      <w:r>
        <w:separator/>
      </w:r>
    </w:p>
  </w:endnote>
  <w:endnote w:type="continuationSeparator" w:id="0">
    <w:p w14:paraId="345DEBCC" w14:textId="77777777" w:rsidR="00F914EC" w:rsidRDefault="00F914EC" w:rsidP="00916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Mangal">
    <w:panose1 w:val="02040503050203030202"/>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3FA0D" w14:textId="77777777" w:rsidR="00F914EC" w:rsidRDefault="00F914EC" w:rsidP="00916849">
      <w:pPr>
        <w:spacing w:after="0" w:line="240" w:lineRule="auto"/>
      </w:pPr>
      <w:r>
        <w:separator/>
      </w:r>
    </w:p>
  </w:footnote>
  <w:footnote w:type="continuationSeparator" w:id="0">
    <w:p w14:paraId="3645645B" w14:textId="77777777" w:rsidR="00F914EC" w:rsidRDefault="00F914EC" w:rsidP="009168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5F3C"/>
    <w:multiLevelType w:val="multilevel"/>
    <w:tmpl w:val="137246D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317D5867"/>
    <w:multiLevelType w:val="hybridMultilevel"/>
    <w:tmpl w:val="627ED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9342405">
    <w:abstractNumId w:val="1"/>
  </w:num>
  <w:num w:numId="2" w16cid:durableId="1155410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35B12"/>
    <w:rsid w:val="00016FB9"/>
    <w:rsid w:val="00032115"/>
    <w:rsid w:val="000B427D"/>
    <w:rsid w:val="000E3705"/>
    <w:rsid w:val="000F0A80"/>
    <w:rsid w:val="00145384"/>
    <w:rsid w:val="00191C1B"/>
    <w:rsid w:val="001B2E9D"/>
    <w:rsid w:val="001F463B"/>
    <w:rsid w:val="001F552D"/>
    <w:rsid w:val="0025445D"/>
    <w:rsid w:val="002548B2"/>
    <w:rsid w:val="00281DEA"/>
    <w:rsid w:val="00293B46"/>
    <w:rsid w:val="002A6B95"/>
    <w:rsid w:val="002E73CA"/>
    <w:rsid w:val="002F7337"/>
    <w:rsid w:val="00327BDE"/>
    <w:rsid w:val="00335B12"/>
    <w:rsid w:val="00342B0A"/>
    <w:rsid w:val="00361E27"/>
    <w:rsid w:val="003967F7"/>
    <w:rsid w:val="003E198A"/>
    <w:rsid w:val="00437B65"/>
    <w:rsid w:val="004516F4"/>
    <w:rsid w:val="00467ADF"/>
    <w:rsid w:val="00485BFF"/>
    <w:rsid w:val="0050574D"/>
    <w:rsid w:val="00596546"/>
    <w:rsid w:val="005A5103"/>
    <w:rsid w:val="005B5073"/>
    <w:rsid w:val="0063736A"/>
    <w:rsid w:val="0069733B"/>
    <w:rsid w:val="006C6E90"/>
    <w:rsid w:val="00720521"/>
    <w:rsid w:val="00743DCC"/>
    <w:rsid w:val="00790EDA"/>
    <w:rsid w:val="007F5899"/>
    <w:rsid w:val="00804A83"/>
    <w:rsid w:val="00806F1E"/>
    <w:rsid w:val="008E31CD"/>
    <w:rsid w:val="00913448"/>
    <w:rsid w:val="00913AAC"/>
    <w:rsid w:val="00916849"/>
    <w:rsid w:val="00971E87"/>
    <w:rsid w:val="009A253D"/>
    <w:rsid w:val="009D7C22"/>
    <w:rsid w:val="00A4341B"/>
    <w:rsid w:val="00A759F5"/>
    <w:rsid w:val="00AD3E4C"/>
    <w:rsid w:val="00B373CF"/>
    <w:rsid w:val="00BE1DE8"/>
    <w:rsid w:val="00BF7BA6"/>
    <w:rsid w:val="00C12FE2"/>
    <w:rsid w:val="00C74844"/>
    <w:rsid w:val="00C923A3"/>
    <w:rsid w:val="00CA4342"/>
    <w:rsid w:val="00D1650C"/>
    <w:rsid w:val="00D32A1A"/>
    <w:rsid w:val="00DE1165"/>
    <w:rsid w:val="00DE7683"/>
    <w:rsid w:val="00DF0129"/>
    <w:rsid w:val="00EA36B6"/>
    <w:rsid w:val="00F56618"/>
    <w:rsid w:val="00F914EC"/>
    <w:rsid w:val="00FB71F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8C675D"/>
  <w15:chartTrackingRefBased/>
  <w15:docId w15:val="{CBE8CC79-FE28-4728-84CA-83276CB88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35B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335B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35B1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35B1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35B1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35B1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35B1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35B1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35B1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35B12"/>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rsid w:val="00335B12"/>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335B12"/>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335B12"/>
    <w:rPr>
      <w:rFonts w:eastAsiaTheme="majorEastAsia" w:cstheme="majorBidi"/>
      <w:i/>
      <w:iCs/>
      <w:color w:val="0F4761" w:themeColor="accent1" w:themeShade="BF"/>
    </w:rPr>
  </w:style>
  <w:style w:type="character" w:customStyle="1" w:styleId="50">
    <w:name w:val="見出し 5 (文字)"/>
    <w:basedOn w:val="a0"/>
    <w:link w:val="5"/>
    <w:uiPriority w:val="9"/>
    <w:semiHidden/>
    <w:rsid w:val="00335B12"/>
    <w:rPr>
      <w:rFonts w:eastAsiaTheme="majorEastAsia" w:cstheme="majorBidi"/>
      <w:color w:val="0F4761" w:themeColor="accent1" w:themeShade="BF"/>
    </w:rPr>
  </w:style>
  <w:style w:type="character" w:customStyle="1" w:styleId="60">
    <w:name w:val="見出し 6 (文字)"/>
    <w:basedOn w:val="a0"/>
    <w:link w:val="6"/>
    <w:uiPriority w:val="9"/>
    <w:semiHidden/>
    <w:rsid w:val="00335B12"/>
    <w:rPr>
      <w:rFonts w:eastAsiaTheme="majorEastAsia" w:cstheme="majorBidi"/>
      <w:i/>
      <w:iCs/>
      <w:color w:val="595959" w:themeColor="text1" w:themeTint="A6"/>
    </w:rPr>
  </w:style>
  <w:style w:type="character" w:customStyle="1" w:styleId="70">
    <w:name w:val="見出し 7 (文字)"/>
    <w:basedOn w:val="a0"/>
    <w:link w:val="7"/>
    <w:uiPriority w:val="9"/>
    <w:semiHidden/>
    <w:rsid w:val="00335B12"/>
    <w:rPr>
      <w:rFonts w:eastAsiaTheme="majorEastAsia" w:cstheme="majorBidi"/>
      <w:color w:val="595959" w:themeColor="text1" w:themeTint="A6"/>
    </w:rPr>
  </w:style>
  <w:style w:type="character" w:customStyle="1" w:styleId="80">
    <w:name w:val="見出し 8 (文字)"/>
    <w:basedOn w:val="a0"/>
    <w:link w:val="8"/>
    <w:uiPriority w:val="9"/>
    <w:semiHidden/>
    <w:rsid w:val="00335B12"/>
    <w:rPr>
      <w:rFonts w:eastAsiaTheme="majorEastAsia" w:cstheme="majorBidi"/>
      <w:i/>
      <w:iCs/>
      <w:color w:val="272727" w:themeColor="text1" w:themeTint="D8"/>
    </w:rPr>
  </w:style>
  <w:style w:type="character" w:customStyle="1" w:styleId="90">
    <w:name w:val="見出し 9 (文字)"/>
    <w:basedOn w:val="a0"/>
    <w:link w:val="9"/>
    <w:uiPriority w:val="9"/>
    <w:semiHidden/>
    <w:rsid w:val="00335B12"/>
    <w:rPr>
      <w:rFonts w:eastAsiaTheme="majorEastAsia" w:cstheme="majorBidi"/>
      <w:color w:val="272727" w:themeColor="text1" w:themeTint="D8"/>
    </w:rPr>
  </w:style>
  <w:style w:type="paragraph" w:styleId="a3">
    <w:name w:val="Title"/>
    <w:basedOn w:val="a"/>
    <w:next w:val="a"/>
    <w:link w:val="a4"/>
    <w:uiPriority w:val="10"/>
    <w:qFormat/>
    <w:rsid w:val="00335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35B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5B12"/>
    <w:pPr>
      <w:numPr>
        <w:ilvl w:val="1"/>
      </w:numPr>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335B1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35B12"/>
    <w:pPr>
      <w:spacing w:before="160"/>
      <w:jc w:val="center"/>
    </w:pPr>
    <w:rPr>
      <w:i/>
      <w:iCs/>
      <w:color w:val="404040" w:themeColor="text1" w:themeTint="BF"/>
    </w:rPr>
  </w:style>
  <w:style w:type="character" w:customStyle="1" w:styleId="a8">
    <w:name w:val="引用文 (文字)"/>
    <w:basedOn w:val="a0"/>
    <w:link w:val="a7"/>
    <w:uiPriority w:val="29"/>
    <w:rsid w:val="00335B12"/>
    <w:rPr>
      <w:i/>
      <w:iCs/>
      <w:color w:val="404040" w:themeColor="text1" w:themeTint="BF"/>
    </w:rPr>
  </w:style>
  <w:style w:type="paragraph" w:styleId="a9">
    <w:name w:val="List Paragraph"/>
    <w:basedOn w:val="a"/>
    <w:uiPriority w:val="34"/>
    <w:qFormat/>
    <w:rsid w:val="00335B12"/>
    <w:pPr>
      <w:ind w:left="720"/>
      <w:contextualSpacing/>
    </w:pPr>
  </w:style>
  <w:style w:type="character" w:styleId="21">
    <w:name w:val="Intense Emphasis"/>
    <w:basedOn w:val="a0"/>
    <w:uiPriority w:val="21"/>
    <w:qFormat/>
    <w:rsid w:val="00335B12"/>
    <w:rPr>
      <w:i/>
      <w:iCs/>
      <w:color w:val="0F4761" w:themeColor="accent1" w:themeShade="BF"/>
    </w:rPr>
  </w:style>
  <w:style w:type="paragraph" w:styleId="22">
    <w:name w:val="Intense Quote"/>
    <w:basedOn w:val="a"/>
    <w:next w:val="a"/>
    <w:link w:val="23"/>
    <w:uiPriority w:val="30"/>
    <w:qFormat/>
    <w:rsid w:val="00335B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35B12"/>
    <w:rPr>
      <w:i/>
      <w:iCs/>
      <w:color w:val="0F4761" w:themeColor="accent1" w:themeShade="BF"/>
    </w:rPr>
  </w:style>
  <w:style w:type="character" w:styleId="24">
    <w:name w:val="Intense Reference"/>
    <w:basedOn w:val="a0"/>
    <w:uiPriority w:val="32"/>
    <w:qFormat/>
    <w:rsid w:val="00335B12"/>
    <w:rPr>
      <w:b/>
      <w:bCs/>
      <w:smallCaps/>
      <w:color w:val="0F4761" w:themeColor="accent1" w:themeShade="BF"/>
      <w:spacing w:val="5"/>
    </w:rPr>
  </w:style>
  <w:style w:type="paragraph" w:styleId="aa">
    <w:name w:val="header"/>
    <w:basedOn w:val="a"/>
    <w:link w:val="ab"/>
    <w:uiPriority w:val="99"/>
    <w:unhideWhenUsed/>
    <w:rsid w:val="00916849"/>
    <w:pPr>
      <w:tabs>
        <w:tab w:val="center" w:pos="4680"/>
        <w:tab w:val="right" w:pos="9360"/>
      </w:tabs>
      <w:spacing w:after="0" w:line="240" w:lineRule="auto"/>
    </w:pPr>
  </w:style>
  <w:style w:type="character" w:customStyle="1" w:styleId="ab">
    <w:name w:val="ヘッダー (文字)"/>
    <w:basedOn w:val="a0"/>
    <w:link w:val="aa"/>
    <w:uiPriority w:val="99"/>
    <w:rsid w:val="00916849"/>
  </w:style>
  <w:style w:type="paragraph" w:styleId="ac">
    <w:name w:val="footer"/>
    <w:basedOn w:val="a"/>
    <w:link w:val="ad"/>
    <w:uiPriority w:val="99"/>
    <w:unhideWhenUsed/>
    <w:rsid w:val="00916849"/>
    <w:pPr>
      <w:tabs>
        <w:tab w:val="center" w:pos="4680"/>
        <w:tab w:val="right" w:pos="9360"/>
      </w:tabs>
      <w:spacing w:after="0" w:line="240" w:lineRule="auto"/>
    </w:pPr>
  </w:style>
  <w:style w:type="character" w:customStyle="1" w:styleId="ad">
    <w:name w:val="フッター (文字)"/>
    <w:basedOn w:val="a0"/>
    <w:link w:val="ac"/>
    <w:uiPriority w:val="99"/>
    <w:rsid w:val="00916849"/>
  </w:style>
  <w:style w:type="character" w:styleId="ae">
    <w:name w:val="Hyperlink"/>
    <w:basedOn w:val="a0"/>
    <w:uiPriority w:val="99"/>
    <w:unhideWhenUsed/>
    <w:rsid w:val="0063736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tra@ehime-u.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889</Words>
  <Characters>5835</Characters>
  <Application>Microsoft Office Word</Application>
  <DocSecurity>0</DocSecurity>
  <Lines>89</Lines>
  <Paragraphs>32</Paragraphs>
  <ScaleCrop>false</ScaleCrop>
  <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TATUL ATALYAN</dc:creator>
  <cp:keywords/>
  <dc:description/>
  <cp:lastModifiedBy>NETRA Prakash Bhandary</cp:lastModifiedBy>
  <cp:revision>46</cp:revision>
  <cp:lastPrinted>2026-04-23T07:10:00Z</cp:lastPrinted>
  <dcterms:created xsi:type="dcterms:W3CDTF">2026-04-22T06:35:00Z</dcterms:created>
  <dcterms:modified xsi:type="dcterms:W3CDTF">2026-04-23T07:11:00Z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a30a7217-1066-4a07-916f-6c17a3527943</vt:lpwstr>
  </property>
</Properties>
</file>