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0C3F5" w14:textId="77777777" w:rsidR="00C30F9B" w:rsidRDefault="00C30F9B"/>
    <w:p w14:paraId="6EFA3890" w14:textId="05638162" w:rsidR="00C30F9B" w:rsidRDefault="006D5253" w:rsidP="00C30F9B">
      <w:pPr>
        <w:jc w:val="center"/>
      </w:pPr>
      <w:r>
        <w:rPr>
          <w:noProof/>
        </w:rPr>
        <w:drawing>
          <wp:inline distT="0" distB="0" distL="0" distR="0" wp14:anchorId="556739EF" wp14:editId="2649B7A1">
            <wp:extent cx="5486400" cy="5003800"/>
            <wp:effectExtent l="0" t="0" r="0" b="0"/>
            <wp:docPr id="1137493573" name="Picture 1" descr="A close-up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493573" name="Picture 1" descr="A close-up of a 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8CCC0" w14:textId="77777777" w:rsidR="00C30F9B" w:rsidRDefault="00C30F9B"/>
    <w:p w14:paraId="39B38C89" w14:textId="77777777" w:rsidR="00C30F9B" w:rsidRPr="00C30F9B" w:rsidRDefault="00C30F9B">
      <w:pPr>
        <w:rPr>
          <w:sz w:val="22"/>
          <w:szCs w:val="22"/>
        </w:rPr>
      </w:pPr>
      <w:r w:rsidRPr="00C30F9B">
        <w:rPr>
          <w:rFonts w:ascii="Arial" w:hAnsi="Arial" w:cs="Arial"/>
          <w:b/>
          <w:sz w:val="22"/>
          <w:szCs w:val="22"/>
        </w:rPr>
        <w:t xml:space="preserve">Supplementary Figure 1: Isolation and characterization of </w:t>
      </w:r>
      <w:r w:rsidRPr="00C30F9B">
        <w:rPr>
          <w:rFonts w:ascii="Arial" w:hAnsi="Arial" w:cs="Arial"/>
          <w:b/>
          <w:i/>
          <w:iCs/>
          <w:sz w:val="22"/>
          <w:szCs w:val="22"/>
        </w:rPr>
        <w:t>dek2</w:t>
      </w:r>
      <w:r w:rsidRPr="00C30F9B">
        <w:rPr>
          <w:rFonts w:ascii="Arial" w:hAnsi="Arial" w:cs="Arial"/>
          <w:b/>
          <w:sz w:val="22"/>
          <w:szCs w:val="22"/>
        </w:rPr>
        <w:t xml:space="preserve"> mutants.</w:t>
      </w:r>
      <w:r w:rsidRPr="00C30F9B">
        <w:rPr>
          <w:rFonts w:ascii="Arial" w:hAnsi="Arial" w:cs="Arial"/>
          <w:sz w:val="22"/>
          <w:szCs w:val="22"/>
        </w:rPr>
        <w:t xml:space="preserve"> </w:t>
      </w:r>
      <w:r w:rsidRPr="00C30F9B">
        <w:rPr>
          <w:rFonts w:ascii="Arial" w:hAnsi="Arial" w:cs="Arial"/>
          <w:b/>
          <w:sz w:val="22"/>
          <w:szCs w:val="22"/>
        </w:rPr>
        <w:t>A</w:t>
      </w:r>
      <w:r w:rsidRPr="00C30F9B">
        <w:rPr>
          <w:rFonts w:ascii="Arial" w:hAnsi="Arial" w:cs="Arial"/>
          <w:sz w:val="22"/>
          <w:szCs w:val="22"/>
        </w:rPr>
        <w:t xml:space="preserve">. Schematic representation of the </w:t>
      </w:r>
      <w:r w:rsidRPr="00C30F9B">
        <w:rPr>
          <w:rFonts w:ascii="Arial" w:hAnsi="Arial" w:cs="Arial"/>
          <w:i/>
          <w:sz w:val="22"/>
          <w:szCs w:val="22"/>
        </w:rPr>
        <w:t>DEK2</w:t>
      </w:r>
      <w:r w:rsidRPr="00C30F9B">
        <w:rPr>
          <w:rFonts w:ascii="Arial" w:hAnsi="Arial" w:cs="Arial"/>
          <w:sz w:val="22"/>
          <w:szCs w:val="22"/>
        </w:rPr>
        <w:t xml:space="preserve"> locus shows the intron/exon structure, the position of each T-DNA insertion is depicted by an inverted triangle and arrows show the positions of primers used for RT-PCR and qRT-PCR. </w:t>
      </w:r>
      <w:r w:rsidRPr="00C30F9B">
        <w:rPr>
          <w:rFonts w:ascii="Arial" w:hAnsi="Arial" w:cs="Arial"/>
          <w:b/>
          <w:bCs/>
          <w:sz w:val="22"/>
          <w:szCs w:val="22"/>
        </w:rPr>
        <w:t>B</w:t>
      </w:r>
      <w:r w:rsidRPr="00C30F9B">
        <w:rPr>
          <w:rFonts w:ascii="Arial" w:hAnsi="Arial" w:cs="Arial"/>
          <w:sz w:val="22"/>
          <w:szCs w:val="22"/>
        </w:rPr>
        <w:t xml:space="preserve">. Morphological phenotype of WT and </w:t>
      </w:r>
      <w:r w:rsidRPr="00C30F9B">
        <w:rPr>
          <w:rFonts w:ascii="Arial" w:hAnsi="Arial" w:cs="Arial"/>
          <w:i/>
          <w:sz w:val="22"/>
          <w:szCs w:val="22"/>
        </w:rPr>
        <w:t>dek2</w:t>
      </w:r>
      <w:r w:rsidRPr="00C30F9B">
        <w:rPr>
          <w:rFonts w:ascii="Arial" w:hAnsi="Arial" w:cs="Arial"/>
          <w:sz w:val="22"/>
          <w:szCs w:val="22"/>
        </w:rPr>
        <w:t xml:space="preserve"> mutant plants. </w:t>
      </w:r>
      <w:r w:rsidRPr="00C30F9B">
        <w:rPr>
          <w:rFonts w:ascii="Arial" w:hAnsi="Arial" w:cs="Arial"/>
          <w:i/>
          <w:iCs/>
          <w:sz w:val="22"/>
          <w:szCs w:val="22"/>
        </w:rPr>
        <w:t>A. thaliana</w:t>
      </w:r>
      <w:r w:rsidRPr="00C30F9B">
        <w:rPr>
          <w:rFonts w:ascii="Arial" w:hAnsi="Arial" w:cs="Arial"/>
          <w:sz w:val="22"/>
          <w:szCs w:val="22"/>
        </w:rPr>
        <w:t xml:space="preserve"> plants were grown in soil under long day condition (16h/8h) for 4 weeks (upper panel) and 6 weeks (lower panel). </w:t>
      </w:r>
      <w:r w:rsidRPr="00C30F9B">
        <w:rPr>
          <w:rFonts w:ascii="Arial" w:hAnsi="Arial" w:cs="Arial"/>
          <w:b/>
          <w:sz w:val="22"/>
          <w:szCs w:val="22"/>
        </w:rPr>
        <w:t>C</w:t>
      </w:r>
      <w:r w:rsidRPr="00C30F9B">
        <w:rPr>
          <w:rFonts w:ascii="Arial" w:hAnsi="Arial" w:cs="Arial"/>
          <w:sz w:val="22"/>
          <w:szCs w:val="22"/>
        </w:rPr>
        <w:t xml:space="preserve">. Genotyping of WT and </w:t>
      </w:r>
      <w:r w:rsidRPr="00C30F9B">
        <w:rPr>
          <w:rFonts w:ascii="Arial" w:hAnsi="Arial" w:cs="Arial"/>
          <w:i/>
          <w:sz w:val="22"/>
          <w:szCs w:val="22"/>
        </w:rPr>
        <w:t>dek2</w:t>
      </w:r>
      <w:r w:rsidRPr="00C30F9B">
        <w:rPr>
          <w:rFonts w:ascii="Arial" w:hAnsi="Arial" w:cs="Arial"/>
          <w:sz w:val="22"/>
          <w:szCs w:val="22"/>
        </w:rPr>
        <w:t xml:space="preserve"> mutants by gene-specific primers (upper gel panel) and T-DNA-specific primers (lower gel panel). </w:t>
      </w:r>
      <w:r w:rsidRPr="00C30F9B">
        <w:rPr>
          <w:rFonts w:ascii="Arial" w:hAnsi="Arial" w:cs="Arial"/>
          <w:b/>
          <w:sz w:val="22"/>
          <w:szCs w:val="22"/>
        </w:rPr>
        <w:t>D&amp;E</w:t>
      </w:r>
      <w:r w:rsidRPr="00C30F9B">
        <w:rPr>
          <w:rFonts w:ascii="Arial" w:hAnsi="Arial" w:cs="Arial"/>
          <w:sz w:val="22"/>
          <w:szCs w:val="22"/>
        </w:rPr>
        <w:t xml:space="preserve">. The transcript levels of </w:t>
      </w:r>
      <w:r w:rsidRPr="00C30F9B">
        <w:rPr>
          <w:rFonts w:ascii="Arial" w:hAnsi="Arial" w:cs="Arial"/>
          <w:i/>
          <w:sz w:val="22"/>
          <w:szCs w:val="22"/>
        </w:rPr>
        <w:t>DEK2</w:t>
      </w:r>
      <w:r w:rsidRPr="00C30F9B">
        <w:rPr>
          <w:rFonts w:ascii="Arial" w:hAnsi="Arial" w:cs="Arial"/>
          <w:sz w:val="22"/>
          <w:szCs w:val="22"/>
        </w:rPr>
        <w:t xml:space="preserve"> in </w:t>
      </w:r>
      <w:r w:rsidRPr="00C30F9B">
        <w:rPr>
          <w:rFonts w:ascii="Arial" w:hAnsi="Arial" w:cs="Arial"/>
          <w:i/>
          <w:sz w:val="22"/>
          <w:szCs w:val="22"/>
        </w:rPr>
        <w:t>dek2</w:t>
      </w:r>
      <w:r w:rsidRPr="00C30F9B">
        <w:rPr>
          <w:rFonts w:ascii="Arial" w:hAnsi="Arial" w:cs="Arial"/>
          <w:sz w:val="22"/>
          <w:szCs w:val="22"/>
        </w:rPr>
        <w:t xml:space="preserve"> loss-of-function mutants assayed by semi-quantitative RT-PCR and quantitative real-time PCR. Primers for </w:t>
      </w:r>
      <w:r w:rsidRPr="00C30F9B">
        <w:rPr>
          <w:rFonts w:ascii="Arial" w:hAnsi="Arial" w:cs="Arial"/>
          <w:i/>
          <w:sz w:val="22"/>
          <w:szCs w:val="22"/>
        </w:rPr>
        <w:t>UBQ10</w:t>
      </w:r>
      <w:r w:rsidRPr="00C30F9B">
        <w:rPr>
          <w:rFonts w:ascii="Arial" w:hAnsi="Arial" w:cs="Arial"/>
          <w:sz w:val="22"/>
          <w:szCs w:val="22"/>
        </w:rPr>
        <w:t xml:space="preserve"> and A</w:t>
      </w:r>
      <w:r w:rsidRPr="00C30F9B">
        <w:rPr>
          <w:rFonts w:ascii="Arial" w:hAnsi="Arial" w:cs="Arial"/>
          <w:i/>
          <w:sz w:val="22"/>
          <w:szCs w:val="22"/>
        </w:rPr>
        <w:t>CTIN</w:t>
      </w:r>
      <w:r w:rsidRPr="00C30F9B">
        <w:rPr>
          <w:rFonts w:ascii="Arial" w:hAnsi="Arial" w:cs="Arial"/>
          <w:sz w:val="22"/>
          <w:szCs w:val="22"/>
        </w:rPr>
        <w:t xml:space="preserve"> expression levels were used for normalization. Bars represent means ± SE of three independent biological replicates and each replicate is composed of three technical replicates. Asterisks indicate a significant difference to WT under the same conditions based on a two-tailed Student T-test. ***</w:t>
      </w:r>
      <w:r w:rsidRPr="00C30F9B">
        <w:rPr>
          <w:rFonts w:ascii="Arial" w:hAnsi="Arial" w:cs="Arial"/>
          <w:i/>
          <w:sz w:val="22"/>
          <w:szCs w:val="22"/>
        </w:rPr>
        <w:t>P</w:t>
      </w:r>
      <w:r w:rsidRPr="00C30F9B">
        <w:rPr>
          <w:rFonts w:ascii="Arial" w:hAnsi="Arial" w:cs="Arial"/>
          <w:sz w:val="22"/>
          <w:szCs w:val="22"/>
        </w:rPr>
        <w:t xml:space="preserve"> value &lt;0.001. </w:t>
      </w:r>
      <w:r w:rsidRPr="00C30F9B">
        <w:rPr>
          <w:rFonts w:ascii="Arial" w:hAnsi="Arial" w:cs="Arial"/>
          <w:b/>
          <w:sz w:val="22"/>
          <w:szCs w:val="22"/>
        </w:rPr>
        <w:t>F</w:t>
      </w:r>
      <w:r w:rsidRPr="00C30F9B">
        <w:rPr>
          <w:rFonts w:ascii="Arial" w:hAnsi="Arial" w:cs="Arial"/>
          <w:sz w:val="22"/>
          <w:szCs w:val="22"/>
        </w:rPr>
        <w:t xml:space="preserve">. GUS staining patterns in tissues of transgenic </w:t>
      </w:r>
      <w:r w:rsidRPr="00C30F9B">
        <w:rPr>
          <w:rFonts w:ascii="Arial" w:hAnsi="Arial" w:cs="Arial"/>
          <w:i/>
          <w:iCs/>
          <w:sz w:val="22"/>
          <w:szCs w:val="22"/>
        </w:rPr>
        <w:t>A. thaliana</w:t>
      </w:r>
      <w:r w:rsidRPr="00C30F9B">
        <w:rPr>
          <w:rFonts w:ascii="Arial" w:hAnsi="Arial" w:cs="Arial"/>
          <w:sz w:val="22"/>
          <w:szCs w:val="22"/>
        </w:rPr>
        <w:t xml:space="preserve"> plants harboring the </w:t>
      </w:r>
      <w:r w:rsidRPr="00C30F9B">
        <w:rPr>
          <w:rFonts w:ascii="Arial" w:hAnsi="Arial" w:cs="Arial"/>
          <w:i/>
          <w:sz w:val="22"/>
          <w:szCs w:val="22"/>
        </w:rPr>
        <w:t>pDEK2::GUS</w:t>
      </w:r>
      <w:r w:rsidRPr="00C30F9B">
        <w:rPr>
          <w:rFonts w:ascii="Arial" w:hAnsi="Arial" w:cs="Arial"/>
          <w:sz w:val="22"/>
          <w:szCs w:val="22"/>
        </w:rPr>
        <w:t xml:space="preserve"> transgene. GUS staining is shown in the following tissues: 5-day-old seedling (i), shoot (ii), apical meristem of 10-day-old seedlings shoot (ii-iv), root tip (v) and lateral root primordium (vi-vii). Scale bars 50 μm</w:t>
      </w:r>
      <w:r w:rsidRPr="00C30F9B">
        <w:rPr>
          <w:rFonts w:ascii="Arial" w:hAnsi="Arial" w:cs="Arial"/>
          <w:b/>
          <w:sz w:val="22"/>
          <w:szCs w:val="22"/>
        </w:rPr>
        <w:t xml:space="preserve"> </w:t>
      </w:r>
      <w:r w:rsidRPr="00C30F9B">
        <w:rPr>
          <w:rFonts w:ascii="Arial" w:hAnsi="Arial" w:cs="Arial"/>
          <w:sz w:val="22"/>
          <w:szCs w:val="22"/>
        </w:rPr>
        <w:t>(i-ii), 0.5 mm (iii-vii).</w:t>
      </w:r>
    </w:p>
    <w:p w14:paraId="382332BF" w14:textId="77777777" w:rsidR="00C30F9B" w:rsidRDefault="00C30F9B" w:rsidP="00C30F9B"/>
    <w:p w14:paraId="395E8E19" w14:textId="77777777" w:rsidR="00C30F9B" w:rsidRDefault="00C30F9B"/>
    <w:p w14:paraId="7B7E1E35" w14:textId="77777777" w:rsidR="00C30F9B" w:rsidRDefault="00C30F9B" w:rsidP="00C30F9B">
      <w:pPr>
        <w:jc w:val="center"/>
      </w:pPr>
      <w:r>
        <w:rPr>
          <w:noProof/>
        </w:rPr>
        <w:drawing>
          <wp:inline distT="0" distB="0" distL="0" distR="0" wp14:anchorId="5944DDD7" wp14:editId="41FF7312">
            <wp:extent cx="5829300" cy="1778000"/>
            <wp:effectExtent l="0" t="0" r="0" b="0"/>
            <wp:docPr id="1705469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69162" name="Picture 17054691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9E23F" w14:textId="77777777" w:rsidR="00C30F9B" w:rsidRDefault="00C30F9B"/>
    <w:p w14:paraId="034962A2" w14:textId="77777777" w:rsidR="00C30F9B" w:rsidRPr="003E0E75" w:rsidRDefault="00C30F9B" w:rsidP="00C30F9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Supplementary </w:t>
      </w:r>
      <w:r w:rsidRPr="003E0E75">
        <w:rPr>
          <w:rFonts w:ascii="Arial" w:hAnsi="Arial" w:cs="Arial"/>
          <w:b/>
        </w:rPr>
        <w:t xml:space="preserve">Figure 2: Generation of YFP tagged </w:t>
      </w:r>
      <w:r w:rsidRPr="003E0E75">
        <w:rPr>
          <w:rFonts w:ascii="Arial" w:hAnsi="Arial" w:cs="Arial"/>
          <w:b/>
          <w:i/>
        </w:rPr>
        <w:t>DEK2</w:t>
      </w:r>
      <w:r w:rsidRPr="003E0E75">
        <w:rPr>
          <w:rFonts w:ascii="Arial" w:hAnsi="Arial" w:cs="Arial"/>
          <w:b/>
        </w:rPr>
        <w:t xml:space="preserve"> lines. A</w:t>
      </w:r>
      <w:r w:rsidRPr="003E0E75">
        <w:rPr>
          <w:rFonts w:ascii="Arial" w:hAnsi="Arial" w:cs="Arial"/>
        </w:rPr>
        <w:t xml:space="preserve">. Picture of 4 weeks-old WT, </w:t>
      </w:r>
      <w:r w:rsidRPr="003E0E75">
        <w:rPr>
          <w:rFonts w:ascii="Arial" w:hAnsi="Arial" w:cs="Arial"/>
          <w:i/>
        </w:rPr>
        <w:t>dek2-1</w:t>
      </w:r>
      <w:r w:rsidRPr="003E0E75">
        <w:rPr>
          <w:rFonts w:ascii="Arial" w:hAnsi="Arial" w:cs="Arial"/>
        </w:rPr>
        <w:t xml:space="preserve">, </w:t>
      </w:r>
      <w:r w:rsidRPr="003E0E75">
        <w:rPr>
          <w:rFonts w:ascii="Arial" w:hAnsi="Arial" w:cs="Arial"/>
          <w:i/>
        </w:rPr>
        <w:t>dek2-2</w:t>
      </w:r>
      <w:r w:rsidRPr="003E0E75">
        <w:rPr>
          <w:rFonts w:ascii="Arial" w:hAnsi="Arial" w:cs="Arial"/>
        </w:rPr>
        <w:t xml:space="preserve"> and two complementation lines C22 and C23 expressing </w:t>
      </w:r>
      <w:r w:rsidRPr="003E0E75">
        <w:rPr>
          <w:rFonts w:ascii="Arial" w:hAnsi="Arial" w:cs="Arial"/>
          <w:i/>
        </w:rPr>
        <w:t>pDEK2:DEK2-YFP</w:t>
      </w:r>
      <w:r w:rsidRPr="003E0E75">
        <w:rPr>
          <w:rFonts w:ascii="Arial" w:hAnsi="Arial" w:cs="Arial"/>
        </w:rPr>
        <w:t xml:space="preserve"> in the </w:t>
      </w:r>
      <w:r w:rsidRPr="003E0E75">
        <w:rPr>
          <w:rFonts w:ascii="Arial" w:hAnsi="Arial" w:cs="Arial"/>
          <w:i/>
        </w:rPr>
        <w:t>dek2-1</w:t>
      </w:r>
      <w:r w:rsidRPr="003E0E75">
        <w:rPr>
          <w:rFonts w:ascii="Arial" w:hAnsi="Arial" w:cs="Arial"/>
        </w:rPr>
        <w:t xml:space="preserve"> background. </w:t>
      </w:r>
      <w:r w:rsidRPr="003E0E75">
        <w:rPr>
          <w:rFonts w:ascii="Arial" w:hAnsi="Arial" w:cs="Arial"/>
          <w:b/>
        </w:rPr>
        <w:t>B</w:t>
      </w:r>
      <w:r w:rsidRPr="003E0E75">
        <w:rPr>
          <w:rFonts w:ascii="Arial" w:hAnsi="Arial" w:cs="Arial"/>
        </w:rPr>
        <w:t xml:space="preserve">. Confocal images of the root and apical meristem of 5 days old seedlings showing the expression of DEK2-YFP in the nuclei. </w:t>
      </w:r>
    </w:p>
    <w:p w14:paraId="315988DD" w14:textId="77777777" w:rsidR="00C30F9B" w:rsidRDefault="00C30F9B"/>
    <w:p w14:paraId="52E45FFA" w14:textId="77777777" w:rsidR="00C30F9B" w:rsidRDefault="00C30F9B">
      <w:r>
        <w:br w:type="page"/>
      </w:r>
    </w:p>
    <w:p w14:paraId="1E42D490" w14:textId="77777777" w:rsidR="00C30F9B" w:rsidRDefault="00C30F9B"/>
    <w:p w14:paraId="04E14A85" w14:textId="77777777" w:rsidR="00C30F9B" w:rsidRDefault="00C30F9B"/>
    <w:p w14:paraId="51F47841" w14:textId="77777777" w:rsidR="00C30F9B" w:rsidRDefault="00C30F9B"/>
    <w:p w14:paraId="2AB62856" w14:textId="77777777" w:rsidR="00C30F9B" w:rsidRDefault="00C30F9B" w:rsidP="00C30F9B">
      <w:pPr>
        <w:jc w:val="center"/>
      </w:pPr>
      <w:r>
        <w:rPr>
          <w:noProof/>
        </w:rPr>
        <w:drawing>
          <wp:inline distT="0" distB="0" distL="0" distR="0" wp14:anchorId="7FEE5DF0" wp14:editId="7696CFAC">
            <wp:extent cx="2806700" cy="2921000"/>
            <wp:effectExtent l="0" t="0" r="0" b="0"/>
            <wp:docPr id="4253925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92567" name="Picture 4253925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6331A" w14:textId="77777777" w:rsidR="00C30F9B" w:rsidRDefault="00C30F9B"/>
    <w:p w14:paraId="1F532757" w14:textId="77777777" w:rsidR="00C30F9B" w:rsidRDefault="00C30F9B"/>
    <w:p w14:paraId="5419059A" w14:textId="77777777" w:rsidR="00C30F9B" w:rsidRDefault="00C30F9B" w:rsidP="00C30F9B">
      <w:pPr>
        <w:jc w:val="both"/>
      </w:pPr>
      <w:r>
        <w:rPr>
          <w:rFonts w:ascii="Arial" w:hAnsi="Arial" w:cs="Arial"/>
          <w:b/>
        </w:rPr>
        <w:t>Supplementary</w:t>
      </w:r>
      <w:r w:rsidRPr="003E0E75">
        <w:rPr>
          <w:rFonts w:ascii="Arial" w:hAnsi="Arial" w:cs="Arial"/>
          <w:b/>
        </w:rPr>
        <w:t xml:space="preserve"> Figure 3: Electrophoretic mobility shift assay (EMSA). </w:t>
      </w:r>
      <w:r w:rsidRPr="003E0E75">
        <w:rPr>
          <w:rFonts w:ascii="Arial" w:hAnsi="Arial" w:cs="Arial"/>
        </w:rPr>
        <w:t>EMSA was carried out with the kit controls (left panel) and with biotin labeled TCP binding sequence (GTGGGCCC) and His-MBP-DEK2 (right panel). Unlabeled TCP binding sequence was used as the competitor.</w:t>
      </w:r>
    </w:p>
    <w:p w14:paraId="5EF8CC58" w14:textId="77777777" w:rsidR="00C30F9B" w:rsidRDefault="00C30F9B" w:rsidP="00C30F9B">
      <w:pPr>
        <w:jc w:val="both"/>
      </w:pPr>
    </w:p>
    <w:p w14:paraId="09C43F49" w14:textId="77777777" w:rsidR="00C30F9B" w:rsidRDefault="00C30F9B"/>
    <w:p w14:paraId="48BC9BE6" w14:textId="77777777" w:rsidR="00C30F9B" w:rsidRDefault="00C30F9B"/>
    <w:p w14:paraId="06B5B23B" w14:textId="77777777" w:rsidR="00C30F9B" w:rsidRDefault="00C30F9B"/>
    <w:p w14:paraId="03833596" w14:textId="77777777" w:rsidR="00C30F9B" w:rsidRDefault="00C30F9B"/>
    <w:p w14:paraId="5BAB7F27" w14:textId="77777777" w:rsidR="00C30F9B" w:rsidRDefault="00C30F9B"/>
    <w:p w14:paraId="5D39D5D4" w14:textId="77777777" w:rsidR="00C30F9B" w:rsidRDefault="00C30F9B"/>
    <w:p w14:paraId="0ECD1DFB" w14:textId="77777777" w:rsidR="00C30F9B" w:rsidRDefault="00C30F9B"/>
    <w:p w14:paraId="6E03D23D" w14:textId="77777777" w:rsidR="00C30F9B" w:rsidRDefault="00C30F9B"/>
    <w:p w14:paraId="23A566DF" w14:textId="77777777" w:rsidR="00C30F9B" w:rsidRDefault="00C30F9B"/>
    <w:p w14:paraId="1B684478" w14:textId="77777777" w:rsidR="00C30F9B" w:rsidRDefault="00C30F9B"/>
    <w:p w14:paraId="0A175FB4" w14:textId="77777777" w:rsidR="00C30F9B" w:rsidRDefault="00C30F9B"/>
    <w:p w14:paraId="3DBF2108" w14:textId="77777777" w:rsidR="00600423" w:rsidRDefault="00C30F9B">
      <w:r>
        <w:rPr>
          <w:noProof/>
        </w:rPr>
        <w:lastRenderedPageBreak/>
        <w:drawing>
          <wp:inline distT="0" distB="0" distL="0" distR="0" wp14:anchorId="12A9F3B2" wp14:editId="1CF6B108">
            <wp:extent cx="5943600" cy="2737485"/>
            <wp:effectExtent l="0" t="0" r="0" b="5715"/>
            <wp:docPr id="16343339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33978" name="Picture 16343339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302ED" w14:textId="77777777" w:rsidR="00C30F9B" w:rsidRDefault="00C30F9B"/>
    <w:p w14:paraId="397421D4" w14:textId="77777777" w:rsidR="00C30F9B" w:rsidRDefault="00C30F9B" w:rsidP="00C30F9B">
      <w:pPr>
        <w:jc w:val="both"/>
        <w:rPr>
          <w:rFonts w:ascii="Arial" w:hAnsi="Arial" w:cs="Arial"/>
          <w:b/>
        </w:rPr>
      </w:pPr>
    </w:p>
    <w:p w14:paraId="374292CA" w14:textId="77777777" w:rsidR="00C30F9B" w:rsidRPr="003E0E75" w:rsidRDefault="00C30F9B" w:rsidP="00C30F9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Supplementary</w:t>
      </w:r>
      <w:r w:rsidRPr="003E0E75">
        <w:rPr>
          <w:rFonts w:ascii="Arial" w:hAnsi="Arial" w:cs="Arial"/>
          <w:b/>
        </w:rPr>
        <w:t xml:space="preserve"> Figure 4: Similarity between </w:t>
      </w:r>
      <w:r w:rsidRPr="003E0E75">
        <w:rPr>
          <w:rFonts w:ascii="Arial" w:hAnsi="Arial" w:cs="Arial"/>
          <w:b/>
          <w:i/>
          <w:iCs/>
        </w:rPr>
        <w:t>dek2</w:t>
      </w:r>
      <w:r w:rsidRPr="003E0E75">
        <w:rPr>
          <w:rFonts w:ascii="Arial" w:hAnsi="Arial" w:cs="Arial"/>
          <w:b/>
        </w:rPr>
        <w:t xml:space="preserve"> transcriptome and published transcriptome data using Genevestigator. </w:t>
      </w:r>
      <w:r w:rsidRPr="003E0E75">
        <w:rPr>
          <w:rFonts w:ascii="Arial" w:hAnsi="Arial" w:cs="Arial"/>
        </w:rPr>
        <w:t xml:space="preserve">The 200 most up- and down-regulated genes in </w:t>
      </w:r>
      <w:r w:rsidRPr="003E0E75">
        <w:rPr>
          <w:rFonts w:ascii="Arial" w:hAnsi="Arial" w:cs="Arial"/>
          <w:i/>
        </w:rPr>
        <w:t>dek2</w:t>
      </w:r>
      <w:r w:rsidRPr="003E0E75">
        <w:rPr>
          <w:rFonts w:ascii="Arial" w:hAnsi="Arial" w:cs="Arial"/>
        </w:rPr>
        <w:t xml:space="preserve"> were used as a signature to search for experiments with similar transcriptome changes. The relative similarity scores between the signature input and a particular experiment is 1.06. </w:t>
      </w:r>
    </w:p>
    <w:p w14:paraId="100621E2" w14:textId="77777777" w:rsidR="00C30F9B" w:rsidRDefault="00C30F9B"/>
    <w:sectPr w:rsidR="00C30F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387615"/>
    <w:multiLevelType w:val="hybridMultilevel"/>
    <w:tmpl w:val="92EE5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04BBE"/>
    <w:multiLevelType w:val="hybridMultilevel"/>
    <w:tmpl w:val="A5A05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095769">
    <w:abstractNumId w:val="0"/>
  </w:num>
  <w:num w:numId="2" w16cid:durableId="47341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9B"/>
    <w:rsid w:val="00002FB1"/>
    <w:rsid w:val="000E03D6"/>
    <w:rsid w:val="00192E75"/>
    <w:rsid w:val="001A604B"/>
    <w:rsid w:val="0021582F"/>
    <w:rsid w:val="00264CD1"/>
    <w:rsid w:val="00272157"/>
    <w:rsid w:val="002854C3"/>
    <w:rsid w:val="00287AB3"/>
    <w:rsid w:val="002C6C4D"/>
    <w:rsid w:val="0034759F"/>
    <w:rsid w:val="0040288F"/>
    <w:rsid w:val="004515D0"/>
    <w:rsid w:val="00467B36"/>
    <w:rsid w:val="004D54BF"/>
    <w:rsid w:val="00556D40"/>
    <w:rsid w:val="00600423"/>
    <w:rsid w:val="00647B82"/>
    <w:rsid w:val="00660258"/>
    <w:rsid w:val="006802A6"/>
    <w:rsid w:val="006C343D"/>
    <w:rsid w:val="006D5253"/>
    <w:rsid w:val="00787210"/>
    <w:rsid w:val="007D7CCC"/>
    <w:rsid w:val="007E77AF"/>
    <w:rsid w:val="00803D93"/>
    <w:rsid w:val="00857070"/>
    <w:rsid w:val="008616DD"/>
    <w:rsid w:val="008778EA"/>
    <w:rsid w:val="008E0245"/>
    <w:rsid w:val="00932A7D"/>
    <w:rsid w:val="009F628C"/>
    <w:rsid w:val="00A61DC2"/>
    <w:rsid w:val="00A87D79"/>
    <w:rsid w:val="00AD5FE3"/>
    <w:rsid w:val="00B271F7"/>
    <w:rsid w:val="00B4252B"/>
    <w:rsid w:val="00B46A50"/>
    <w:rsid w:val="00B63F4D"/>
    <w:rsid w:val="00B758A3"/>
    <w:rsid w:val="00B83D61"/>
    <w:rsid w:val="00BA103E"/>
    <w:rsid w:val="00C30F9B"/>
    <w:rsid w:val="00C55359"/>
    <w:rsid w:val="00CD4D53"/>
    <w:rsid w:val="00CE63F4"/>
    <w:rsid w:val="00D0203E"/>
    <w:rsid w:val="00D3558E"/>
    <w:rsid w:val="00DE282F"/>
    <w:rsid w:val="00EA427E"/>
    <w:rsid w:val="00F20C2F"/>
    <w:rsid w:val="00F738A8"/>
    <w:rsid w:val="00FC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7FA12"/>
  <w15:chartTrackingRefBased/>
  <w15:docId w15:val="{E84FF287-FF36-204D-85BC-3518FFB5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Idhant Nag</cp:lastModifiedBy>
  <cp:revision>2</cp:revision>
  <dcterms:created xsi:type="dcterms:W3CDTF">2024-02-27T07:19:00Z</dcterms:created>
  <dcterms:modified xsi:type="dcterms:W3CDTF">2024-12-12T08:52:00Z</dcterms:modified>
</cp:coreProperties>
</file>