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9B630" w14:textId="77777777" w:rsidR="002063E6" w:rsidRPr="002063E6" w:rsidRDefault="002063E6" w:rsidP="002063E6">
      <w:pPr>
        <w:rPr>
          <w:rFonts w:asciiTheme="minorBidi" w:hAnsiTheme="minorBidi" w:cstheme="minorBidi"/>
          <w:b/>
          <w:bCs/>
        </w:rPr>
      </w:pPr>
      <w:r w:rsidRPr="002063E6">
        <w:rPr>
          <w:rFonts w:asciiTheme="minorBidi" w:eastAsia="Arial" w:hAnsiTheme="minorBidi" w:cstheme="minorBidi"/>
          <w:b/>
          <w:bCs/>
          <w:color w:val="000000"/>
        </w:rPr>
        <w:t xml:space="preserve">Supplementary Information </w:t>
      </w:r>
      <w:r w:rsidRPr="002063E6">
        <w:rPr>
          <w:rFonts w:asciiTheme="minorBidi" w:hAnsiTheme="minorBidi" w:cstheme="minorBidi"/>
          <w:b/>
          <w:bCs/>
        </w:rPr>
        <w:t>– Materials and Methods</w:t>
      </w:r>
    </w:p>
    <w:p w14:paraId="52CBD4B1" w14:textId="77777777" w:rsidR="002063E6" w:rsidRDefault="002063E6" w:rsidP="002063E6">
      <w:pPr>
        <w:jc w:val="center"/>
        <w:rPr>
          <w:rFonts w:ascii="Arial" w:eastAsia="Arial" w:hAnsi="Arial" w:cs="Arial"/>
          <w:b/>
          <w:color w:val="000000"/>
        </w:rPr>
      </w:pPr>
    </w:p>
    <w:p w14:paraId="7C978EF1" w14:textId="77777777" w:rsidR="002063E6" w:rsidRDefault="002063E6" w:rsidP="002063E6">
      <w:pPr>
        <w:jc w:val="center"/>
        <w:rPr>
          <w:rFonts w:ascii="Arial" w:eastAsia="Arial" w:hAnsi="Arial" w:cs="Arial"/>
          <w:b/>
          <w:color w:val="000000"/>
        </w:rPr>
      </w:pPr>
    </w:p>
    <w:p w14:paraId="16BC3A4F" w14:textId="70AB743F" w:rsidR="002063E6" w:rsidRDefault="002063E6" w:rsidP="002063E6">
      <w:pPr>
        <w:jc w:val="center"/>
        <w:rPr>
          <w:rFonts w:ascii="Arial" w:eastAsia="Arial" w:hAnsi="Arial" w:cs="Arial"/>
          <w:b/>
          <w:color w:val="000000"/>
        </w:rPr>
      </w:pPr>
      <w:r>
        <w:rPr>
          <w:rFonts w:ascii="Arial" w:eastAsia="Arial" w:hAnsi="Arial" w:cs="Arial"/>
          <w:b/>
          <w:color w:val="000000"/>
        </w:rPr>
        <w:t>The MPK6 target AtDEK2, a chromatin remodeler, modulates transcription of immune-related genes and governs plant immunity</w:t>
      </w:r>
    </w:p>
    <w:p w14:paraId="4E15A82A" w14:textId="77777777" w:rsidR="002063E6" w:rsidRDefault="002063E6" w:rsidP="002063E6">
      <w:pPr>
        <w:jc w:val="both"/>
        <w:rPr>
          <w:rFonts w:ascii="Arial" w:eastAsia="Arial" w:hAnsi="Arial" w:cs="Arial"/>
          <w:color w:val="000000"/>
        </w:rPr>
      </w:pPr>
    </w:p>
    <w:p w14:paraId="2FE12754" w14:textId="77777777" w:rsidR="002063E6" w:rsidRDefault="002063E6" w:rsidP="002063E6">
      <w:pPr>
        <w:jc w:val="both"/>
        <w:rPr>
          <w:rFonts w:ascii="Arial" w:eastAsia="Arial" w:hAnsi="Arial" w:cs="Arial"/>
          <w:color w:val="000000"/>
        </w:rPr>
      </w:pPr>
    </w:p>
    <w:p w14:paraId="46F9FE5A" w14:textId="6BAE93B6" w:rsidR="002063E6" w:rsidRDefault="002063E6" w:rsidP="002063E6">
      <w:pPr>
        <w:rPr>
          <w:rFonts w:ascii="Arial" w:eastAsia="Arial" w:hAnsi="Arial" w:cs="Arial"/>
          <w:color w:val="000000"/>
          <w:vertAlign w:val="superscript"/>
        </w:rPr>
      </w:pPr>
      <w:r>
        <w:rPr>
          <w:rFonts w:ascii="Arial" w:eastAsia="Arial" w:hAnsi="Arial" w:cs="Arial"/>
          <w:color w:val="000000"/>
        </w:rPr>
        <w:t>Hanna Alhoraibi</w:t>
      </w:r>
      <w:r>
        <w:rPr>
          <w:rFonts w:ascii="Arial" w:eastAsia="Arial" w:hAnsi="Arial" w:cs="Arial"/>
          <w:color w:val="000000"/>
          <w:vertAlign w:val="superscript"/>
        </w:rPr>
        <w:t>1</w:t>
      </w:r>
      <w:r>
        <w:rPr>
          <w:rFonts w:ascii="Arial" w:eastAsia="Arial" w:hAnsi="Arial" w:cs="Arial"/>
          <w:color w:val="000000"/>
        </w:rPr>
        <w:t>, Santiago Alejandro-Martinez</w:t>
      </w:r>
      <w:r>
        <w:rPr>
          <w:rFonts w:ascii="Arial" w:eastAsia="Arial" w:hAnsi="Arial" w:cs="Arial"/>
          <w:color w:val="000000"/>
          <w:vertAlign w:val="superscript"/>
        </w:rPr>
        <w:t>2,3</w:t>
      </w:r>
      <w:r>
        <w:rPr>
          <w:rFonts w:ascii="Arial" w:eastAsia="Arial" w:hAnsi="Arial" w:cs="Arial"/>
          <w:color w:val="000000"/>
        </w:rPr>
        <w:t>, David Latrasse</w:t>
      </w:r>
      <w:r>
        <w:rPr>
          <w:rFonts w:ascii="Arial" w:eastAsia="Arial" w:hAnsi="Arial" w:cs="Arial"/>
          <w:color w:val="000000"/>
          <w:vertAlign w:val="superscript"/>
        </w:rPr>
        <w:t>2,3</w:t>
      </w:r>
      <w:r>
        <w:rPr>
          <w:rFonts w:ascii="Arial" w:eastAsia="Arial" w:hAnsi="Arial" w:cs="Arial"/>
          <w:color w:val="000000"/>
        </w:rPr>
        <w:t xml:space="preserve">, </w:t>
      </w:r>
      <w:proofErr w:type="spellStart"/>
      <w:r>
        <w:rPr>
          <w:rFonts w:ascii="Arial" w:eastAsia="Arial" w:hAnsi="Arial" w:cs="Arial"/>
          <w:color w:val="000000"/>
        </w:rPr>
        <w:t>Papita</w:t>
      </w:r>
      <w:proofErr w:type="spellEnd"/>
      <w:r>
        <w:rPr>
          <w:rFonts w:ascii="Arial" w:eastAsia="Arial" w:hAnsi="Arial" w:cs="Arial"/>
          <w:color w:val="000000"/>
        </w:rPr>
        <w:t xml:space="preserve"> Mandal</w:t>
      </w:r>
      <w:r>
        <w:rPr>
          <w:rFonts w:ascii="Arial" w:eastAsia="Arial" w:hAnsi="Arial" w:cs="Arial"/>
          <w:color w:val="000000"/>
          <w:vertAlign w:val="superscript"/>
        </w:rPr>
        <w:t>4</w:t>
      </w:r>
      <w:r>
        <w:rPr>
          <w:rFonts w:ascii="Arial" w:eastAsia="Arial" w:hAnsi="Arial" w:cs="Arial"/>
          <w:color w:val="000000"/>
        </w:rPr>
        <w:t xml:space="preserve">, Léa </w:t>
      </w:r>
      <w:r w:rsidRPr="00695120">
        <w:rPr>
          <w:rFonts w:ascii="Arial" w:eastAsia="Arial" w:hAnsi="Arial" w:cs="Arial"/>
          <w:color w:val="000000"/>
        </w:rPr>
        <w:t>Faivre</w:t>
      </w:r>
      <w:r w:rsidRPr="00695120">
        <w:rPr>
          <w:rFonts w:ascii="Arial" w:eastAsia="Arial" w:hAnsi="Arial" w:cs="Arial"/>
          <w:color w:val="000000"/>
          <w:vertAlign w:val="superscript"/>
        </w:rPr>
        <w:t>5</w:t>
      </w:r>
      <w:r>
        <w:rPr>
          <w:rFonts w:ascii="Arial" w:eastAsia="Arial" w:hAnsi="Arial" w:cs="Arial"/>
          <w:color w:val="000000"/>
        </w:rPr>
        <w:t xml:space="preserve">, </w:t>
      </w:r>
      <w:proofErr w:type="spellStart"/>
      <w:r>
        <w:rPr>
          <w:rFonts w:ascii="Arial" w:eastAsia="Arial" w:hAnsi="Arial" w:cs="Arial"/>
          <w:color w:val="000000"/>
        </w:rPr>
        <w:t>Xiaoning</w:t>
      </w:r>
      <w:proofErr w:type="spellEnd"/>
      <w:r>
        <w:rPr>
          <w:rFonts w:ascii="Arial" w:eastAsia="Arial" w:hAnsi="Arial" w:cs="Arial"/>
          <w:color w:val="000000"/>
        </w:rPr>
        <w:t xml:space="preserve"> He</w:t>
      </w:r>
      <w:r w:rsidRPr="005D1E63">
        <w:rPr>
          <w:rFonts w:ascii="Arial" w:eastAsia="Arial" w:hAnsi="Arial" w:cs="Arial"/>
          <w:color w:val="000000"/>
          <w:vertAlign w:val="superscript"/>
        </w:rPr>
        <w:t>2,3</w:t>
      </w:r>
      <w:r>
        <w:rPr>
          <w:rFonts w:ascii="Arial" w:eastAsia="Arial" w:hAnsi="Arial" w:cs="Arial"/>
          <w:color w:val="000000"/>
        </w:rPr>
        <w:t>, Deborah Manza</w:t>
      </w:r>
      <w:r>
        <w:rPr>
          <w:rFonts w:ascii="Arial" w:eastAsia="Arial" w:hAnsi="Arial" w:cs="Arial"/>
          <w:color w:val="000000"/>
          <w:vertAlign w:val="superscript"/>
        </w:rPr>
        <w:t>2,3</w:t>
      </w:r>
      <w:r>
        <w:rPr>
          <w:rFonts w:ascii="Arial" w:eastAsia="Arial" w:hAnsi="Arial" w:cs="Arial"/>
          <w:color w:val="000000"/>
        </w:rPr>
        <w:t>,</w:t>
      </w:r>
      <w:r>
        <w:rPr>
          <w:rFonts w:ascii="Arial" w:eastAsia="Arial" w:hAnsi="Arial" w:cs="Arial"/>
          <w:color w:val="000000"/>
          <w:vertAlign w:val="superscript"/>
        </w:rPr>
        <w:t xml:space="preserve"> </w:t>
      </w:r>
      <w:r>
        <w:rPr>
          <w:rFonts w:ascii="Arial" w:eastAsia="Arial" w:hAnsi="Arial" w:cs="Arial"/>
          <w:color w:val="000000"/>
        </w:rPr>
        <w:t>Aala A. Abulfaraj</w:t>
      </w:r>
      <w:r w:rsidRPr="00695120">
        <w:rPr>
          <w:rFonts w:ascii="Arial" w:eastAsia="Arial" w:hAnsi="Arial" w:cs="Arial"/>
          <w:color w:val="000000"/>
          <w:vertAlign w:val="superscript"/>
        </w:rPr>
        <w:t>6</w:t>
      </w:r>
      <w:r>
        <w:rPr>
          <w:rFonts w:ascii="Arial" w:eastAsia="Arial" w:hAnsi="Arial" w:cs="Arial"/>
          <w:color w:val="000000"/>
        </w:rPr>
        <w:t>, Siba Alharbi</w:t>
      </w:r>
      <w:r>
        <w:rPr>
          <w:rFonts w:ascii="Arial" w:eastAsia="Arial" w:hAnsi="Arial" w:cs="Arial"/>
          <w:color w:val="000000"/>
          <w:vertAlign w:val="superscript"/>
        </w:rPr>
        <w:t>4,7</w:t>
      </w:r>
      <w:r>
        <w:rPr>
          <w:rFonts w:ascii="Arial" w:eastAsia="Arial" w:hAnsi="Arial" w:cs="Arial"/>
          <w:color w:val="000000"/>
        </w:rPr>
        <w:t xml:space="preserve">, </w:t>
      </w:r>
      <w:proofErr w:type="spellStart"/>
      <w:r>
        <w:rPr>
          <w:rFonts w:ascii="Arial" w:eastAsia="Arial" w:hAnsi="Arial" w:cs="Arial"/>
          <w:color w:val="000000"/>
        </w:rPr>
        <w:t>Kiruthiga</w:t>
      </w:r>
      <w:proofErr w:type="spellEnd"/>
      <w:r>
        <w:rPr>
          <w:rFonts w:ascii="Arial" w:eastAsia="Arial" w:hAnsi="Arial" w:cs="Arial"/>
          <w:color w:val="000000"/>
        </w:rPr>
        <w:t xml:space="preserve"> Mariappan</w:t>
      </w:r>
      <w:r>
        <w:rPr>
          <w:rFonts w:ascii="Arial" w:eastAsia="Arial" w:hAnsi="Arial" w:cs="Arial"/>
          <w:color w:val="000000"/>
          <w:vertAlign w:val="superscript"/>
        </w:rPr>
        <w:t>8</w:t>
      </w:r>
      <w:r>
        <w:rPr>
          <w:rFonts w:ascii="Arial" w:eastAsia="Arial" w:hAnsi="Arial" w:cs="Arial"/>
          <w:color w:val="000000"/>
        </w:rPr>
        <w:t>, Olga Artyukh</w:t>
      </w:r>
      <w:r>
        <w:rPr>
          <w:rFonts w:ascii="Arial" w:eastAsia="Arial" w:hAnsi="Arial" w:cs="Arial"/>
          <w:color w:val="000000"/>
          <w:vertAlign w:val="superscript"/>
        </w:rPr>
        <w:t>8</w:t>
      </w:r>
      <w:r>
        <w:rPr>
          <w:rFonts w:ascii="Arial" w:eastAsia="Arial" w:hAnsi="Arial" w:cs="Arial"/>
          <w:color w:val="000000"/>
        </w:rPr>
        <w:t>, Fatimah Abdulhakim</w:t>
      </w:r>
      <w:r>
        <w:rPr>
          <w:rFonts w:ascii="Arial" w:eastAsia="Arial" w:hAnsi="Arial" w:cs="Arial"/>
          <w:color w:val="000000"/>
          <w:vertAlign w:val="superscript"/>
        </w:rPr>
        <w:t>4</w:t>
      </w:r>
      <w:r>
        <w:rPr>
          <w:rFonts w:ascii="Arial" w:eastAsia="Arial" w:hAnsi="Arial" w:cs="Arial"/>
          <w:color w:val="000000"/>
        </w:rPr>
        <w:t>, Fatimah Aljedaani</w:t>
      </w:r>
      <w:r>
        <w:rPr>
          <w:rFonts w:ascii="Arial" w:eastAsia="Arial" w:hAnsi="Arial" w:cs="Arial"/>
          <w:color w:val="000000"/>
          <w:vertAlign w:val="superscript"/>
        </w:rPr>
        <w:t>4</w:t>
      </w:r>
      <w:r>
        <w:rPr>
          <w:rFonts w:ascii="Arial" w:eastAsia="Arial" w:hAnsi="Arial" w:cs="Arial"/>
          <w:color w:val="000000"/>
        </w:rPr>
        <w:t>, Stephan David</w:t>
      </w:r>
      <w:r>
        <w:rPr>
          <w:rFonts w:ascii="Arial" w:eastAsia="Arial" w:hAnsi="Arial" w:cs="Arial"/>
          <w:color w:val="000000"/>
          <w:vertAlign w:val="superscript"/>
        </w:rPr>
        <w:t>4</w:t>
      </w:r>
      <w:r>
        <w:rPr>
          <w:rFonts w:ascii="Arial" w:eastAsia="Arial" w:hAnsi="Arial" w:cs="Arial"/>
          <w:color w:val="000000"/>
        </w:rPr>
        <w:t>, Marilia Almeida-Trapp</w:t>
      </w:r>
      <w:r>
        <w:rPr>
          <w:rFonts w:ascii="Arial" w:eastAsia="Arial" w:hAnsi="Arial" w:cs="Arial"/>
          <w:color w:val="000000"/>
          <w:vertAlign w:val="superscript"/>
        </w:rPr>
        <w:t>4</w:t>
      </w:r>
      <w:r>
        <w:rPr>
          <w:rFonts w:ascii="Arial" w:eastAsia="Arial" w:hAnsi="Arial" w:cs="Arial"/>
          <w:color w:val="000000"/>
        </w:rPr>
        <w:t>, Jean Bigeard</w:t>
      </w:r>
      <w:r>
        <w:rPr>
          <w:rFonts w:ascii="Arial" w:eastAsia="Arial" w:hAnsi="Arial" w:cs="Arial"/>
          <w:color w:val="000000"/>
          <w:vertAlign w:val="superscript"/>
        </w:rPr>
        <w:t>2,3</w:t>
      </w:r>
      <w:r>
        <w:rPr>
          <w:rFonts w:ascii="Arial" w:eastAsia="Arial" w:hAnsi="Arial" w:cs="Arial"/>
          <w:color w:val="000000"/>
        </w:rPr>
        <w:t>, Delphine Pflieger</w:t>
      </w:r>
      <w:r>
        <w:rPr>
          <w:rFonts w:ascii="Arial" w:eastAsia="Arial" w:hAnsi="Arial" w:cs="Arial"/>
          <w:color w:val="000000"/>
          <w:vertAlign w:val="superscript"/>
        </w:rPr>
        <w:t>9,10</w:t>
      </w:r>
      <w:r>
        <w:rPr>
          <w:rFonts w:ascii="Arial" w:eastAsia="Arial" w:hAnsi="Arial" w:cs="Arial"/>
          <w:color w:val="000000"/>
        </w:rPr>
        <w:t>, Wolfgang Fischle</w:t>
      </w:r>
      <w:r>
        <w:rPr>
          <w:rFonts w:ascii="Arial" w:eastAsia="Arial" w:hAnsi="Arial" w:cs="Arial"/>
          <w:color w:val="000000"/>
          <w:vertAlign w:val="superscript"/>
        </w:rPr>
        <w:t>4</w:t>
      </w:r>
      <w:r>
        <w:rPr>
          <w:rFonts w:ascii="Arial" w:eastAsia="Arial" w:hAnsi="Arial" w:cs="Arial"/>
          <w:color w:val="000000"/>
        </w:rPr>
        <w:t>, Stefan T. Arold</w:t>
      </w:r>
      <w:r>
        <w:rPr>
          <w:rFonts w:ascii="Arial" w:eastAsia="Arial" w:hAnsi="Arial" w:cs="Arial"/>
          <w:color w:val="000000"/>
          <w:vertAlign w:val="superscript"/>
        </w:rPr>
        <w:t>4,7</w:t>
      </w:r>
      <w:r>
        <w:rPr>
          <w:rFonts w:ascii="Arial" w:eastAsia="Arial" w:hAnsi="Arial" w:cs="Arial"/>
          <w:color w:val="000000"/>
        </w:rPr>
        <w:t>, Jean Colcombet</w:t>
      </w:r>
      <w:r>
        <w:rPr>
          <w:rFonts w:ascii="Arial" w:eastAsia="Arial" w:hAnsi="Arial" w:cs="Arial"/>
          <w:color w:val="000000"/>
          <w:vertAlign w:val="superscript"/>
        </w:rPr>
        <w:t>2,3</w:t>
      </w:r>
      <w:r>
        <w:rPr>
          <w:rFonts w:ascii="Arial" w:eastAsia="Arial" w:hAnsi="Arial" w:cs="Arial"/>
          <w:color w:val="000000"/>
        </w:rPr>
        <w:t>, Daniel Schubert</w:t>
      </w:r>
      <w:r>
        <w:rPr>
          <w:rFonts w:ascii="Arial" w:eastAsia="Arial" w:hAnsi="Arial" w:cs="Arial"/>
          <w:color w:val="000000"/>
          <w:vertAlign w:val="superscript"/>
        </w:rPr>
        <w:t>5</w:t>
      </w:r>
      <w:r>
        <w:rPr>
          <w:rFonts w:ascii="Arial" w:eastAsia="Arial" w:hAnsi="Arial" w:cs="Arial"/>
          <w:color w:val="000000"/>
        </w:rPr>
        <w:t>, Moussa Benhamed</w:t>
      </w:r>
      <w:r>
        <w:rPr>
          <w:rFonts w:ascii="Arial" w:eastAsia="Arial" w:hAnsi="Arial" w:cs="Arial"/>
          <w:color w:val="000000"/>
          <w:vertAlign w:val="superscript"/>
        </w:rPr>
        <w:t>2,3</w:t>
      </w:r>
      <w:r>
        <w:rPr>
          <w:rFonts w:ascii="Arial" w:eastAsia="Arial" w:hAnsi="Arial" w:cs="Arial"/>
          <w:color w:val="000000"/>
        </w:rPr>
        <w:t>, Ikram Blilou</w:t>
      </w:r>
      <w:r>
        <w:rPr>
          <w:rFonts w:ascii="Arial" w:eastAsia="Arial" w:hAnsi="Arial" w:cs="Arial"/>
          <w:color w:val="000000"/>
          <w:vertAlign w:val="superscript"/>
        </w:rPr>
        <w:t>8</w:t>
      </w:r>
      <w:r>
        <w:rPr>
          <w:rFonts w:ascii="Arial" w:eastAsia="Arial" w:hAnsi="Arial" w:cs="Arial"/>
          <w:color w:val="000000"/>
        </w:rPr>
        <w:t xml:space="preserve">, </w:t>
      </w:r>
      <w:proofErr w:type="spellStart"/>
      <w:r>
        <w:rPr>
          <w:rFonts w:ascii="Arial" w:eastAsia="Arial" w:hAnsi="Arial" w:cs="Arial"/>
          <w:color w:val="000000"/>
        </w:rPr>
        <w:t>Heribert</w:t>
      </w:r>
      <w:proofErr w:type="spellEnd"/>
      <w:r>
        <w:rPr>
          <w:rFonts w:ascii="Arial" w:eastAsia="Arial" w:hAnsi="Arial" w:cs="Arial"/>
          <w:color w:val="000000"/>
        </w:rPr>
        <w:t xml:space="preserve"> Hirt</w:t>
      </w:r>
      <w:r>
        <w:rPr>
          <w:rFonts w:ascii="Arial" w:eastAsia="Arial" w:hAnsi="Arial" w:cs="Arial"/>
          <w:color w:val="000000"/>
          <w:vertAlign w:val="superscript"/>
        </w:rPr>
        <w:t>8,11 *</w:t>
      </w:r>
      <w:r>
        <w:rPr>
          <w:rFonts w:ascii="Arial" w:eastAsia="Arial" w:hAnsi="Arial" w:cs="Arial"/>
          <w:color w:val="000000"/>
        </w:rPr>
        <w:t xml:space="preserve"> and Naganand Rayapuram</w:t>
      </w:r>
      <w:r>
        <w:rPr>
          <w:rFonts w:ascii="Arial" w:eastAsia="Arial" w:hAnsi="Arial" w:cs="Arial"/>
          <w:color w:val="000000"/>
          <w:vertAlign w:val="superscript"/>
        </w:rPr>
        <w:t>8 *</w:t>
      </w:r>
    </w:p>
    <w:p w14:paraId="3E1C9461" w14:textId="77777777" w:rsidR="002063E6" w:rsidRDefault="002063E6" w:rsidP="002063E6">
      <w:pPr>
        <w:rPr>
          <w:rFonts w:ascii="Arial" w:eastAsia="Arial" w:hAnsi="Arial" w:cs="Arial"/>
          <w:color w:val="000000"/>
        </w:rPr>
      </w:pPr>
    </w:p>
    <w:p w14:paraId="7E452752" w14:textId="77777777" w:rsidR="002063E6" w:rsidRPr="000C2816" w:rsidRDefault="002063E6" w:rsidP="002063E6">
      <w:pPr>
        <w:jc w:val="both"/>
        <w:rPr>
          <w:rFonts w:ascii="Arial" w:eastAsia="Arial" w:hAnsi="Arial" w:cs="Arial"/>
          <w:b/>
          <w:color w:val="000000"/>
        </w:rPr>
      </w:pPr>
      <w:r w:rsidRPr="000C2816">
        <w:rPr>
          <w:rFonts w:ascii="Arial" w:eastAsia="Arial" w:hAnsi="Arial" w:cs="Arial"/>
          <w:b/>
          <w:color w:val="000000"/>
        </w:rPr>
        <w:t xml:space="preserve">Recombinant protein expression in </w:t>
      </w:r>
      <w:r w:rsidRPr="000C2816">
        <w:rPr>
          <w:rFonts w:ascii="Arial" w:eastAsia="Arial" w:hAnsi="Arial" w:cs="Arial"/>
          <w:b/>
          <w:i/>
          <w:color w:val="000000"/>
        </w:rPr>
        <w:t>E. coli</w:t>
      </w:r>
      <w:r w:rsidRPr="000C2816">
        <w:rPr>
          <w:rFonts w:ascii="Arial" w:eastAsia="Arial" w:hAnsi="Arial" w:cs="Arial"/>
          <w:b/>
          <w:color w:val="000000"/>
        </w:rPr>
        <w:t xml:space="preserve"> and purification</w:t>
      </w:r>
    </w:p>
    <w:p w14:paraId="3E026EB3" w14:textId="77777777" w:rsidR="002063E6" w:rsidRPr="000C2816" w:rsidRDefault="002063E6" w:rsidP="002063E6">
      <w:pPr>
        <w:jc w:val="both"/>
        <w:rPr>
          <w:rFonts w:ascii="Arial" w:eastAsia="Arial" w:hAnsi="Arial" w:cs="Arial"/>
          <w:color w:val="000000"/>
        </w:rPr>
      </w:pPr>
    </w:p>
    <w:p w14:paraId="43E9DCA5" w14:textId="7E5D90E1" w:rsidR="002063E6" w:rsidRDefault="002063E6" w:rsidP="002063E6">
      <w:pPr>
        <w:jc w:val="both"/>
        <w:rPr>
          <w:rFonts w:ascii="Arial" w:eastAsia="Arial" w:hAnsi="Arial" w:cs="Arial"/>
          <w:color w:val="000000"/>
        </w:rPr>
      </w:pPr>
      <w:r w:rsidRPr="000C2816">
        <w:rPr>
          <w:rFonts w:ascii="Arial" w:eastAsia="Arial" w:hAnsi="Arial" w:cs="Arial"/>
          <w:color w:val="000000"/>
        </w:rPr>
        <w:t xml:space="preserve">10ml of an overnight culture of </w:t>
      </w:r>
      <w:r w:rsidRPr="000C2816">
        <w:rPr>
          <w:rFonts w:ascii="Arial" w:eastAsia="Arial" w:hAnsi="Arial" w:cs="Arial"/>
          <w:i/>
          <w:color w:val="000000"/>
        </w:rPr>
        <w:t>E. coli</w:t>
      </w:r>
      <w:r w:rsidRPr="000C2816">
        <w:rPr>
          <w:rFonts w:ascii="Arial" w:eastAsia="Arial" w:hAnsi="Arial" w:cs="Arial"/>
          <w:color w:val="000000"/>
        </w:rPr>
        <w:t xml:space="preserve"> BL21-AI or Rosetta harboring His</w:t>
      </w:r>
      <w:r w:rsidRPr="000C2816">
        <w:rPr>
          <w:rFonts w:ascii="Arial" w:eastAsia="Arial" w:hAnsi="Arial" w:cs="Arial"/>
          <w:color w:val="000000"/>
          <w:vertAlign w:val="subscript"/>
        </w:rPr>
        <w:t>6</w:t>
      </w:r>
      <w:r w:rsidRPr="000C2816">
        <w:rPr>
          <w:rFonts w:ascii="Arial" w:eastAsia="Arial" w:hAnsi="Arial" w:cs="Arial"/>
          <w:color w:val="000000"/>
        </w:rPr>
        <w:t>-tagged, His</w:t>
      </w:r>
      <w:r w:rsidRPr="000C2816">
        <w:rPr>
          <w:rFonts w:ascii="Arial" w:eastAsia="Arial" w:hAnsi="Arial" w:cs="Arial"/>
          <w:color w:val="000000"/>
          <w:vertAlign w:val="subscript"/>
        </w:rPr>
        <w:t>6</w:t>
      </w:r>
      <w:r w:rsidRPr="000C2816">
        <w:rPr>
          <w:rFonts w:ascii="Arial" w:eastAsia="Arial" w:hAnsi="Arial" w:cs="Arial"/>
          <w:color w:val="000000"/>
        </w:rPr>
        <w:t>-MBP-tagged, GST-tagged proteins or constitutively active MAPKs were diluted in 500 mL LB medium. The culture was grown at 37°C until the OD</w:t>
      </w:r>
      <w:r w:rsidRPr="000C2816">
        <w:rPr>
          <w:rFonts w:ascii="Arial" w:eastAsia="Arial" w:hAnsi="Arial" w:cs="Arial"/>
          <w:color w:val="000000"/>
          <w:vertAlign w:val="subscript"/>
        </w:rPr>
        <w:t>600</w:t>
      </w:r>
      <w:r w:rsidRPr="000C2816">
        <w:rPr>
          <w:rFonts w:ascii="Arial" w:eastAsia="Arial" w:hAnsi="Arial" w:cs="Arial"/>
          <w:color w:val="000000"/>
        </w:rPr>
        <w:t xml:space="preserve"> reached 0.8, and then induced with L-Arabinose (Sigma, A3256) for BL21-AI cells or 0.5 mM IPTG (Invitrogen 15529-019) for Rosetta cells at 20°C and incubated overnight. Cells were harvested by centrifugation at 4000×g at 4 °C for 15 min. The bacterial pellet was resuspended in 40 ml of lysis buffer (50 mM NaH</w:t>
      </w:r>
      <w:r w:rsidRPr="000C2816">
        <w:rPr>
          <w:rFonts w:ascii="Arial" w:eastAsia="Arial" w:hAnsi="Arial" w:cs="Arial"/>
          <w:color w:val="000000"/>
          <w:vertAlign w:val="subscript"/>
        </w:rPr>
        <w:t>2</w:t>
      </w:r>
      <w:r w:rsidRPr="000C2816">
        <w:rPr>
          <w:rFonts w:ascii="Arial" w:eastAsia="Arial" w:hAnsi="Arial" w:cs="Arial"/>
          <w:color w:val="000000"/>
        </w:rPr>
        <w:t>PO</w:t>
      </w:r>
      <w:r w:rsidRPr="000C2816">
        <w:rPr>
          <w:rFonts w:ascii="Arial" w:eastAsia="Arial" w:hAnsi="Arial" w:cs="Arial"/>
          <w:color w:val="000000"/>
          <w:vertAlign w:val="subscript"/>
        </w:rPr>
        <w:t>4</w:t>
      </w:r>
      <w:r w:rsidRPr="000C2816">
        <w:rPr>
          <w:rFonts w:ascii="Arial" w:eastAsia="Arial" w:hAnsi="Arial" w:cs="Arial"/>
          <w:color w:val="000000"/>
        </w:rPr>
        <w:t>, 300 mM NaCl, 10mM NaCl, pH 8) containing a protease inhibitor cocktail (Complete mini EDTA-free, Roche, 4115449). The cells were lysed by treatment with 2 mg/ml of lysozyme (</w:t>
      </w:r>
      <w:proofErr w:type="spellStart"/>
      <w:r w:rsidRPr="000C2816">
        <w:rPr>
          <w:rFonts w:ascii="Arial" w:eastAsia="Arial" w:hAnsi="Arial" w:cs="Arial"/>
          <w:color w:val="000000"/>
        </w:rPr>
        <w:t>Thermo</w:t>
      </w:r>
      <w:proofErr w:type="spellEnd"/>
      <w:r w:rsidRPr="000C2816">
        <w:rPr>
          <w:rFonts w:ascii="Arial" w:eastAsia="Arial" w:hAnsi="Arial" w:cs="Arial"/>
          <w:color w:val="000000"/>
        </w:rPr>
        <w:t xml:space="preserve"> scientific, PI89833) for 1 hour on ice, followed by sonication (Branson Digital </w:t>
      </w:r>
      <w:proofErr w:type="spellStart"/>
      <w:r w:rsidRPr="000C2816">
        <w:rPr>
          <w:rFonts w:ascii="Arial" w:eastAsia="Arial" w:hAnsi="Arial" w:cs="Arial"/>
          <w:color w:val="000000"/>
        </w:rPr>
        <w:t>Sonifier</w:t>
      </w:r>
      <w:proofErr w:type="spellEnd"/>
      <w:r w:rsidRPr="000C2816">
        <w:rPr>
          <w:rFonts w:ascii="Arial" w:eastAsia="Arial" w:hAnsi="Arial" w:cs="Arial"/>
          <w:color w:val="000000"/>
        </w:rPr>
        <w:t xml:space="preserve"> 250-450, runtime 3 min, amplitude 20%, pulse on 2 sec, pulse off 1 sec). The cell lysate was then centrifuged at 20,000xg at 4 °C and the supernatant was purified using glutathione </w:t>
      </w:r>
      <w:proofErr w:type="spellStart"/>
      <w:r w:rsidRPr="000C2816">
        <w:rPr>
          <w:rFonts w:ascii="Arial" w:eastAsia="Arial" w:hAnsi="Arial" w:cs="Arial"/>
          <w:color w:val="000000"/>
        </w:rPr>
        <w:t>sepharose</w:t>
      </w:r>
      <w:proofErr w:type="spellEnd"/>
      <w:r w:rsidRPr="000C2816">
        <w:rPr>
          <w:rFonts w:ascii="Arial" w:eastAsia="Arial" w:hAnsi="Arial" w:cs="Arial"/>
          <w:color w:val="000000"/>
        </w:rPr>
        <w:t xml:space="preserve"> 4B beads (GE Healthcare,17-0756-01) for purification of GST-tagged proteins or Ni</w:t>
      </w:r>
      <w:r w:rsidRPr="000C2816">
        <w:rPr>
          <w:rFonts w:ascii="Arial" w:eastAsia="Arial" w:hAnsi="Arial" w:cs="Arial"/>
          <w:color w:val="000000"/>
          <w:vertAlign w:val="superscript"/>
        </w:rPr>
        <w:t>2+</w:t>
      </w:r>
      <w:r w:rsidRPr="000C2816">
        <w:rPr>
          <w:rFonts w:ascii="Arial" w:eastAsia="Arial" w:hAnsi="Arial" w:cs="Arial"/>
          <w:color w:val="000000"/>
        </w:rPr>
        <w:t>-NTA beads (Invitrogen, R901-15) for the purification of His-tagged proteins. The proteins were purified according to the manufacturer’s protocol. The eluted protein was desalted on PD-10 Desalting columns (GE Healthcare, 17-0851-01). Laemmli 2X protein loading dye (0.5M Tris-HCl pH 6.8, 20% Glycerol, 4% SDS, 2% β-</w:t>
      </w:r>
      <w:proofErr w:type="spellStart"/>
      <w:r w:rsidRPr="000C2816">
        <w:rPr>
          <w:rFonts w:ascii="Arial" w:eastAsia="Arial" w:hAnsi="Arial" w:cs="Arial"/>
          <w:color w:val="000000"/>
        </w:rPr>
        <w:t>Mercaptoethanol</w:t>
      </w:r>
      <w:proofErr w:type="spellEnd"/>
      <w:r w:rsidRPr="000C2816">
        <w:rPr>
          <w:rFonts w:ascii="Arial" w:eastAsia="Arial" w:hAnsi="Arial" w:cs="Arial"/>
          <w:color w:val="000000"/>
        </w:rPr>
        <w:t xml:space="preserve"> and 0.01% bromophenol blue in distilled water) was added to 20ul of proteins and heated for 10 min at 95 °C before analysis on SDS PAGE.</w:t>
      </w:r>
    </w:p>
    <w:p w14:paraId="2B32A6B3" w14:textId="77777777" w:rsidR="002063E6" w:rsidRDefault="002063E6" w:rsidP="002063E6">
      <w:pPr>
        <w:jc w:val="both"/>
        <w:rPr>
          <w:rFonts w:ascii="Arial" w:eastAsia="Arial" w:hAnsi="Arial" w:cs="Arial"/>
          <w:color w:val="000000"/>
        </w:rPr>
      </w:pPr>
    </w:p>
    <w:p w14:paraId="09D037FE" w14:textId="77777777" w:rsidR="002063E6" w:rsidRPr="002063E6" w:rsidRDefault="002063E6" w:rsidP="002063E6">
      <w:pPr>
        <w:jc w:val="both"/>
        <w:rPr>
          <w:rFonts w:ascii="Arial" w:eastAsia="Arial" w:hAnsi="Arial" w:cs="Arial"/>
          <w:b/>
          <w:color w:val="000000"/>
        </w:rPr>
      </w:pPr>
      <w:r w:rsidRPr="002063E6">
        <w:rPr>
          <w:rFonts w:ascii="Arial" w:eastAsia="Arial" w:hAnsi="Arial" w:cs="Arial"/>
          <w:b/>
          <w:color w:val="000000"/>
        </w:rPr>
        <w:t>SDS PAGE and Western blotting</w:t>
      </w:r>
    </w:p>
    <w:p w14:paraId="1400C904" w14:textId="77777777" w:rsidR="002063E6" w:rsidRPr="002063E6" w:rsidRDefault="002063E6" w:rsidP="002063E6">
      <w:pPr>
        <w:jc w:val="both"/>
        <w:rPr>
          <w:rFonts w:ascii="Arial" w:eastAsia="Arial" w:hAnsi="Arial" w:cs="Arial"/>
          <w:color w:val="000000"/>
        </w:rPr>
      </w:pPr>
    </w:p>
    <w:p w14:paraId="7D2C6BB3" w14:textId="77777777" w:rsidR="002063E6" w:rsidRPr="002063E6" w:rsidRDefault="002063E6" w:rsidP="002063E6">
      <w:pPr>
        <w:jc w:val="both"/>
        <w:rPr>
          <w:rFonts w:ascii="Arial" w:eastAsia="Arial" w:hAnsi="Arial" w:cs="Arial"/>
          <w:color w:val="000000"/>
        </w:rPr>
      </w:pPr>
      <w:r w:rsidRPr="002063E6">
        <w:rPr>
          <w:rFonts w:ascii="Arial" w:eastAsia="Arial" w:hAnsi="Arial" w:cs="Arial"/>
          <w:color w:val="000000"/>
        </w:rPr>
        <w:t xml:space="preserve">The denatured proteins were resolved on a 10 % SDS–polyacrylamide gel for 1h at 100V. </w:t>
      </w:r>
      <w:proofErr w:type="spellStart"/>
      <w:r w:rsidRPr="002063E6">
        <w:rPr>
          <w:rFonts w:ascii="Arial" w:eastAsia="Arial" w:hAnsi="Arial" w:cs="Arial"/>
          <w:color w:val="000000"/>
        </w:rPr>
        <w:t>PageRuler</w:t>
      </w:r>
      <w:proofErr w:type="spellEnd"/>
      <w:r w:rsidRPr="002063E6">
        <w:rPr>
          <w:rFonts w:ascii="Arial" w:eastAsia="Arial" w:hAnsi="Arial" w:cs="Arial"/>
          <w:color w:val="000000"/>
        </w:rPr>
        <w:t xml:space="preserve">™ </w:t>
      </w:r>
      <w:proofErr w:type="spellStart"/>
      <w:r w:rsidRPr="002063E6">
        <w:rPr>
          <w:rFonts w:ascii="Arial" w:eastAsia="Arial" w:hAnsi="Arial" w:cs="Arial"/>
          <w:color w:val="000000"/>
        </w:rPr>
        <w:t>Prestained</w:t>
      </w:r>
      <w:proofErr w:type="spellEnd"/>
      <w:r w:rsidRPr="002063E6">
        <w:rPr>
          <w:rFonts w:ascii="Arial" w:eastAsia="Arial" w:hAnsi="Arial" w:cs="Arial"/>
          <w:color w:val="000000"/>
        </w:rPr>
        <w:t xml:space="preserve"> protein marker (</w:t>
      </w:r>
      <w:proofErr w:type="spellStart"/>
      <w:r w:rsidRPr="002063E6">
        <w:rPr>
          <w:rFonts w:ascii="Arial" w:eastAsia="Arial" w:hAnsi="Arial" w:cs="Arial"/>
          <w:color w:val="000000"/>
        </w:rPr>
        <w:t>Thermo</w:t>
      </w:r>
      <w:proofErr w:type="spellEnd"/>
      <w:r w:rsidRPr="002063E6">
        <w:rPr>
          <w:rFonts w:ascii="Arial" w:eastAsia="Arial" w:hAnsi="Arial" w:cs="Arial"/>
          <w:color w:val="000000"/>
        </w:rPr>
        <w:t xml:space="preserve"> Scientific, 26616) was used as a size standard in SDS-PAGE and western blotting. The gel was stained with Coomassie SimplyBlue Safe Stain (Life Technologies, LC6065).</w:t>
      </w:r>
    </w:p>
    <w:p w14:paraId="2C2CBCA5" w14:textId="77777777" w:rsidR="002063E6" w:rsidRPr="002063E6" w:rsidRDefault="002063E6" w:rsidP="002063E6">
      <w:pPr>
        <w:jc w:val="both"/>
        <w:rPr>
          <w:rFonts w:ascii="Arial" w:eastAsia="Arial" w:hAnsi="Arial" w:cs="Arial"/>
          <w:color w:val="000000"/>
        </w:rPr>
      </w:pPr>
    </w:p>
    <w:p w14:paraId="04F36E04" w14:textId="4B4DE121" w:rsidR="002063E6" w:rsidRDefault="002063E6" w:rsidP="002063E6">
      <w:pPr>
        <w:jc w:val="both"/>
        <w:rPr>
          <w:rFonts w:ascii="Arial" w:eastAsia="Arial" w:hAnsi="Arial" w:cs="Arial"/>
          <w:color w:val="000000"/>
        </w:rPr>
      </w:pPr>
      <w:r w:rsidRPr="002063E6">
        <w:rPr>
          <w:rFonts w:ascii="Arial" w:eastAsia="Arial" w:hAnsi="Arial" w:cs="Arial"/>
          <w:color w:val="000000"/>
        </w:rPr>
        <w:t xml:space="preserve">For Western blot analysis, proteins were transferred from a gel to an ethanol-activated PVDF membranes (GE Healthcare) in a transfer apparatus for 1 h at 100 V. Subsequently, blots were blocked in 5% skimmed milk in Tris buffered saline with tween </w:t>
      </w:r>
      <w:r w:rsidRPr="002063E6">
        <w:rPr>
          <w:rFonts w:ascii="Arial" w:eastAsia="Arial" w:hAnsi="Arial" w:cs="Arial"/>
          <w:color w:val="000000"/>
        </w:rPr>
        <w:lastRenderedPageBreak/>
        <w:t>20 (1X TBST) (20mM Tris HCL pH7.5, 150mM NaCl, 0.1% tween 20) for 1 hour followed by incubation with the appropriate primary antibody in 2% skimmed milk on a shaker at 4°C overnight. Blots were then washed three times in 1X TBST and appropriate HRP-conjugated secondary anti-rabbit or anti-mouse antibodies were added. Blots were washed again three times in TBST. The blot was visualized using chemiluminescence (</w:t>
      </w:r>
      <w:proofErr w:type="spellStart"/>
      <w:r w:rsidRPr="002063E6">
        <w:rPr>
          <w:rFonts w:ascii="Arial" w:eastAsia="Arial" w:hAnsi="Arial" w:cs="Arial"/>
          <w:color w:val="000000"/>
        </w:rPr>
        <w:t>ECl</w:t>
      </w:r>
      <w:proofErr w:type="spellEnd"/>
      <w:r w:rsidRPr="002063E6">
        <w:rPr>
          <w:rFonts w:ascii="Arial" w:eastAsia="Arial" w:hAnsi="Arial" w:cs="Arial"/>
          <w:color w:val="000000"/>
        </w:rPr>
        <w:t xml:space="preserve"> prime detection reagent (GE Healthcare, RPN2232) on an imaging system (</w:t>
      </w:r>
      <w:proofErr w:type="spellStart"/>
      <w:r w:rsidRPr="002063E6">
        <w:rPr>
          <w:rFonts w:ascii="Arial" w:eastAsia="Arial" w:hAnsi="Arial" w:cs="Arial"/>
          <w:color w:val="000000"/>
        </w:rPr>
        <w:t>ChemiDoc</w:t>
      </w:r>
      <w:proofErr w:type="spellEnd"/>
      <w:r w:rsidRPr="002063E6">
        <w:rPr>
          <w:rFonts w:ascii="Arial" w:eastAsia="Arial" w:hAnsi="Arial" w:cs="Arial"/>
          <w:color w:val="000000"/>
        </w:rPr>
        <w:t xml:space="preserve"> MP Bio-Rad). Equal loading was verified by staining the blot with Ponceau S solution (Sigma; P7170).</w:t>
      </w:r>
    </w:p>
    <w:p w14:paraId="7070B751" w14:textId="77777777" w:rsidR="002063E6" w:rsidRDefault="002063E6" w:rsidP="002063E6">
      <w:pPr>
        <w:jc w:val="both"/>
        <w:rPr>
          <w:rFonts w:ascii="Arial" w:eastAsia="Arial" w:hAnsi="Arial" w:cs="Arial"/>
          <w:color w:val="000000"/>
        </w:rPr>
      </w:pPr>
    </w:p>
    <w:p w14:paraId="746F48EB" w14:textId="77777777" w:rsidR="002063E6" w:rsidRPr="002063E6" w:rsidRDefault="002063E6" w:rsidP="002063E6">
      <w:pPr>
        <w:jc w:val="both"/>
        <w:rPr>
          <w:rFonts w:ascii="Arial" w:eastAsia="Arial" w:hAnsi="Arial" w:cs="Arial"/>
          <w:b/>
          <w:color w:val="000000"/>
        </w:rPr>
      </w:pPr>
      <w:r w:rsidRPr="002063E6">
        <w:rPr>
          <w:rFonts w:ascii="Arial" w:eastAsia="Arial" w:hAnsi="Arial" w:cs="Arial"/>
          <w:b/>
          <w:color w:val="000000"/>
        </w:rPr>
        <w:t xml:space="preserve">Plant transformation of </w:t>
      </w:r>
      <w:r w:rsidRPr="002063E6">
        <w:rPr>
          <w:rFonts w:ascii="Arial" w:eastAsia="Arial" w:hAnsi="Arial" w:cs="Arial"/>
          <w:b/>
          <w:i/>
          <w:color w:val="000000"/>
        </w:rPr>
        <w:t>A. thaliana</w:t>
      </w:r>
      <w:r w:rsidRPr="002063E6">
        <w:rPr>
          <w:rFonts w:ascii="Arial" w:eastAsia="Arial" w:hAnsi="Arial" w:cs="Arial"/>
          <w:b/>
          <w:color w:val="000000"/>
        </w:rPr>
        <w:t xml:space="preserve"> by floral dip method</w:t>
      </w:r>
    </w:p>
    <w:p w14:paraId="6C4D5CB9" w14:textId="77777777" w:rsidR="002063E6" w:rsidRPr="002063E6" w:rsidRDefault="002063E6" w:rsidP="002063E6">
      <w:pPr>
        <w:jc w:val="both"/>
        <w:rPr>
          <w:rFonts w:ascii="Arial" w:eastAsia="Arial" w:hAnsi="Arial" w:cs="Arial"/>
          <w:color w:val="000000"/>
        </w:rPr>
      </w:pPr>
    </w:p>
    <w:p w14:paraId="36304261" w14:textId="6EEB2110" w:rsidR="002063E6" w:rsidRDefault="002063E6" w:rsidP="002063E6">
      <w:pPr>
        <w:jc w:val="both"/>
        <w:rPr>
          <w:rFonts w:ascii="Arial" w:eastAsia="Arial" w:hAnsi="Arial" w:cs="Arial"/>
          <w:color w:val="000000"/>
        </w:rPr>
      </w:pPr>
      <w:r w:rsidRPr="002063E6">
        <w:rPr>
          <w:rFonts w:ascii="Arial" w:eastAsia="Arial" w:hAnsi="Arial" w:cs="Arial"/>
          <w:color w:val="000000"/>
        </w:rPr>
        <w:t>About five-week-old </w:t>
      </w:r>
      <w:r w:rsidRPr="002063E6">
        <w:rPr>
          <w:rFonts w:ascii="Arial" w:eastAsia="Arial" w:hAnsi="Arial" w:cs="Arial"/>
          <w:i/>
          <w:iCs/>
          <w:color w:val="000000"/>
        </w:rPr>
        <w:t>A. thaliana</w:t>
      </w:r>
      <w:r w:rsidRPr="002063E6">
        <w:rPr>
          <w:rFonts w:ascii="Arial" w:eastAsia="Arial" w:hAnsi="Arial" w:cs="Arial"/>
          <w:color w:val="000000"/>
        </w:rPr>
        <w:t xml:space="preserve"> plants were grown under long days in pots. The transformation was done with </w:t>
      </w:r>
      <w:r w:rsidRPr="002063E6">
        <w:rPr>
          <w:rFonts w:ascii="Arial" w:eastAsia="Arial" w:hAnsi="Arial" w:cs="Arial"/>
          <w:i/>
          <w:color w:val="000000"/>
        </w:rPr>
        <w:t>Agrobacterium tumefaciens</w:t>
      </w:r>
      <w:r w:rsidRPr="002063E6">
        <w:rPr>
          <w:rFonts w:ascii="Arial" w:eastAsia="Arial" w:hAnsi="Arial" w:cs="Arial"/>
          <w:color w:val="000000"/>
        </w:rPr>
        <w:t> (</w:t>
      </w:r>
      <w:r w:rsidRPr="002063E6">
        <w:rPr>
          <w:rFonts w:ascii="Arial" w:eastAsia="Arial" w:hAnsi="Arial" w:cs="Arial"/>
          <w:i/>
          <w:color w:val="000000"/>
        </w:rPr>
        <w:t>C58C1</w:t>
      </w:r>
      <w:r w:rsidRPr="002063E6">
        <w:rPr>
          <w:rFonts w:ascii="Arial" w:eastAsia="Arial" w:hAnsi="Arial" w:cs="Arial"/>
          <w:color w:val="000000"/>
        </w:rPr>
        <w:t xml:space="preserve">) by using the floral dip method </w:t>
      </w:r>
      <w:r w:rsidRPr="002063E6">
        <w:rPr>
          <w:rFonts w:ascii="Arial" w:eastAsia="Arial" w:hAnsi="Arial" w:cs="Arial"/>
          <w:color w:val="000000"/>
        </w:rPr>
        <w:fldChar w:fldCharType="begin"/>
      </w:r>
      <w:r w:rsidRPr="002063E6">
        <w:rPr>
          <w:rFonts w:ascii="Arial" w:eastAsia="Arial" w:hAnsi="Arial" w:cs="Arial"/>
          <w:color w:val="000000"/>
        </w:rPr>
        <w:instrText xml:space="preserve"> ADDIN EN.CITE &lt;EndNote&gt;&lt;Cite&gt;&lt;Author&gt;Clough&lt;/Author&gt;&lt;Year&gt;1998&lt;/Year&gt;&lt;RecNum&gt;76&lt;/RecNum&gt;&lt;DisplayText&gt;(Clough &amp;amp; Bent, 1998)&lt;/DisplayText&gt;&lt;record&gt;&lt;rec-number&gt;76&lt;/rec-number&gt;&lt;foreign-keys&gt;&lt;key app="EN" db-id="sett0pvv3rw9vne5vr85szzsvr0vxaxrrd2x" timestamp="1703311111"&gt;76&lt;/key&gt;&lt;/foreign-keys&gt;&lt;ref-type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USA.&lt;/auth-address&gt;&lt;titles&gt;&lt;title&gt;Floral dip: a simplified method for Agrobacterium-mediated transformation of Arabidopsis thaliana&lt;/title&gt;&lt;secondary-title&gt;Plant J&lt;/secondary-title&gt;&lt;/titles&gt;&lt;periodical&gt;&lt;full-title&gt;Plant J&lt;/full-title&gt;&lt;/periodical&gt;&lt;pages&gt;735-43&lt;/pages&gt;&lt;volume&gt;16&lt;/volume&gt;&lt;number&gt;6&lt;/number&gt;&lt;keywords&gt;&lt;keyword&gt;Arabidopsis/*genetics/physiology&lt;/keyword&gt;&lt;keyword&gt;Genetic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lt;/isbn&gt;&lt;accession-num&gt;10069079&lt;/accession-num&gt;&lt;urls&gt;&lt;/urls&gt;&lt;electronic-resource-num&gt;10.1046/j.1365-313x.1998.00343.x&lt;/electronic-resource-num&gt;&lt;remote-database-provider&gt;NLM&lt;/remote-database-provider&gt;&lt;language&gt;eng&lt;/language&gt;&lt;/record&gt;&lt;/Cite&gt;&lt;/EndNote&gt;</w:instrText>
      </w:r>
      <w:r w:rsidRPr="002063E6">
        <w:rPr>
          <w:rFonts w:ascii="Arial" w:eastAsia="Arial" w:hAnsi="Arial" w:cs="Arial"/>
          <w:color w:val="000000"/>
        </w:rPr>
        <w:fldChar w:fldCharType="separate"/>
      </w:r>
      <w:r w:rsidRPr="002063E6">
        <w:rPr>
          <w:rFonts w:ascii="Arial" w:eastAsia="Arial" w:hAnsi="Arial" w:cs="Arial"/>
          <w:color w:val="000000"/>
        </w:rPr>
        <w:t>(Clough &amp; Bent, 1998)</w:t>
      </w:r>
      <w:r w:rsidRPr="002063E6">
        <w:rPr>
          <w:rFonts w:ascii="Arial" w:eastAsia="Arial" w:hAnsi="Arial" w:cs="Arial"/>
          <w:color w:val="000000"/>
        </w:rPr>
        <w:fldChar w:fldCharType="end"/>
      </w:r>
      <w:r w:rsidRPr="002063E6">
        <w:rPr>
          <w:rFonts w:ascii="Arial" w:eastAsia="Arial" w:hAnsi="Arial" w:cs="Arial"/>
          <w:color w:val="000000"/>
        </w:rPr>
        <w:t xml:space="preserve">. Transgenic plants were selected on MS agar with appropriate selection agent (BASTA 100 </w:t>
      </w:r>
      <w:proofErr w:type="spellStart"/>
      <w:r w:rsidRPr="002063E6">
        <w:rPr>
          <w:rFonts w:ascii="Arial" w:eastAsia="Arial" w:hAnsi="Arial" w:cs="Arial"/>
          <w:color w:val="000000"/>
        </w:rPr>
        <w:t>μg</w:t>
      </w:r>
      <w:proofErr w:type="spellEnd"/>
      <w:r w:rsidRPr="002063E6">
        <w:rPr>
          <w:rFonts w:ascii="Arial" w:eastAsia="Arial" w:hAnsi="Arial" w:cs="Arial"/>
          <w:color w:val="000000"/>
        </w:rPr>
        <w:t xml:space="preserve">/mL, Hygromycin 10 </w:t>
      </w:r>
      <w:proofErr w:type="spellStart"/>
      <w:r w:rsidRPr="002063E6">
        <w:rPr>
          <w:rFonts w:ascii="Arial" w:eastAsia="Arial" w:hAnsi="Arial" w:cs="Arial"/>
          <w:color w:val="000000"/>
        </w:rPr>
        <w:t>μg</w:t>
      </w:r>
      <w:proofErr w:type="spellEnd"/>
      <w:r w:rsidRPr="002063E6">
        <w:rPr>
          <w:rFonts w:ascii="Arial" w:eastAsia="Arial" w:hAnsi="Arial" w:cs="Arial"/>
          <w:color w:val="000000"/>
        </w:rPr>
        <w:t>/mL). Genotypes of survival transgenic plants were validated by PCR in the T1 generation and confirmed in the following 2–3 generations. For all the transformation, four transgenic lines were obtained and were used for phenotypic analysis.</w:t>
      </w:r>
    </w:p>
    <w:p w14:paraId="027F6C35" w14:textId="77777777" w:rsidR="002063E6" w:rsidRDefault="002063E6" w:rsidP="002063E6">
      <w:pPr>
        <w:jc w:val="both"/>
        <w:rPr>
          <w:rFonts w:ascii="Arial" w:eastAsia="Arial" w:hAnsi="Arial" w:cs="Arial"/>
          <w:color w:val="000000"/>
        </w:rPr>
      </w:pPr>
    </w:p>
    <w:p w14:paraId="23F26D2A" w14:textId="77777777" w:rsidR="002063E6" w:rsidRPr="002063E6" w:rsidRDefault="002063E6" w:rsidP="002063E6">
      <w:pPr>
        <w:jc w:val="both"/>
        <w:rPr>
          <w:rFonts w:ascii="Arial" w:eastAsia="Arial" w:hAnsi="Arial" w:cs="Arial"/>
          <w:b/>
          <w:color w:val="000000"/>
        </w:rPr>
      </w:pPr>
      <w:r w:rsidRPr="002063E6">
        <w:rPr>
          <w:rFonts w:ascii="Arial" w:eastAsia="Arial" w:hAnsi="Arial" w:cs="Arial"/>
          <w:b/>
          <w:i/>
          <w:color w:val="000000"/>
        </w:rPr>
        <w:t>β</w:t>
      </w:r>
      <w:r w:rsidRPr="002063E6">
        <w:rPr>
          <w:rFonts w:ascii="Arial" w:eastAsia="Arial" w:hAnsi="Arial" w:cs="Arial"/>
          <w:b/>
          <w:color w:val="000000"/>
        </w:rPr>
        <w:t>-Glucuronidase (GUS) staining and subcellular localization</w:t>
      </w:r>
    </w:p>
    <w:p w14:paraId="2652B6FB" w14:textId="77777777" w:rsidR="002063E6" w:rsidRPr="002063E6" w:rsidRDefault="002063E6" w:rsidP="002063E6">
      <w:pPr>
        <w:jc w:val="both"/>
        <w:rPr>
          <w:rFonts w:ascii="Arial" w:eastAsia="Arial" w:hAnsi="Arial" w:cs="Arial"/>
          <w:color w:val="000000"/>
        </w:rPr>
      </w:pPr>
    </w:p>
    <w:p w14:paraId="4E42830A" w14:textId="77777777" w:rsidR="002063E6" w:rsidRPr="002063E6" w:rsidRDefault="002063E6" w:rsidP="002063E6">
      <w:pPr>
        <w:jc w:val="both"/>
        <w:rPr>
          <w:rFonts w:ascii="Arial" w:eastAsia="Arial" w:hAnsi="Arial" w:cs="Arial"/>
          <w:color w:val="000000"/>
        </w:rPr>
      </w:pPr>
      <w:r w:rsidRPr="002063E6">
        <w:rPr>
          <w:rFonts w:ascii="Arial" w:eastAsia="Arial" w:hAnsi="Arial" w:cs="Arial"/>
          <w:color w:val="000000"/>
        </w:rPr>
        <w:t xml:space="preserve">To study the in planta expression of AtDEK2, 1 kb of the promoter region of DEK2 was PCR amplified from RIKEN TAC clone (pdg02820) and cloned into </w:t>
      </w:r>
      <w:proofErr w:type="spellStart"/>
      <w:r w:rsidRPr="002063E6">
        <w:rPr>
          <w:rFonts w:ascii="Arial" w:eastAsia="Arial" w:hAnsi="Arial" w:cs="Arial"/>
          <w:color w:val="000000"/>
        </w:rPr>
        <w:t>pENTR</w:t>
      </w:r>
      <w:proofErr w:type="spellEnd"/>
      <w:r w:rsidRPr="002063E6">
        <w:rPr>
          <w:rFonts w:ascii="Arial" w:eastAsia="Arial" w:hAnsi="Arial" w:cs="Arial"/>
          <w:color w:val="000000"/>
        </w:rPr>
        <w:t xml:space="preserve">-D/Topo (Invitrogen) and consequently recombined with the pGWB433 vector by LR reaction to generate </w:t>
      </w:r>
      <w:r w:rsidRPr="002063E6">
        <w:rPr>
          <w:rFonts w:ascii="Arial" w:eastAsia="Arial" w:hAnsi="Arial" w:cs="Arial"/>
          <w:i/>
          <w:color w:val="000000"/>
        </w:rPr>
        <w:t>ProAtDEK</w:t>
      </w:r>
      <w:proofErr w:type="gramStart"/>
      <w:r w:rsidRPr="002063E6">
        <w:rPr>
          <w:rFonts w:ascii="Arial" w:eastAsia="Arial" w:hAnsi="Arial" w:cs="Arial"/>
          <w:i/>
          <w:color w:val="000000"/>
        </w:rPr>
        <w:t>2</w:t>
      </w:r>
      <w:r w:rsidRPr="002063E6">
        <w:rPr>
          <w:rFonts w:ascii="Arial" w:eastAsia="Arial" w:hAnsi="Arial" w:cs="Arial"/>
          <w:color w:val="000000"/>
        </w:rPr>
        <w:t>::</w:t>
      </w:r>
      <w:proofErr w:type="gramEnd"/>
      <w:r w:rsidRPr="002063E6">
        <w:rPr>
          <w:rFonts w:ascii="Arial" w:eastAsia="Arial" w:hAnsi="Arial" w:cs="Arial"/>
          <w:i/>
          <w:color w:val="000000"/>
        </w:rPr>
        <w:t xml:space="preserve">Gus construct. The </w:t>
      </w:r>
      <w:r w:rsidRPr="002063E6">
        <w:rPr>
          <w:rFonts w:ascii="Arial" w:eastAsia="Arial" w:hAnsi="Arial" w:cs="Arial"/>
          <w:color w:val="000000"/>
        </w:rPr>
        <w:t xml:space="preserve">construct was introduced into </w:t>
      </w:r>
      <w:r w:rsidRPr="002063E6">
        <w:rPr>
          <w:rFonts w:ascii="Arial" w:eastAsia="Arial" w:hAnsi="Arial" w:cs="Arial"/>
          <w:i/>
          <w:iCs/>
          <w:color w:val="000000"/>
        </w:rPr>
        <w:t>A. thaliana</w:t>
      </w:r>
      <w:r w:rsidRPr="002063E6">
        <w:rPr>
          <w:rFonts w:ascii="Arial" w:eastAsia="Arial" w:hAnsi="Arial" w:cs="Arial"/>
          <w:color w:val="000000"/>
        </w:rPr>
        <w:t xml:space="preserve"> (Col-O) by Agrobacterium tumefaciens-mediated transformation C58C1. Progeny of these transgenic plants were selected on MS agar plates supplemented with 50 </w:t>
      </w:r>
      <w:proofErr w:type="spellStart"/>
      <w:r w:rsidRPr="002063E6">
        <w:rPr>
          <w:rFonts w:ascii="Arial" w:eastAsia="Arial" w:hAnsi="Arial" w:cs="Arial"/>
          <w:color w:val="000000"/>
        </w:rPr>
        <w:t>μM</w:t>
      </w:r>
      <w:proofErr w:type="spellEnd"/>
      <w:r w:rsidRPr="002063E6">
        <w:rPr>
          <w:rFonts w:ascii="Arial" w:eastAsia="Arial" w:hAnsi="Arial" w:cs="Arial"/>
          <w:color w:val="000000"/>
        </w:rPr>
        <w:t xml:space="preserve"> kanamycin. Histochemical detection of GUS activity was performed using 5 – 10 day-old seedlings incubated in the GUS staining solution as described in</w:t>
      </w:r>
      <w:r w:rsidRPr="002063E6">
        <w:rPr>
          <w:rFonts w:ascii="Arial" w:eastAsia="Arial" w:hAnsi="Arial" w:cs="Arial"/>
          <w:color w:val="000000"/>
        </w:rPr>
        <w:fldChar w:fldCharType="begin"/>
      </w:r>
      <w:r w:rsidRPr="002063E6">
        <w:rPr>
          <w:rFonts w:ascii="Arial" w:eastAsia="Arial" w:hAnsi="Arial" w:cs="Arial"/>
          <w:color w:val="000000"/>
        </w:rPr>
        <w:instrText xml:space="preserve"> ADDIN EN.CITE &lt;EndNote&gt;&lt;Cite&gt;&lt;Author&gt;Jefferson&lt;/Author&gt;&lt;Year&gt;1987&lt;/Year&gt;&lt;RecNum&gt;77&lt;/RecNum&gt;&lt;DisplayText&gt;(Jefferson&lt;style face="italic"&gt; et al.&lt;/style&gt;, 1987)&lt;/DisplayText&gt;&lt;record&gt;&lt;rec-number&gt;77&lt;/rec-number&gt;&lt;foreign-keys&gt;&lt;key app="EN" db-id="sett0pvv3rw9vne5vr85szzsvr0vxaxrrd2x" timestamp="1703311111"&gt;77&lt;/key&gt;&lt;/foreign-keys&gt;&lt;ref-type name="Journal Article"&gt;17&lt;/ref-type&gt;&lt;contributors&gt;&lt;authors&gt;&lt;author&gt;Jefferson, R. A.&lt;/author&gt;&lt;author&gt;Kavanagh, T. A.&lt;/author&gt;&lt;author&gt;Bevan, M. W.&lt;/author&gt;&lt;/authors&gt;&lt;/contributors&gt;&lt;auth-address&gt;Department of Molecular Genetics, Plant Breeding Institute, Trumpington, Cambridge, UK.&lt;/auth-address&gt;&lt;titles&gt;&lt;title&gt;GUS fusions: beta-glucuronidase as a sensitive and versatile gene fusion marker in higher plants&lt;/title&gt;&lt;secondary-title&gt;Embo j&lt;/secondary-title&gt;&lt;/titles&gt;&lt;periodical&gt;&lt;full-title&gt;Embo j&lt;/full-title&gt;&lt;/periodical&gt;&lt;pages&gt;3901-7&lt;/pages&gt;&lt;volume&gt;6&lt;/volume&gt;&lt;number&gt;13&lt;/number&gt;&lt;keywords&gt;&lt;keyword&gt;*Cloning, Molecular&lt;/keyword&gt;&lt;keyword&gt;Escherichia coli/*genetics&lt;/keyword&gt;&lt;keyword&gt;*Genes&lt;/keyword&gt;&lt;keyword&gt;*Genes, Bacterial&lt;/keyword&gt;&lt;keyword&gt;Glucuronidase/*genetics/metabolism&lt;/keyword&gt;&lt;keyword&gt;Plants/enzymology/*genetics&lt;/keyword&gt;&lt;keyword&gt;Promoter Regions, Genetic&lt;/keyword&gt;&lt;keyword&gt;Ribulose-Bisphosphate Carboxylase/genetics&lt;/keyword&gt;&lt;/keywords&gt;&lt;dates&gt;&lt;year&gt;1987&lt;/year&gt;&lt;pub-dates&gt;&lt;date&gt;Dec 20&lt;/date&gt;&lt;/pub-dates&gt;&lt;/dates&gt;&lt;isbn&gt;0261-4189 (Print)&amp;#xD;0261-4189&lt;/isbn&gt;&lt;accession-num&gt;3327686&lt;/accession-num&gt;&lt;urls&gt;&lt;/urls&gt;&lt;custom2&gt;PMC553867&lt;/custom2&gt;&lt;electronic-resource-num&gt;10.1002/j.1460-2075.1987.tb02730.x&lt;/electronic-resource-num&gt;&lt;remote-database-provider&gt;NLM&lt;/remote-database-provider&gt;&lt;language&gt;eng&lt;/language&gt;&lt;/record&gt;&lt;/Cite&gt;&lt;/EndNote&gt;</w:instrText>
      </w:r>
      <w:r w:rsidRPr="002063E6">
        <w:rPr>
          <w:rFonts w:ascii="Arial" w:eastAsia="Arial" w:hAnsi="Arial" w:cs="Arial"/>
          <w:color w:val="000000"/>
        </w:rPr>
        <w:fldChar w:fldCharType="separate"/>
      </w:r>
      <w:r w:rsidRPr="002063E6">
        <w:rPr>
          <w:rFonts w:ascii="Arial" w:eastAsia="Arial" w:hAnsi="Arial" w:cs="Arial"/>
          <w:color w:val="000000"/>
        </w:rPr>
        <w:t>(Jefferson</w:t>
      </w:r>
      <w:r w:rsidRPr="002063E6">
        <w:rPr>
          <w:rFonts w:ascii="Arial" w:eastAsia="Arial" w:hAnsi="Arial" w:cs="Arial"/>
          <w:i/>
          <w:color w:val="000000"/>
        </w:rPr>
        <w:t xml:space="preserve"> et al.</w:t>
      </w:r>
      <w:r w:rsidRPr="002063E6">
        <w:rPr>
          <w:rFonts w:ascii="Arial" w:eastAsia="Arial" w:hAnsi="Arial" w:cs="Arial"/>
          <w:color w:val="000000"/>
        </w:rPr>
        <w:t>, 1987)</w:t>
      </w:r>
      <w:r w:rsidRPr="002063E6">
        <w:rPr>
          <w:rFonts w:ascii="Arial" w:eastAsia="Arial" w:hAnsi="Arial" w:cs="Arial"/>
          <w:color w:val="000000"/>
        </w:rPr>
        <w:fldChar w:fldCharType="end"/>
      </w:r>
      <w:r w:rsidRPr="002063E6">
        <w:rPr>
          <w:rFonts w:ascii="Arial" w:eastAsia="Arial" w:hAnsi="Arial" w:cs="Arial"/>
          <w:color w:val="000000"/>
        </w:rPr>
        <w:t xml:space="preserve"> at 37°C for 1 – 3 hours followed by destaining in </w:t>
      </w:r>
      <w:proofErr w:type="spellStart"/>
      <w:r w:rsidRPr="002063E6">
        <w:rPr>
          <w:rFonts w:ascii="Arial" w:eastAsia="Arial" w:hAnsi="Arial" w:cs="Arial"/>
          <w:color w:val="000000"/>
        </w:rPr>
        <w:t>Visikol</w:t>
      </w:r>
      <w:proofErr w:type="spellEnd"/>
      <w:r w:rsidRPr="002063E6">
        <w:rPr>
          <w:rFonts w:ascii="Arial" w:eastAsia="Arial" w:hAnsi="Arial" w:cs="Arial"/>
          <w:color w:val="000000"/>
        </w:rPr>
        <w:t xml:space="preserve"> (</w:t>
      </w:r>
      <w:proofErr w:type="spellStart"/>
      <w:r w:rsidRPr="002063E6">
        <w:rPr>
          <w:rFonts w:ascii="Arial" w:eastAsia="Arial" w:hAnsi="Arial" w:cs="Arial"/>
          <w:color w:val="000000"/>
        </w:rPr>
        <w:t>Phytosys</w:t>
      </w:r>
      <w:proofErr w:type="spellEnd"/>
      <w:r w:rsidRPr="002063E6">
        <w:rPr>
          <w:rFonts w:ascii="Arial" w:eastAsia="Arial" w:hAnsi="Arial" w:cs="Arial"/>
          <w:color w:val="000000"/>
        </w:rPr>
        <w:t xml:space="preserve"> LLC).</w:t>
      </w:r>
    </w:p>
    <w:p w14:paraId="68A9F7E3" w14:textId="77777777" w:rsidR="002063E6" w:rsidRPr="002063E6" w:rsidRDefault="002063E6" w:rsidP="002063E6">
      <w:pPr>
        <w:jc w:val="both"/>
        <w:rPr>
          <w:rFonts w:ascii="Arial" w:eastAsia="Arial" w:hAnsi="Arial" w:cs="Arial"/>
          <w:color w:val="000000"/>
        </w:rPr>
      </w:pPr>
    </w:p>
    <w:p w14:paraId="5B97B6D3" w14:textId="0AEA13B9" w:rsidR="002063E6" w:rsidRDefault="002063E6" w:rsidP="002063E6">
      <w:pPr>
        <w:jc w:val="both"/>
        <w:rPr>
          <w:rFonts w:ascii="Arial" w:eastAsia="Arial" w:hAnsi="Arial" w:cs="Arial"/>
          <w:color w:val="000000"/>
        </w:rPr>
      </w:pPr>
      <w:r w:rsidRPr="002063E6">
        <w:rPr>
          <w:rFonts w:ascii="Arial" w:eastAsia="Arial" w:hAnsi="Arial" w:cs="Arial"/>
          <w:color w:val="000000"/>
        </w:rPr>
        <w:t xml:space="preserve">Subcellular localization assay was performed on 6-day-old </w:t>
      </w:r>
      <w:r w:rsidRPr="002063E6">
        <w:rPr>
          <w:rFonts w:ascii="Arial" w:eastAsia="Arial" w:hAnsi="Arial" w:cs="Arial"/>
          <w:i/>
          <w:color w:val="000000"/>
        </w:rPr>
        <w:t xml:space="preserve">AtDEK2 </w:t>
      </w:r>
      <w:r w:rsidRPr="002063E6">
        <w:rPr>
          <w:rFonts w:ascii="Arial" w:eastAsia="Arial" w:hAnsi="Arial" w:cs="Arial"/>
          <w:color w:val="000000"/>
        </w:rPr>
        <w:t xml:space="preserve">transgenic </w:t>
      </w:r>
      <w:r w:rsidRPr="002063E6">
        <w:rPr>
          <w:rFonts w:ascii="Arial" w:eastAsia="Arial" w:hAnsi="Arial" w:cs="Arial"/>
          <w:i/>
          <w:iCs/>
          <w:color w:val="000000"/>
        </w:rPr>
        <w:t>A. thaliana</w:t>
      </w:r>
      <w:r w:rsidRPr="002063E6">
        <w:rPr>
          <w:rFonts w:ascii="Arial" w:eastAsia="Arial" w:hAnsi="Arial" w:cs="Arial"/>
          <w:i/>
          <w:color w:val="000000"/>
        </w:rPr>
        <w:t xml:space="preserve"> </w:t>
      </w:r>
      <w:r w:rsidRPr="002063E6">
        <w:rPr>
          <w:rFonts w:ascii="Arial" w:eastAsia="Arial" w:hAnsi="Arial" w:cs="Arial"/>
          <w:color w:val="000000"/>
        </w:rPr>
        <w:t xml:space="preserve">complemented stable lines under native promoter fused to YFP.  For Subcellular localization in </w:t>
      </w:r>
      <w:r w:rsidRPr="002063E6">
        <w:rPr>
          <w:rFonts w:ascii="Arial" w:eastAsia="Arial" w:hAnsi="Arial" w:cs="Arial"/>
          <w:i/>
          <w:color w:val="000000"/>
        </w:rPr>
        <w:t xml:space="preserve">N. </w:t>
      </w:r>
      <w:proofErr w:type="spellStart"/>
      <w:r w:rsidRPr="002063E6">
        <w:rPr>
          <w:rFonts w:ascii="Arial" w:eastAsia="Arial" w:hAnsi="Arial" w:cs="Arial"/>
          <w:i/>
          <w:color w:val="000000"/>
        </w:rPr>
        <w:t>benthamiana</w:t>
      </w:r>
      <w:proofErr w:type="spellEnd"/>
      <w:r w:rsidRPr="002063E6">
        <w:rPr>
          <w:rFonts w:ascii="Arial" w:eastAsia="Arial" w:hAnsi="Arial" w:cs="Arial"/>
          <w:color w:val="000000"/>
        </w:rPr>
        <w:t xml:space="preserve">, the gene of interest was cloned in fusion with GFP at their N- or C-terminal part under the control of the CaMV-35S promoter (in the pGWB5 vector), or under the control of ubiquitin promoter in the </w:t>
      </w:r>
      <w:proofErr w:type="spellStart"/>
      <w:r w:rsidRPr="002063E6">
        <w:rPr>
          <w:rFonts w:ascii="Arial" w:eastAsia="Arial" w:hAnsi="Arial" w:cs="Arial"/>
          <w:color w:val="000000"/>
        </w:rPr>
        <w:t>pUBIN</w:t>
      </w:r>
      <w:proofErr w:type="spellEnd"/>
      <w:r w:rsidRPr="002063E6">
        <w:rPr>
          <w:rFonts w:ascii="Arial" w:eastAsia="Arial" w:hAnsi="Arial" w:cs="Arial"/>
          <w:color w:val="000000"/>
        </w:rPr>
        <w:t xml:space="preserve">-GFP, </w:t>
      </w:r>
      <w:proofErr w:type="spellStart"/>
      <w:r w:rsidRPr="002063E6">
        <w:rPr>
          <w:rFonts w:ascii="Arial" w:eastAsia="Arial" w:hAnsi="Arial" w:cs="Arial"/>
          <w:color w:val="000000"/>
        </w:rPr>
        <w:t>pUBIC</w:t>
      </w:r>
      <w:proofErr w:type="spellEnd"/>
      <w:r w:rsidRPr="002063E6">
        <w:rPr>
          <w:rFonts w:ascii="Arial" w:eastAsia="Arial" w:hAnsi="Arial" w:cs="Arial"/>
          <w:color w:val="000000"/>
        </w:rPr>
        <w:t xml:space="preserve">-GFP respectively. Plasmids were transformed into </w:t>
      </w:r>
      <w:r w:rsidRPr="002063E6">
        <w:rPr>
          <w:rFonts w:ascii="Arial" w:eastAsia="Arial" w:hAnsi="Arial" w:cs="Arial"/>
          <w:i/>
          <w:color w:val="000000"/>
        </w:rPr>
        <w:t xml:space="preserve">A. </w:t>
      </w:r>
      <w:proofErr w:type="spellStart"/>
      <w:r w:rsidRPr="002063E6">
        <w:rPr>
          <w:rFonts w:ascii="Arial" w:eastAsia="Arial" w:hAnsi="Arial" w:cs="Arial"/>
          <w:i/>
          <w:color w:val="000000"/>
        </w:rPr>
        <w:t>tumefacies</w:t>
      </w:r>
      <w:proofErr w:type="spellEnd"/>
      <w:r w:rsidRPr="002063E6">
        <w:rPr>
          <w:rFonts w:ascii="Arial" w:eastAsia="Arial" w:hAnsi="Arial" w:cs="Arial"/>
          <w:i/>
          <w:color w:val="000000"/>
        </w:rPr>
        <w:t xml:space="preserve"> C58C1 and </w:t>
      </w:r>
      <w:r w:rsidRPr="002063E6">
        <w:rPr>
          <w:rFonts w:ascii="Arial" w:eastAsia="Arial" w:hAnsi="Arial" w:cs="Arial"/>
          <w:color w:val="000000"/>
        </w:rPr>
        <w:t xml:space="preserve">CFP–serrate as a marker for nucleus were infiltrated into leaves of four-week-old </w:t>
      </w:r>
      <w:r w:rsidRPr="002063E6">
        <w:rPr>
          <w:rFonts w:ascii="Arial" w:eastAsia="Arial" w:hAnsi="Arial" w:cs="Arial"/>
          <w:i/>
          <w:color w:val="000000"/>
        </w:rPr>
        <w:t xml:space="preserve">N. </w:t>
      </w:r>
      <w:proofErr w:type="spellStart"/>
      <w:r w:rsidRPr="002063E6">
        <w:rPr>
          <w:rFonts w:ascii="Arial" w:eastAsia="Arial" w:hAnsi="Arial" w:cs="Arial"/>
          <w:i/>
          <w:color w:val="000000"/>
        </w:rPr>
        <w:t>benthamiana</w:t>
      </w:r>
      <w:proofErr w:type="spellEnd"/>
      <w:r w:rsidRPr="002063E6">
        <w:rPr>
          <w:rFonts w:ascii="Arial" w:eastAsia="Arial" w:hAnsi="Arial" w:cs="Arial"/>
          <w:i/>
          <w:color w:val="000000"/>
        </w:rPr>
        <w:t xml:space="preserve"> </w:t>
      </w:r>
      <w:r w:rsidRPr="002063E6">
        <w:rPr>
          <w:rFonts w:ascii="Arial" w:eastAsia="Arial" w:hAnsi="Arial" w:cs="Arial"/>
          <w:color w:val="000000"/>
        </w:rPr>
        <w:t>plants using needle less syringes. After three days, fluorescence signals were excited at 488 nm and detected using an upright Zeiss LSM880 laser scanning confocal microscope with a 20X/40X objective (Plan-Apochromat, NA 1.0).  All images were acquired using Argon laser.</w:t>
      </w:r>
    </w:p>
    <w:p w14:paraId="7C2EED76" w14:textId="77777777" w:rsidR="007F02E2" w:rsidRDefault="007F02E2" w:rsidP="002063E6">
      <w:pPr>
        <w:jc w:val="both"/>
        <w:rPr>
          <w:rFonts w:ascii="Arial" w:eastAsia="Arial" w:hAnsi="Arial" w:cs="Arial"/>
          <w:color w:val="000000"/>
        </w:rPr>
      </w:pPr>
    </w:p>
    <w:p w14:paraId="7DFE362B" w14:textId="77777777" w:rsidR="007F02E2" w:rsidRDefault="007F02E2" w:rsidP="007F02E2">
      <w:pPr>
        <w:jc w:val="both"/>
        <w:rPr>
          <w:rFonts w:ascii="Arial" w:eastAsia="Arial" w:hAnsi="Arial" w:cs="Arial"/>
          <w:b/>
          <w:bCs/>
          <w:color w:val="000000"/>
        </w:rPr>
      </w:pPr>
      <w:r w:rsidRPr="007F02E2">
        <w:rPr>
          <w:rFonts w:ascii="Arial" w:eastAsia="Arial" w:hAnsi="Arial" w:cs="Arial"/>
          <w:b/>
          <w:bCs/>
          <w:color w:val="000000"/>
        </w:rPr>
        <w:t>Phosphorylation assay and identification of phosphorylated peptide by LC-MS/MS</w:t>
      </w:r>
    </w:p>
    <w:p w14:paraId="0855BC99" w14:textId="27338190" w:rsidR="007F02E2" w:rsidRPr="007F02E2" w:rsidRDefault="007F02E2" w:rsidP="007F02E2">
      <w:pPr>
        <w:jc w:val="both"/>
        <w:rPr>
          <w:rFonts w:ascii="Arial" w:eastAsia="Arial" w:hAnsi="Arial" w:cs="Arial"/>
          <w:color w:val="000000"/>
        </w:rPr>
      </w:pPr>
      <w:r w:rsidRPr="007F02E2">
        <w:rPr>
          <w:rFonts w:ascii="Arial" w:eastAsia="Arial" w:hAnsi="Arial" w:cs="Arial"/>
          <w:b/>
          <w:bCs/>
          <w:color w:val="000000"/>
        </w:rPr>
        <w:t xml:space="preserve"> </w:t>
      </w:r>
    </w:p>
    <w:p w14:paraId="5C30F6F2" w14:textId="77777777" w:rsidR="007F02E2" w:rsidRDefault="007F02E2" w:rsidP="007F02E2">
      <w:pPr>
        <w:jc w:val="both"/>
        <w:rPr>
          <w:rFonts w:ascii="Arial" w:eastAsia="Arial" w:hAnsi="Arial" w:cs="Arial"/>
          <w:color w:val="000000"/>
        </w:rPr>
      </w:pPr>
      <w:r w:rsidRPr="007F02E2">
        <w:rPr>
          <w:rFonts w:ascii="Arial" w:eastAsia="Arial" w:hAnsi="Arial" w:cs="Arial"/>
          <w:color w:val="000000"/>
        </w:rPr>
        <w:t xml:space="preserve">Purified recombinant proteins and constitutively active MPK6 were </w:t>
      </w:r>
      <w:proofErr w:type="gramStart"/>
      <w:r w:rsidRPr="007F02E2">
        <w:rPr>
          <w:rFonts w:ascii="Arial" w:eastAsia="Arial" w:hAnsi="Arial" w:cs="Arial"/>
          <w:color w:val="000000"/>
        </w:rPr>
        <w:t>mixed together</w:t>
      </w:r>
      <w:proofErr w:type="gramEnd"/>
      <w:r w:rsidRPr="007F02E2">
        <w:rPr>
          <w:rFonts w:ascii="Arial" w:eastAsia="Arial" w:hAnsi="Arial" w:cs="Arial"/>
          <w:color w:val="000000"/>
        </w:rPr>
        <w:t xml:space="preserve"> in kinase reaction buffer (20 mM Tris-HCl pH 7.5, 10 mM MgCl2, 5 mM EGTA, 1 mM DTT </w:t>
      </w:r>
      <w:r w:rsidRPr="007F02E2">
        <w:rPr>
          <w:rFonts w:ascii="Arial" w:eastAsia="Arial" w:hAnsi="Arial" w:cs="Arial"/>
          <w:color w:val="000000"/>
        </w:rPr>
        <w:lastRenderedPageBreak/>
        <w:t xml:space="preserve">and 50 </w:t>
      </w:r>
      <w:proofErr w:type="spellStart"/>
      <w:r w:rsidRPr="007F02E2">
        <w:rPr>
          <w:rFonts w:ascii="Arial" w:eastAsia="Arial" w:hAnsi="Arial" w:cs="Arial"/>
          <w:color w:val="000000"/>
        </w:rPr>
        <w:t>μM</w:t>
      </w:r>
      <w:proofErr w:type="spellEnd"/>
      <w:r w:rsidRPr="007F02E2">
        <w:rPr>
          <w:rFonts w:ascii="Arial" w:eastAsia="Arial" w:hAnsi="Arial" w:cs="Arial"/>
          <w:color w:val="000000"/>
        </w:rPr>
        <w:t xml:space="preserve"> ATP) and incubated at room temperature for 30 min. The reaction was stopped by adding SDS loading dye followed by boiling at 95 °C for 10 min. Protein samples were resolved by SDS-PAGE and after staining the proteins the band corresponding to the protein of interest was excised out and cut into small pieces of roughly 1-2 mm and de-stained with four successive washes of acetonitrile (ACN) and 100 mM NH4HCO3 for15 min each. The </w:t>
      </w:r>
      <w:proofErr w:type="spellStart"/>
      <w:r w:rsidRPr="007F02E2">
        <w:rPr>
          <w:rFonts w:ascii="Arial" w:eastAsia="Arial" w:hAnsi="Arial" w:cs="Arial"/>
          <w:color w:val="000000"/>
        </w:rPr>
        <w:t>disulphide</w:t>
      </w:r>
      <w:proofErr w:type="spellEnd"/>
      <w:r w:rsidRPr="007F02E2">
        <w:rPr>
          <w:rFonts w:ascii="Arial" w:eastAsia="Arial" w:hAnsi="Arial" w:cs="Arial"/>
          <w:color w:val="000000"/>
        </w:rPr>
        <w:t xml:space="preserve"> bridges in the proteins were reduced with 10 mM </w:t>
      </w:r>
      <w:proofErr w:type="gramStart"/>
      <w:r w:rsidRPr="007F02E2">
        <w:rPr>
          <w:rFonts w:ascii="Arial" w:eastAsia="Arial" w:hAnsi="Arial" w:cs="Arial"/>
          <w:color w:val="000000"/>
        </w:rPr>
        <w:t>Tris(</w:t>
      </w:r>
      <w:proofErr w:type="gramEnd"/>
      <w:r w:rsidRPr="007F02E2">
        <w:rPr>
          <w:rFonts w:ascii="Arial" w:eastAsia="Arial" w:hAnsi="Arial" w:cs="Arial"/>
          <w:color w:val="000000"/>
        </w:rPr>
        <w:t xml:space="preserve">2- carboxyethyl)phosphine (TCEP, C-4706 Sigma) in 100 mM NH4HCO3 at 37°C for 1 h followed by alkylation of the </w:t>
      </w:r>
      <w:proofErr w:type="spellStart"/>
      <w:r w:rsidRPr="007F02E2">
        <w:rPr>
          <w:rFonts w:ascii="Arial" w:eastAsia="Arial" w:hAnsi="Arial" w:cs="Arial"/>
          <w:color w:val="000000"/>
        </w:rPr>
        <w:t>sulphide</w:t>
      </w:r>
      <w:proofErr w:type="spellEnd"/>
      <w:r w:rsidRPr="007F02E2">
        <w:rPr>
          <w:rFonts w:ascii="Arial" w:eastAsia="Arial" w:hAnsi="Arial" w:cs="Arial"/>
          <w:color w:val="000000"/>
        </w:rPr>
        <w:t xml:space="preserve"> groups with 20 mM S-Methyl </w:t>
      </w:r>
      <w:proofErr w:type="spellStart"/>
      <w:r w:rsidRPr="007F02E2">
        <w:rPr>
          <w:rFonts w:ascii="Arial" w:eastAsia="Arial" w:hAnsi="Arial" w:cs="Arial"/>
          <w:color w:val="000000"/>
        </w:rPr>
        <w:t>methanethiosulfonate</w:t>
      </w:r>
      <w:proofErr w:type="spellEnd"/>
      <w:r w:rsidRPr="007F02E2">
        <w:rPr>
          <w:rFonts w:ascii="Arial" w:eastAsia="Arial" w:hAnsi="Arial" w:cs="Arial"/>
          <w:color w:val="000000"/>
        </w:rPr>
        <w:t xml:space="preserve"> (MMTS, 64306 Sigma) at ambient temperature for 30 min. Proteins were then digested overnight at 37°C with trypsin (Porcine trypsin, Promega). To stop the digestion, formic acid was added to a final concentration of 1% and the peptides were recovered by incubating the gel pieces in ACN. The recovered peptide solution was desalted using C18 </w:t>
      </w:r>
      <w:proofErr w:type="spellStart"/>
      <w:r w:rsidRPr="007F02E2">
        <w:rPr>
          <w:rFonts w:ascii="Arial" w:eastAsia="Arial" w:hAnsi="Arial" w:cs="Arial"/>
          <w:color w:val="000000"/>
        </w:rPr>
        <w:t>ZipTip</w:t>
      </w:r>
      <w:proofErr w:type="spellEnd"/>
      <w:r w:rsidRPr="007F02E2">
        <w:rPr>
          <w:rFonts w:ascii="Arial" w:eastAsia="Arial" w:hAnsi="Arial" w:cs="Arial"/>
          <w:color w:val="000000"/>
        </w:rPr>
        <w:t xml:space="preserve">® (Millipore Cat. No. ZTC18S096) and completely dried in a </w:t>
      </w:r>
      <w:proofErr w:type="spellStart"/>
      <w:r w:rsidRPr="007F02E2">
        <w:rPr>
          <w:rFonts w:ascii="Arial" w:eastAsia="Arial" w:hAnsi="Arial" w:cs="Arial"/>
          <w:color w:val="000000"/>
        </w:rPr>
        <w:t>speedvac</w:t>
      </w:r>
      <w:proofErr w:type="spellEnd"/>
      <w:r w:rsidRPr="007F02E2">
        <w:rPr>
          <w:rFonts w:ascii="Arial" w:eastAsia="Arial" w:hAnsi="Arial" w:cs="Arial"/>
          <w:color w:val="000000"/>
        </w:rPr>
        <w:t xml:space="preserve"> concentrator and analyzed by LC-MS/MS. Briefly, peptide samples were separated on a C18 column (Acclaim </w:t>
      </w:r>
      <w:proofErr w:type="spellStart"/>
      <w:r w:rsidRPr="007F02E2">
        <w:rPr>
          <w:rFonts w:ascii="Arial" w:eastAsia="Arial" w:hAnsi="Arial" w:cs="Arial"/>
          <w:color w:val="000000"/>
        </w:rPr>
        <w:t>PepMap</w:t>
      </w:r>
      <w:proofErr w:type="spellEnd"/>
      <w:r w:rsidRPr="007F02E2">
        <w:rPr>
          <w:rFonts w:ascii="Arial" w:eastAsia="Arial" w:hAnsi="Arial" w:cs="Arial"/>
          <w:color w:val="000000"/>
        </w:rPr>
        <w:t xml:space="preserve"> C18, 25 cm length x 75 </w:t>
      </w:r>
      <w:proofErr w:type="spellStart"/>
      <w:r w:rsidRPr="007F02E2">
        <w:rPr>
          <w:rFonts w:ascii="Arial" w:eastAsia="Arial" w:hAnsi="Arial" w:cs="Arial"/>
          <w:color w:val="000000"/>
        </w:rPr>
        <w:t>μm</w:t>
      </w:r>
      <w:proofErr w:type="spellEnd"/>
      <w:r w:rsidRPr="007F02E2">
        <w:rPr>
          <w:rFonts w:ascii="Arial" w:eastAsia="Arial" w:hAnsi="Arial" w:cs="Arial"/>
          <w:color w:val="000000"/>
        </w:rPr>
        <w:t xml:space="preserve"> I.D. x 3 </w:t>
      </w:r>
      <w:proofErr w:type="spellStart"/>
      <w:r w:rsidRPr="007F02E2">
        <w:rPr>
          <w:rFonts w:ascii="Arial" w:eastAsia="Arial" w:hAnsi="Arial" w:cs="Arial"/>
          <w:color w:val="000000"/>
        </w:rPr>
        <w:t>μm</w:t>
      </w:r>
      <w:proofErr w:type="spellEnd"/>
      <w:r w:rsidRPr="007F02E2">
        <w:rPr>
          <w:rFonts w:ascii="Arial" w:eastAsia="Arial" w:hAnsi="Arial" w:cs="Arial"/>
          <w:color w:val="000000"/>
        </w:rPr>
        <w:t xml:space="preserve"> particle size, 100 Å porosity, </w:t>
      </w:r>
      <w:proofErr w:type="spellStart"/>
      <w:r w:rsidRPr="007F02E2">
        <w:rPr>
          <w:rFonts w:ascii="Arial" w:eastAsia="Arial" w:hAnsi="Arial" w:cs="Arial"/>
          <w:color w:val="000000"/>
        </w:rPr>
        <w:t>Dionex</w:t>
      </w:r>
      <w:proofErr w:type="spellEnd"/>
      <w:r w:rsidRPr="007F02E2">
        <w:rPr>
          <w:rFonts w:ascii="Arial" w:eastAsia="Arial" w:hAnsi="Arial" w:cs="Arial"/>
          <w:color w:val="000000"/>
        </w:rPr>
        <w:t>) connected to an LTQ-Orbitrap Velos or a Q-</w:t>
      </w:r>
      <w:proofErr w:type="spellStart"/>
      <w:r w:rsidRPr="007F02E2">
        <w:rPr>
          <w:rFonts w:ascii="Arial" w:eastAsia="Arial" w:hAnsi="Arial" w:cs="Arial"/>
          <w:color w:val="000000"/>
        </w:rPr>
        <w:t>Exactive</w:t>
      </w:r>
      <w:proofErr w:type="spellEnd"/>
      <w:r w:rsidRPr="007F02E2">
        <w:rPr>
          <w:rFonts w:ascii="Arial" w:eastAsia="Arial" w:hAnsi="Arial" w:cs="Arial"/>
          <w:color w:val="000000"/>
        </w:rPr>
        <w:t xml:space="preserve"> HF instrument (</w:t>
      </w:r>
      <w:proofErr w:type="spellStart"/>
      <w:r w:rsidRPr="007F02E2">
        <w:rPr>
          <w:rFonts w:ascii="Arial" w:eastAsia="Arial" w:hAnsi="Arial" w:cs="Arial"/>
          <w:color w:val="000000"/>
        </w:rPr>
        <w:t>Thermofisher</w:t>
      </w:r>
      <w:proofErr w:type="spellEnd"/>
      <w:r w:rsidRPr="007F02E2">
        <w:rPr>
          <w:rFonts w:ascii="Arial" w:eastAsia="Arial" w:hAnsi="Arial" w:cs="Arial"/>
          <w:color w:val="000000"/>
        </w:rPr>
        <w:t xml:space="preserve"> Scientific). The MS instrument acquired fragmentation spectra on the top 10 peptides using CID fragmentation in the LTQ-Orbitrap or HCD in the Q-</w:t>
      </w:r>
      <w:proofErr w:type="spellStart"/>
      <w:r w:rsidRPr="007F02E2">
        <w:rPr>
          <w:rFonts w:ascii="Arial" w:eastAsia="Arial" w:hAnsi="Arial" w:cs="Arial"/>
          <w:color w:val="000000"/>
        </w:rPr>
        <w:t>Exactive</w:t>
      </w:r>
      <w:proofErr w:type="spellEnd"/>
      <w:r w:rsidRPr="007F02E2">
        <w:rPr>
          <w:rFonts w:ascii="Arial" w:eastAsia="Arial" w:hAnsi="Arial" w:cs="Arial"/>
          <w:color w:val="000000"/>
        </w:rPr>
        <w:t xml:space="preserve"> instrument. RAW data files obtained were converted to MGF files using Proteome Discoverer interface (version 1.4). Database searches were performed with the Mascot server v2.4. The results were filtered based on Mascot scores and MD-scores. </w:t>
      </w:r>
    </w:p>
    <w:p w14:paraId="19788CA2" w14:textId="77777777" w:rsidR="007F02E2" w:rsidRPr="007F02E2" w:rsidRDefault="007F02E2" w:rsidP="007F02E2">
      <w:pPr>
        <w:jc w:val="both"/>
        <w:rPr>
          <w:rFonts w:ascii="Arial" w:eastAsia="Arial" w:hAnsi="Arial" w:cs="Arial"/>
          <w:color w:val="000000"/>
        </w:rPr>
      </w:pPr>
    </w:p>
    <w:p w14:paraId="675E496B" w14:textId="77777777" w:rsidR="007F02E2" w:rsidRDefault="007F02E2" w:rsidP="007F02E2">
      <w:pPr>
        <w:jc w:val="both"/>
        <w:rPr>
          <w:rFonts w:ascii="Arial" w:eastAsia="Arial" w:hAnsi="Arial" w:cs="Arial"/>
          <w:b/>
          <w:bCs/>
          <w:color w:val="000000"/>
        </w:rPr>
      </w:pPr>
      <w:bookmarkStart w:id="0" w:name="_heading=h.2jxsxqh" w:colFirst="0" w:colLast="0"/>
      <w:bookmarkEnd w:id="0"/>
      <w:r w:rsidRPr="007F02E2">
        <w:rPr>
          <w:rFonts w:ascii="Arial" w:eastAsia="Arial" w:hAnsi="Arial" w:cs="Arial"/>
          <w:b/>
          <w:bCs/>
          <w:i/>
          <w:iCs/>
          <w:color w:val="000000"/>
        </w:rPr>
        <w:t xml:space="preserve">in vitro </w:t>
      </w:r>
      <w:r w:rsidRPr="007F02E2">
        <w:rPr>
          <w:rFonts w:ascii="Arial" w:eastAsia="Arial" w:hAnsi="Arial" w:cs="Arial"/>
          <w:b/>
          <w:bCs/>
          <w:color w:val="000000"/>
        </w:rPr>
        <w:t>GST Pull-Down Assay</w:t>
      </w:r>
    </w:p>
    <w:p w14:paraId="5D7E990C" w14:textId="40B7D474" w:rsidR="007F02E2" w:rsidRPr="007F02E2" w:rsidRDefault="007F02E2" w:rsidP="007F02E2">
      <w:pPr>
        <w:jc w:val="both"/>
        <w:rPr>
          <w:rFonts w:ascii="Arial" w:eastAsia="Arial" w:hAnsi="Arial" w:cs="Arial"/>
          <w:color w:val="000000"/>
        </w:rPr>
      </w:pPr>
      <w:r w:rsidRPr="007F02E2">
        <w:rPr>
          <w:rFonts w:ascii="Arial" w:eastAsia="Arial" w:hAnsi="Arial" w:cs="Arial"/>
          <w:b/>
          <w:bCs/>
          <w:color w:val="000000"/>
        </w:rPr>
        <w:t xml:space="preserve"> </w:t>
      </w:r>
    </w:p>
    <w:p w14:paraId="5CC25A38" w14:textId="77777777" w:rsidR="007F02E2" w:rsidRPr="007F02E2" w:rsidRDefault="007F02E2" w:rsidP="007F02E2">
      <w:pPr>
        <w:jc w:val="both"/>
        <w:rPr>
          <w:rFonts w:ascii="Arial" w:eastAsia="Arial" w:hAnsi="Arial" w:cs="Arial"/>
          <w:color w:val="000000"/>
        </w:rPr>
      </w:pPr>
      <w:r w:rsidRPr="007F02E2">
        <w:rPr>
          <w:rFonts w:ascii="Arial" w:eastAsia="Arial" w:hAnsi="Arial" w:cs="Arial"/>
          <w:i/>
          <w:iCs/>
          <w:color w:val="000000"/>
        </w:rPr>
        <w:t xml:space="preserve">in vitro </w:t>
      </w:r>
      <w:r w:rsidRPr="007F02E2">
        <w:rPr>
          <w:rFonts w:ascii="Arial" w:eastAsia="Arial" w:hAnsi="Arial" w:cs="Arial"/>
          <w:color w:val="000000"/>
        </w:rPr>
        <w:t xml:space="preserve">GST pull-down assay was performed to study the protein-protein interaction between the protein of interest and the three immune MAPKs - MPK3, MPK4 and MPK6. Clarified </w:t>
      </w:r>
      <w:r w:rsidRPr="007F02E2">
        <w:rPr>
          <w:rFonts w:ascii="Arial" w:eastAsia="Arial" w:hAnsi="Arial" w:cs="Arial"/>
          <w:i/>
          <w:iCs/>
          <w:color w:val="000000"/>
        </w:rPr>
        <w:t xml:space="preserve">E. coli </w:t>
      </w:r>
      <w:r w:rsidRPr="007F02E2">
        <w:rPr>
          <w:rFonts w:ascii="Arial" w:eastAsia="Arial" w:hAnsi="Arial" w:cs="Arial"/>
          <w:color w:val="000000"/>
        </w:rPr>
        <w:t xml:space="preserve">lysates of GST-fused MAPKs were incubated with 50 </w:t>
      </w:r>
      <w:proofErr w:type="spellStart"/>
      <w:r w:rsidRPr="007F02E2">
        <w:rPr>
          <w:rFonts w:ascii="Arial" w:eastAsia="Arial" w:hAnsi="Arial" w:cs="Arial"/>
          <w:color w:val="000000"/>
        </w:rPr>
        <w:t>μL</w:t>
      </w:r>
      <w:proofErr w:type="spellEnd"/>
      <w:r w:rsidRPr="007F02E2">
        <w:rPr>
          <w:rFonts w:ascii="Arial" w:eastAsia="Arial" w:hAnsi="Arial" w:cs="Arial"/>
          <w:color w:val="000000"/>
        </w:rPr>
        <w:t xml:space="preserve"> of Glutathione </w:t>
      </w:r>
      <w:proofErr w:type="spellStart"/>
      <w:r w:rsidRPr="007F02E2">
        <w:rPr>
          <w:rFonts w:ascii="Arial" w:eastAsia="Arial" w:hAnsi="Arial" w:cs="Arial"/>
          <w:color w:val="000000"/>
        </w:rPr>
        <w:t>sepharose</w:t>
      </w:r>
      <w:proofErr w:type="spellEnd"/>
      <w:r w:rsidRPr="007F02E2">
        <w:rPr>
          <w:rFonts w:ascii="Arial" w:eastAsia="Arial" w:hAnsi="Arial" w:cs="Arial"/>
          <w:color w:val="000000"/>
        </w:rPr>
        <w:t xml:space="preserve"> 4B beads for four hours at 4◦C. After washing the beads four times with GST binding buffer (25mM Tris-HCl, pH 7.4, 75 mM NaCl, and 0.5 mM EDTA, 0.5mM DTT, 0.05% Triton X-100, protease inhibitors), beads were incubated with clarified </w:t>
      </w:r>
      <w:r w:rsidRPr="007F02E2">
        <w:rPr>
          <w:rFonts w:ascii="Arial" w:eastAsia="Arial" w:hAnsi="Arial" w:cs="Arial"/>
          <w:i/>
          <w:iCs/>
          <w:color w:val="000000"/>
        </w:rPr>
        <w:t xml:space="preserve">E. coli </w:t>
      </w:r>
      <w:r w:rsidRPr="007F02E2">
        <w:rPr>
          <w:rFonts w:ascii="Arial" w:eastAsia="Arial" w:hAnsi="Arial" w:cs="Arial"/>
          <w:color w:val="000000"/>
        </w:rPr>
        <w:t xml:space="preserve">lysates of His-tagged. proteins of interest in the binding buffer for one hour at 4◦C. The beads were washed again 4 times and bound proteins were eluted by boiling in 2X Laemmli sample buffer (100 mM Tris-HCl, pH 6.8, 10% SDS, 30% glycerol, 5% β- </w:t>
      </w:r>
      <w:proofErr w:type="spellStart"/>
      <w:r w:rsidRPr="007F02E2">
        <w:rPr>
          <w:rFonts w:ascii="Arial" w:eastAsia="Arial" w:hAnsi="Arial" w:cs="Arial"/>
          <w:color w:val="000000"/>
        </w:rPr>
        <w:t>mercaptoethanol</w:t>
      </w:r>
      <w:proofErr w:type="spellEnd"/>
      <w:r w:rsidRPr="007F02E2">
        <w:rPr>
          <w:rFonts w:ascii="Arial" w:eastAsia="Arial" w:hAnsi="Arial" w:cs="Arial"/>
          <w:color w:val="000000"/>
        </w:rPr>
        <w:t xml:space="preserve">, and 0.02% bromophenol blue), separated by SDS-PAGE gel, and visualized by immunoblotting using anti-His antibodies. </w:t>
      </w:r>
    </w:p>
    <w:p w14:paraId="270BEFA9" w14:textId="77777777" w:rsidR="007F02E2" w:rsidRPr="007F02E2" w:rsidRDefault="007F02E2" w:rsidP="007F02E2">
      <w:pPr>
        <w:jc w:val="both"/>
        <w:rPr>
          <w:rFonts w:ascii="Arial" w:eastAsia="Arial" w:hAnsi="Arial" w:cs="Arial"/>
          <w:color w:val="000000"/>
        </w:rPr>
      </w:pPr>
    </w:p>
    <w:p w14:paraId="0FF5EDA8" w14:textId="77777777" w:rsidR="007F02E2" w:rsidRPr="007F02E2" w:rsidRDefault="007F02E2" w:rsidP="007F02E2">
      <w:pPr>
        <w:jc w:val="both"/>
        <w:rPr>
          <w:rFonts w:ascii="Arial" w:eastAsia="Arial" w:hAnsi="Arial" w:cs="Arial"/>
          <w:b/>
          <w:color w:val="000000"/>
        </w:rPr>
      </w:pPr>
      <w:r w:rsidRPr="007F02E2">
        <w:rPr>
          <w:rFonts w:ascii="Arial" w:eastAsia="Arial" w:hAnsi="Arial" w:cs="Arial"/>
          <w:b/>
          <w:color w:val="000000"/>
        </w:rPr>
        <w:t>Bimolecular fluorescence complementation (</w:t>
      </w:r>
      <w:proofErr w:type="spellStart"/>
      <w:r w:rsidRPr="007F02E2">
        <w:rPr>
          <w:rFonts w:ascii="Arial" w:eastAsia="Arial" w:hAnsi="Arial" w:cs="Arial"/>
          <w:b/>
          <w:color w:val="000000"/>
        </w:rPr>
        <w:t>BiFC</w:t>
      </w:r>
      <w:proofErr w:type="spellEnd"/>
      <w:r w:rsidRPr="007F02E2">
        <w:rPr>
          <w:rFonts w:ascii="Arial" w:eastAsia="Arial" w:hAnsi="Arial" w:cs="Arial"/>
          <w:b/>
          <w:color w:val="000000"/>
        </w:rPr>
        <w:t xml:space="preserve">) </w:t>
      </w:r>
    </w:p>
    <w:p w14:paraId="68AAEF8A" w14:textId="77777777" w:rsidR="007F02E2" w:rsidRPr="007F02E2" w:rsidRDefault="007F02E2" w:rsidP="007F02E2">
      <w:pPr>
        <w:jc w:val="both"/>
        <w:rPr>
          <w:rFonts w:ascii="Arial" w:eastAsia="Arial" w:hAnsi="Arial" w:cs="Arial"/>
          <w:color w:val="000000"/>
        </w:rPr>
      </w:pPr>
    </w:p>
    <w:p w14:paraId="7B9E70AE" w14:textId="00B4731A" w:rsidR="007F02E2" w:rsidRDefault="007F02E2" w:rsidP="007F02E2">
      <w:pPr>
        <w:jc w:val="both"/>
        <w:rPr>
          <w:rFonts w:ascii="Arial" w:eastAsia="Arial" w:hAnsi="Arial" w:cs="Arial"/>
          <w:color w:val="000000"/>
        </w:rPr>
      </w:pPr>
      <w:proofErr w:type="spellStart"/>
      <w:r w:rsidRPr="007F02E2">
        <w:rPr>
          <w:rFonts w:ascii="Arial" w:eastAsia="Arial" w:hAnsi="Arial" w:cs="Arial"/>
          <w:color w:val="000000"/>
        </w:rPr>
        <w:t>BiFC</w:t>
      </w:r>
      <w:proofErr w:type="spellEnd"/>
      <w:r w:rsidRPr="007F02E2">
        <w:rPr>
          <w:rFonts w:ascii="Arial" w:eastAsia="Arial" w:hAnsi="Arial" w:cs="Arial"/>
          <w:color w:val="000000"/>
        </w:rPr>
        <w:t xml:space="preserve"> was used to visualize the protein-protein interaction and determine the subcellular localization of the interacting proteins. DEK2 and the proteins of interest were fused to the N- or C- terminal fragment of YFP that produces a fluorescent readout upon reconstruction of YFP. In the pBIFC1, 2, 3 and 4 vectors used, the expression is under the control of the cauliflower mosaic virus 35S (CaMV-35S) promoter. To test interaction between two proteins by </w:t>
      </w:r>
      <w:proofErr w:type="spellStart"/>
      <w:r w:rsidRPr="007F02E2">
        <w:rPr>
          <w:rFonts w:ascii="Arial" w:eastAsia="Arial" w:hAnsi="Arial" w:cs="Arial"/>
          <w:color w:val="000000"/>
        </w:rPr>
        <w:t>BiFC</w:t>
      </w:r>
      <w:proofErr w:type="spellEnd"/>
      <w:r w:rsidRPr="007F02E2">
        <w:rPr>
          <w:rFonts w:ascii="Arial" w:eastAsia="Arial" w:hAnsi="Arial" w:cs="Arial"/>
          <w:color w:val="000000"/>
        </w:rPr>
        <w:t xml:space="preserve">, eight different combinations of N- or C-terminally tagged YFP fragments were tested. Appropriate positive and negative controls were carried out for all combinations. The constructs were transiently expressed in </w:t>
      </w:r>
      <w:proofErr w:type="spellStart"/>
      <w:proofErr w:type="gramStart"/>
      <w:r w:rsidRPr="007F02E2">
        <w:rPr>
          <w:rFonts w:ascii="Arial" w:eastAsia="Arial" w:hAnsi="Arial" w:cs="Arial"/>
          <w:i/>
          <w:color w:val="000000"/>
        </w:rPr>
        <w:t>N.benthamiana</w:t>
      </w:r>
      <w:proofErr w:type="spellEnd"/>
      <w:proofErr w:type="gramEnd"/>
      <w:r w:rsidRPr="007F02E2">
        <w:rPr>
          <w:rFonts w:ascii="Arial" w:eastAsia="Arial" w:hAnsi="Arial" w:cs="Arial"/>
          <w:i/>
          <w:color w:val="000000"/>
        </w:rPr>
        <w:t xml:space="preserve"> </w:t>
      </w:r>
      <w:r w:rsidRPr="007F02E2">
        <w:rPr>
          <w:rFonts w:ascii="Arial" w:eastAsia="Arial" w:hAnsi="Arial" w:cs="Arial"/>
          <w:color w:val="000000"/>
        </w:rPr>
        <w:t xml:space="preserve">leaves </w:t>
      </w:r>
      <w:r w:rsidRPr="007F02E2">
        <w:rPr>
          <w:rFonts w:ascii="Arial" w:eastAsia="Arial" w:hAnsi="Arial" w:cs="Arial"/>
          <w:color w:val="000000"/>
        </w:rPr>
        <w:lastRenderedPageBreak/>
        <w:t xml:space="preserve">by co-infiltration with </w:t>
      </w:r>
      <w:r w:rsidRPr="007F02E2">
        <w:rPr>
          <w:rFonts w:ascii="Arial" w:eastAsia="Arial" w:hAnsi="Arial" w:cs="Arial"/>
          <w:i/>
          <w:color w:val="000000"/>
        </w:rPr>
        <w:t>Agrobacterium</w:t>
      </w:r>
      <w:r w:rsidRPr="007F02E2">
        <w:rPr>
          <w:rFonts w:ascii="Arial" w:eastAsia="Arial" w:hAnsi="Arial" w:cs="Arial"/>
          <w:color w:val="000000"/>
        </w:rPr>
        <w:t>. To visualize the fluorescence of the reconstituted YFP expression in leaves, an upright Zeiss LSM880 laser scanning confocal microscope with a 20X/40X objective (Plan-Apochromat, NA 1.0) was used and all images were acquired using Argon laser with 514-nm excitation</w:t>
      </w:r>
      <w:bookmarkStart w:id="1" w:name="_heading=h.3rdcrjn" w:colFirst="0" w:colLast="0"/>
      <w:bookmarkEnd w:id="1"/>
      <w:r w:rsidRPr="007F02E2">
        <w:rPr>
          <w:rFonts w:ascii="Arial" w:eastAsia="Arial" w:hAnsi="Arial" w:cs="Arial"/>
          <w:color w:val="000000"/>
        </w:rPr>
        <w:t>.</w:t>
      </w:r>
    </w:p>
    <w:p w14:paraId="1AA2E767" w14:textId="77777777" w:rsidR="007F02E2" w:rsidRDefault="007F02E2" w:rsidP="002063E6">
      <w:pPr>
        <w:jc w:val="both"/>
        <w:rPr>
          <w:rFonts w:ascii="Arial" w:eastAsia="Arial" w:hAnsi="Arial" w:cs="Arial"/>
          <w:color w:val="000000"/>
        </w:rPr>
      </w:pPr>
    </w:p>
    <w:p w14:paraId="6DB1581D" w14:textId="77777777" w:rsidR="007F02E2" w:rsidRPr="007F02E2" w:rsidRDefault="007F02E2" w:rsidP="007F02E2">
      <w:pPr>
        <w:jc w:val="both"/>
        <w:rPr>
          <w:rFonts w:ascii="Arial" w:eastAsia="Arial" w:hAnsi="Arial" w:cs="Arial"/>
          <w:b/>
          <w:color w:val="000000"/>
        </w:rPr>
      </w:pPr>
      <w:r w:rsidRPr="007F02E2">
        <w:rPr>
          <w:rFonts w:ascii="Arial" w:eastAsia="Arial" w:hAnsi="Arial" w:cs="Arial"/>
          <w:b/>
          <w:color w:val="000000"/>
        </w:rPr>
        <w:t>Isolation of RNA from Plant Tissue</w:t>
      </w:r>
    </w:p>
    <w:p w14:paraId="478E353D" w14:textId="77777777" w:rsidR="007F02E2" w:rsidRPr="007F02E2" w:rsidRDefault="007F02E2" w:rsidP="007F02E2">
      <w:pPr>
        <w:jc w:val="both"/>
        <w:rPr>
          <w:rFonts w:ascii="Arial" w:eastAsia="Arial" w:hAnsi="Arial" w:cs="Arial"/>
          <w:b/>
          <w:color w:val="000000"/>
        </w:rPr>
      </w:pPr>
    </w:p>
    <w:p w14:paraId="359D43CC" w14:textId="77777777" w:rsidR="007F02E2" w:rsidRPr="007F02E2" w:rsidRDefault="007F02E2" w:rsidP="007F02E2">
      <w:pPr>
        <w:jc w:val="both"/>
        <w:rPr>
          <w:rFonts w:ascii="Arial" w:eastAsia="Arial" w:hAnsi="Arial" w:cs="Arial"/>
          <w:color w:val="000000"/>
        </w:rPr>
      </w:pPr>
      <w:r w:rsidRPr="007F02E2">
        <w:rPr>
          <w:rFonts w:ascii="Arial" w:eastAsia="Arial" w:hAnsi="Arial" w:cs="Arial"/>
          <w:color w:val="000000"/>
        </w:rPr>
        <w:t xml:space="preserve">50-100 mg of </w:t>
      </w:r>
      <w:r w:rsidRPr="007F02E2">
        <w:rPr>
          <w:rFonts w:ascii="Arial" w:eastAsia="Arial" w:hAnsi="Arial" w:cs="Arial"/>
          <w:i/>
          <w:iCs/>
          <w:color w:val="000000"/>
        </w:rPr>
        <w:t>A. thaliana</w:t>
      </w:r>
      <w:r w:rsidRPr="007F02E2">
        <w:rPr>
          <w:rFonts w:ascii="Arial" w:eastAsia="Arial" w:hAnsi="Arial" w:cs="Arial"/>
          <w:color w:val="000000"/>
        </w:rPr>
        <w:t xml:space="preserve"> plant leaves or 14 days old seedling grown on ½ MS plates were taken in 2 ml tubes containing 2 steel beads, frozen in liquid Nitrogen and homogenized 2X using a Tissue </w:t>
      </w:r>
      <w:proofErr w:type="spellStart"/>
      <w:r w:rsidRPr="007F02E2">
        <w:rPr>
          <w:rFonts w:ascii="Arial" w:eastAsia="Arial" w:hAnsi="Arial" w:cs="Arial"/>
          <w:color w:val="000000"/>
        </w:rPr>
        <w:t>Lyser</w:t>
      </w:r>
      <w:proofErr w:type="spellEnd"/>
      <w:r w:rsidRPr="007F02E2">
        <w:rPr>
          <w:rFonts w:ascii="Arial" w:eastAsia="Arial" w:hAnsi="Arial" w:cs="Arial"/>
          <w:color w:val="000000"/>
        </w:rPr>
        <w:t xml:space="preserve"> (Eppendorf) for 1 min at 20 Hz to obtain a fine powder.  </w:t>
      </w:r>
      <w:proofErr w:type="spellStart"/>
      <w:r w:rsidRPr="007F02E2">
        <w:rPr>
          <w:rFonts w:ascii="Arial" w:eastAsia="Arial" w:hAnsi="Arial" w:cs="Arial"/>
          <w:color w:val="000000"/>
        </w:rPr>
        <w:t>NucleoSpin</w:t>
      </w:r>
      <w:proofErr w:type="spellEnd"/>
      <w:r w:rsidRPr="007F02E2">
        <w:rPr>
          <w:rFonts w:ascii="Arial" w:eastAsia="Arial" w:hAnsi="Arial" w:cs="Arial"/>
          <w:color w:val="000000"/>
        </w:rPr>
        <w:t>® Plant RNA kit (</w:t>
      </w:r>
      <w:proofErr w:type="spellStart"/>
      <w:r w:rsidRPr="007F02E2">
        <w:rPr>
          <w:rFonts w:ascii="Arial" w:eastAsia="Arial" w:hAnsi="Arial" w:cs="Arial"/>
          <w:color w:val="000000"/>
        </w:rPr>
        <w:t>Macherey</w:t>
      </w:r>
      <w:proofErr w:type="spellEnd"/>
      <w:r w:rsidRPr="007F02E2">
        <w:rPr>
          <w:rFonts w:ascii="Arial" w:eastAsia="Arial" w:hAnsi="Arial" w:cs="Arial"/>
          <w:color w:val="000000"/>
        </w:rPr>
        <w:t xml:space="preserve"> Nagel, 7740949) was used to extract the total RNA from the plant. The procedure was performed according to the manufacturer instructions. The final RNA was eluted in 60 </w:t>
      </w:r>
      <w:proofErr w:type="spellStart"/>
      <w:r w:rsidRPr="007F02E2">
        <w:rPr>
          <w:rFonts w:ascii="Arial" w:eastAsia="Arial" w:hAnsi="Arial" w:cs="Arial"/>
          <w:color w:val="000000"/>
        </w:rPr>
        <w:t>μl</w:t>
      </w:r>
      <w:proofErr w:type="spellEnd"/>
      <w:r w:rsidRPr="007F02E2">
        <w:rPr>
          <w:rFonts w:ascii="Arial" w:eastAsia="Arial" w:hAnsi="Arial" w:cs="Arial"/>
          <w:color w:val="000000"/>
        </w:rPr>
        <w:t xml:space="preserve"> of </w:t>
      </w:r>
      <w:proofErr w:type="spellStart"/>
      <w:r w:rsidRPr="007F02E2">
        <w:rPr>
          <w:rFonts w:ascii="Arial" w:eastAsia="Arial" w:hAnsi="Arial" w:cs="Arial"/>
          <w:color w:val="000000"/>
        </w:rPr>
        <w:t>RNAse</w:t>
      </w:r>
      <w:proofErr w:type="spellEnd"/>
      <w:r w:rsidRPr="007F02E2">
        <w:rPr>
          <w:rFonts w:ascii="Arial" w:eastAsia="Arial" w:hAnsi="Arial" w:cs="Arial"/>
          <w:color w:val="000000"/>
        </w:rPr>
        <w:t xml:space="preserve"> free water. Finally, the RNA was quantified using Nanodrop and the to assess the purity, the ratio of A260/A280 &gt;2.0 was considered. The RNA was flash frozen in liquid Nitrogen and stored at -80</w:t>
      </w:r>
      <w:r w:rsidRPr="007F02E2">
        <w:rPr>
          <w:rFonts w:ascii="Arial" w:eastAsia="Arial" w:hAnsi="Arial" w:cs="Arial"/>
          <w:color w:val="000000"/>
          <w:vertAlign w:val="superscript"/>
        </w:rPr>
        <w:t xml:space="preserve"> </w:t>
      </w:r>
      <w:proofErr w:type="spellStart"/>
      <w:r w:rsidRPr="007F02E2">
        <w:rPr>
          <w:rFonts w:ascii="Arial" w:eastAsia="Arial" w:hAnsi="Arial" w:cs="Arial"/>
          <w:color w:val="000000"/>
          <w:vertAlign w:val="superscript"/>
        </w:rPr>
        <w:t>o</w:t>
      </w:r>
      <w:r w:rsidRPr="007F02E2">
        <w:rPr>
          <w:rFonts w:ascii="Arial" w:eastAsia="Arial" w:hAnsi="Arial" w:cs="Arial"/>
          <w:color w:val="000000"/>
        </w:rPr>
        <w:t>C</w:t>
      </w:r>
      <w:proofErr w:type="spellEnd"/>
      <w:r w:rsidRPr="007F02E2">
        <w:rPr>
          <w:rFonts w:ascii="Arial" w:eastAsia="Arial" w:hAnsi="Arial" w:cs="Arial"/>
          <w:color w:val="000000"/>
        </w:rPr>
        <w:t xml:space="preserve"> to prevent degradation. </w:t>
      </w:r>
    </w:p>
    <w:p w14:paraId="6D3EAC64" w14:textId="77777777" w:rsidR="007F02E2" w:rsidRPr="007F02E2" w:rsidRDefault="007F02E2" w:rsidP="007F02E2">
      <w:pPr>
        <w:jc w:val="both"/>
        <w:rPr>
          <w:rFonts w:ascii="Arial" w:eastAsia="Arial" w:hAnsi="Arial" w:cs="Arial"/>
          <w:color w:val="000000"/>
        </w:rPr>
      </w:pPr>
      <w:r w:rsidRPr="007F02E2">
        <w:rPr>
          <w:rFonts w:ascii="Arial" w:eastAsia="Arial" w:hAnsi="Arial" w:cs="Arial"/>
          <w:color w:val="000000"/>
        </w:rPr>
        <w:t xml:space="preserve"> </w:t>
      </w:r>
      <w:bookmarkStart w:id="2" w:name="_heading=h.1ksv4uv" w:colFirst="0" w:colLast="0"/>
      <w:bookmarkStart w:id="3" w:name="_heading=h.44sinio" w:colFirst="0" w:colLast="0"/>
      <w:bookmarkEnd w:id="2"/>
      <w:bookmarkEnd w:id="3"/>
    </w:p>
    <w:p w14:paraId="18687CE1" w14:textId="77777777" w:rsidR="007F02E2" w:rsidRPr="007F02E2" w:rsidRDefault="007F02E2" w:rsidP="007F02E2">
      <w:pPr>
        <w:jc w:val="both"/>
        <w:rPr>
          <w:rFonts w:ascii="Arial" w:eastAsia="Arial" w:hAnsi="Arial" w:cs="Arial"/>
          <w:b/>
          <w:color w:val="000000"/>
        </w:rPr>
      </w:pPr>
      <w:r w:rsidRPr="007F02E2">
        <w:rPr>
          <w:rFonts w:ascii="Arial" w:eastAsia="Arial" w:hAnsi="Arial" w:cs="Arial"/>
          <w:b/>
          <w:color w:val="000000"/>
        </w:rPr>
        <w:t xml:space="preserve">RNA-seq </w:t>
      </w:r>
    </w:p>
    <w:p w14:paraId="7B8B83A6" w14:textId="77777777" w:rsidR="007F02E2" w:rsidRPr="007F02E2" w:rsidRDefault="007F02E2" w:rsidP="007F02E2">
      <w:pPr>
        <w:jc w:val="both"/>
        <w:rPr>
          <w:rFonts w:ascii="Arial" w:eastAsia="Arial" w:hAnsi="Arial" w:cs="Arial"/>
          <w:b/>
          <w:color w:val="000000"/>
        </w:rPr>
      </w:pPr>
    </w:p>
    <w:p w14:paraId="3246752F" w14:textId="77777777" w:rsidR="007F02E2" w:rsidRPr="007F02E2" w:rsidRDefault="007F02E2" w:rsidP="007F02E2">
      <w:pPr>
        <w:jc w:val="both"/>
        <w:rPr>
          <w:rFonts w:ascii="Arial" w:eastAsia="Arial" w:hAnsi="Arial" w:cs="Arial"/>
          <w:color w:val="000000"/>
        </w:rPr>
      </w:pPr>
      <w:r w:rsidRPr="007F02E2">
        <w:rPr>
          <w:rFonts w:ascii="Arial" w:eastAsia="Arial" w:hAnsi="Arial" w:cs="Arial"/>
          <w:color w:val="000000"/>
        </w:rPr>
        <w:t xml:space="preserve">mRNA libraries were prepared using the </w:t>
      </w:r>
      <w:proofErr w:type="spellStart"/>
      <w:r w:rsidRPr="007F02E2">
        <w:rPr>
          <w:rFonts w:ascii="Arial" w:eastAsia="Arial" w:hAnsi="Arial" w:cs="Arial"/>
          <w:color w:val="000000"/>
        </w:rPr>
        <w:t>illumina</w:t>
      </w:r>
      <w:proofErr w:type="spellEnd"/>
      <w:r w:rsidRPr="007F02E2">
        <w:rPr>
          <w:rFonts w:ascii="Arial" w:eastAsia="Arial" w:hAnsi="Arial" w:cs="Arial"/>
          <w:color w:val="000000"/>
        </w:rPr>
        <w:t xml:space="preserve"> </w:t>
      </w:r>
      <w:proofErr w:type="spellStart"/>
      <w:r w:rsidRPr="007F02E2">
        <w:rPr>
          <w:rFonts w:ascii="Arial" w:eastAsia="Arial" w:hAnsi="Arial" w:cs="Arial"/>
          <w:color w:val="000000"/>
        </w:rPr>
        <w:t>Truseq</w:t>
      </w:r>
      <w:proofErr w:type="spellEnd"/>
      <w:r w:rsidRPr="007F02E2">
        <w:rPr>
          <w:rFonts w:ascii="Arial" w:eastAsia="Arial" w:hAnsi="Arial" w:cs="Arial"/>
          <w:color w:val="000000"/>
        </w:rPr>
        <w:t xml:space="preserve"> Stranded mRNA Sample Preparation LS (low sample) kit following the manufacturer’s protocol. Briefly, the mRNA was purified from 1ug of total RNA using poly-T oligo-attached magnetic beads then purified, fragmented and primed. Subsequently, both first and second strands of cDNA were synthesized using </w:t>
      </w:r>
      <w:proofErr w:type="spellStart"/>
      <w:r w:rsidRPr="007F02E2">
        <w:rPr>
          <w:rFonts w:ascii="Arial" w:eastAsia="Arial" w:hAnsi="Arial" w:cs="Arial"/>
          <w:color w:val="000000"/>
        </w:rPr>
        <w:t>SuperScript</w:t>
      </w:r>
      <w:proofErr w:type="spellEnd"/>
      <w:r w:rsidRPr="007F02E2">
        <w:rPr>
          <w:rFonts w:ascii="Arial" w:eastAsia="Arial" w:hAnsi="Arial" w:cs="Arial"/>
          <w:color w:val="000000"/>
        </w:rPr>
        <w:t xml:space="preserve"> II reverse transcriptase, followed by adenylation on the 3’ ends and ligation of adapters. The DNA fragments with adapters were amplified by 15 PCR cycles. Finally, the libraries were validated using the 1000 DNA kit on 2100 Bioanalyzer (Agilent Technologies), quantified using qubit (Life Technologies) then barcoded libraries were normalized and pooled in equal volumes. Stranded mRNA libraries were sequenced on an Illumina </w:t>
      </w:r>
      <w:proofErr w:type="spellStart"/>
      <w:r w:rsidRPr="007F02E2">
        <w:rPr>
          <w:rFonts w:ascii="Arial" w:eastAsia="Arial" w:hAnsi="Arial" w:cs="Arial"/>
          <w:color w:val="000000"/>
        </w:rPr>
        <w:t>Hiseq</w:t>
      </w:r>
      <w:proofErr w:type="spellEnd"/>
      <w:r w:rsidRPr="007F02E2">
        <w:rPr>
          <w:rFonts w:ascii="Arial" w:eastAsia="Arial" w:hAnsi="Arial" w:cs="Arial"/>
          <w:color w:val="000000"/>
        </w:rPr>
        <w:t xml:space="preserve"> 4000 system using paired-end method. The length of the read was around 150 bp. The RNA-seq was done on three independent biological replicates.</w:t>
      </w:r>
    </w:p>
    <w:p w14:paraId="540A6BE8" w14:textId="77777777" w:rsidR="007F02E2" w:rsidRPr="007F02E2" w:rsidRDefault="007F02E2" w:rsidP="007F02E2">
      <w:pPr>
        <w:jc w:val="both"/>
        <w:rPr>
          <w:rFonts w:ascii="Arial" w:eastAsia="Arial" w:hAnsi="Arial" w:cs="Arial"/>
          <w:color w:val="000000"/>
        </w:rPr>
      </w:pPr>
    </w:p>
    <w:p w14:paraId="2992541B" w14:textId="2EDA8956" w:rsidR="007F02E2" w:rsidRPr="002063E6" w:rsidRDefault="007F02E2" w:rsidP="007F02E2">
      <w:pPr>
        <w:jc w:val="both"/>
        <w:rPr>
          <w:rFonts w:ascii="Arial" w:eastAsia="Arial" w:hAnsi="Arial" w:cs="Arial"/>
          <w:color w:val="000000"/>
        </w:rPr>
      </w:pPr>
      <w:r w:rsidRPr="007F02E2">
        <w:rPr>
          <w:rFonts w:ascii="Arial" w:eastAsia="Arial" w:hAnsi="Arial" w:cs="Arial"/>
          <w:color w:val="000000"/>
        </w:rPr>
        <w:t>Approximately 40 million reads were obtained for each sample. Reads were quality checked using FASTQC v0.11.5</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&lt;EndNote&gt;&lt;Cite&gt;&lt;Author&gt;Andrews&lt;/Author&gt;&lt;Year&gt;2012&lt;/Year&gt;&lt;RecNum&gt;83&lt;/RecNum&gt;&lt;DisplayText&gt;(Andrews, 2012)&lt;/DisplayText&gt;&lt;record&gt;&lt;rec-number&gt;83&lt;/rec-number&gt;&lt;foreign-keys&gt;&lt;key app="EN" db-id="sett0pvv3rw9vne5vr85szzsvr0vxaxrrd2x" timestamp="1703311111"&gt;83&lt;/key&gt;&lt;/foreign-keys&gt;&lt;ref-type name="Online Database"&gt;45&lt;/ref-type&gt;&lt;contributors&gt;&lt;authors&gt;&lt;author&gt;Andrews, S. &lt;/author&gt;&lt;/authors&gt;&lt;/contributors&gt;&lt;titles&gt;&lt;title&gt; FastQC A Quality Control tool for High Throughput Sequence Data&lt;/title&gt;&lt;/titles&gt;&lt;edition&gt;http://www.bioinformatics.babraham.ac.uk/projects/fastqc/&amp;#xD;&amp;#xD;&lt;/edition&gt;&lt;dates&gt;&lt;year&gt;2012&lt;/year&gt;&lt;/dates&gt;&lt;pub-location&gt;Babraham Bioinformatics&lt;/pub-location&gt;&lt;urls&gt;&lt;/urls&gt;&lt;/record&gt;&lt;/Cite&gt;&lt;/EndNote&gt;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(Andrews, 2012)</w:t>
      </w:r>
      <w:r w:rsidRPr="007F02E2">
        <w:rPr>
          <w:rFonts w:ascii="Arial" w:eastAsia="Arial" w:hAnsi="Arial" w:cs="Arial"/>
          <w:color w:val="000000"/>
        </w:rPr>
        <w:fldChar w:fldCharType="end"/>
      </w:r>
      <w:r w:rsidRPr="007F02E2">
        <w:rPr>
          <w:rFonts w:ascii="Arial" w:eastAsia="Arial" w:hAnsi="Arial" w:cs="Arial"/>
          <w:color w:val="000000"/>
        </w:rPr>
        <w:t xml:space="preserve">. Adapters and reads with low sequencing quality were filtered using </w:t>
      </w:r>
      <w:proofErr w:type="spellStart"/>
      <w:r w:rsidRPr="007F02E2">
        <w:rPr>
          <w:rFonts w:ascii="Arial" w:eastAsia="Arial" w:hAnsi="Arial" w:cs="Arial"/>
          <w:color w:val="000000"/>
        </w:rPr>
        <w:t>Trimmomatic</w:t>
      </w:r>
      <w:proofErr w:type="spellEnd"/>
      <w:r w:rsidRPr="007F02E2">
        <w:rPr>
          <w:rFonts w:ascii="Arial" w:eastAsia="Arial" w:hAnsi="Arial" w:cs="Arial"/>
          <w:color w:val="000000"/>
        </w:rPr>
        <w:t xml:space="preserve"> 0.36</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&lt;EndNote&gt;&lt;Cite&gt;&lt;Author&gt;Bolger&lt;/Author&gt;&lt;Year&gt;2014&lt;/Year&gt;&lt;RecNum&gt;84&lt;/RecNum&gt;&lt;DisplayText&gt;(Bolger&lt;style face="italic"&gt; et al.&lt;/style&gt;, 2014)&lt;/DisplayText&gt;&lt;record&gt;&lt;rec-number&gt;84&lt;/rec-number&gt;&lt;foreign-keys&gt;&lt;key app="EN" db-id="sett0pvv3rw9vne5vr85szzsvr0vxaxrrd2x" timestamp="1703311111"&gt;84&lt;/key&gt;&lt;/foreign-keys&gt;&lt;ref-type name="Journal Article"&gt;17&lt;/ref-type&gt;&lt;contributors&gt;&lt;authors&gt;&lt;author&gt;Bolger, Anthony M.&lt;/author&gt;&lt;author&gt;Lohse, Marc&lt;/author&gt;&lt;author&gt;Usadel, Bjoern&lt;/author&gt;&lt;/authors&gt;&lt;/contributors&gt;&lt;titles&gt;&lt;title&gt;Trimmomatic: a flexible trimmer for Illumina sequence data&lt;/title&gt;&lt;secondary-title&gt;Bioinformatics&lt;/secondary-title&gt;&lt;/titles&gt;&lt;periodical&gt;&lt;full-title&gt;Bioinformatics&lt;/full-title&gt;&lt;/periodical&gt;&lt;pages&gt;2114-2120&lt;/pages&gt;&lt;volume&gt;30&lt;/volume&gt;&lt;number&gt;15&lt;/number&gt;&lt;dates&gt;&lt;year&gt;2014&lt;/year&gt;&lt;/dates&gt;&lt;isbn&gt;1367-4803&lt;/isbn&gt;&lt;urls&gt;&lt;related-urls&gt;&lt;url&gt;http://dx.doi.org/10.1093/bioinformatics/btu170&lt;/url&gt;&lt;/related-urls&gt;&lt;/urls&gt;&lt;electronic-resource-num&gt;10.1093/bioinformatics/btu170&lt;/electronic-resource-num&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(Bolger</w:t>
      </w:r>
      <w:r w:rsidRPr="007F02E2">
        <w:rPr>
          <w:rFonts w:ascii="Arial" w:eastAsia="Arial" w:hAnsi="Arial" w:cs="Arial"/>
          <w:i/>
          <w:color w:val="000000"/>
        </w:rPr>
        <w:t xml:space="preserve"> et al.</w:t>
      </w:r>
      <w:r w:rsidRPr="007F02E2">
        <w:rPr>
          <w:rFonts w:ascii="Arial" w:eastAsia="Arial" w:hAnsi="Arial" w:cs="Arial"/>
          <w:color w:val="000000"/>
        </w:rPr>
        <w:t>, 2014)</w:t>
      </w:r>
      <w:r w:rsidRPr="007F02E2">
        <w:rPr>
          <w:rFonts w:ascii="Arial" w:eastAsia="Arial" w:hAnsi="Arial" w:cs="Arial"/>
          <w:color w:val="000000"/>
        </w:rPr>
        <w:fldChar w:fldCharType="end"/>
      </w:r>
      <w:r w:rsidRPr="007F02E2">
        <w:rPr>
          <w:rFonts w:ascii="Arial" w:eastAsia="Arial" w:hAnsi="Arial" w:cs="Arial"/>
          <w:color w:val="000000"/>
        </w:rPr>
        <w:t xml:space="preserve">, retaining first 100 bps and by using other default settings for paired-end sequences. The trimmed reads were then aligned to the </w:t>
      </w:r>
      <w:r w:rsidRPr="007F02E2">
        <w:rPr>
          <w:rFonts w:ascii="Arial" w:eastAsia="Arial" w:hAnsi="Arial" w:cs="Arial"/>
          <w:i/>
          <w:iCs/>
          <w:color w:val="000000"/>
        </w:rPr>
        <w:t>A. thaliana</w:t>
      </w:r>
      <w:r w:rsidRPr="007F02E2">
        <w:rPr>
          <w:rFonts w:ascii="Arial" w:eastAsia="Arial" w:hAnsi="Arial" w:cs="Arial"/>
          <w:color w:val="000000"/>
        </w:rPr>
        <w:t xml:space="preserve"> reference genome (TAIR10) using </w:t>
      </w:r>
      <w:proofErr w:type="spellStart"/>
      <w:r w:rsidRPr="007F02E2">
        <w:rPr>
          <w:rFonts w:ascii="Arial" w:eastAsia="Arial" w:hAnsi="Arial" w:cs="Arial"/>
          <w:color w:val="000000"/>
        </w:rPr>
        <w:t>Tophat</w:t>
      </w:r>
      <w:proofErr w:type="spellEnd"/>
      <w:r w:rsidRPr="007F02E2">
        <w:rPr>
          <w:rFonts w:ascii="Arial" w:eastAsia="Arial" w:hAnsi="Arial" w:cs="Arial"/>
          <w:color w:val="000000"/>
        </w:rPr>
        <w:t xml:space="preserve"> v2.1.1</w:t>
      </w:r>
      <w:r w:rsidRPr="007F02E2">
        <w:rPr>
          <w:rFonts w:ascii="Arial" w:eastAsia="Arial" w:hAnsi="Arial" w:cs="Arial"/>
          <w:color w:val="000000"/>
        </w:rPr>
        <w:fldChar w:fldCharType="begin">
          <w:fldData xml:space="preserve">PEVuZE5vdGU+PENpdGU+PEF1dGhvcj5LaW08L0F1dGhvcj48WWVhcj4yMDEzPC9ZZWFyPjxSZWNO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</w:fldData>
        </w:fldChar>
      </w:r>
      <w:r w:rsidRPr="007F02E2">
        <w:rPr>
          <w:rFonts w:ascii="Arial" w:eastAsia="Arial" w:hAnsi="Arial" w:cs="Arial"/>
          <w:color w:val="000000"/>
        </w:rPr>
        <w:instrText xml:space="preserve"> ADDIN EN.CITE </w:instrText>
      </w:r>
      <w:r w:rsidRPr="007F02E2">
        <w:rPr>
          <w:rFonts w:ascii="Arial" w:eastAsia="Arial" w:hAnsi="Arial" w:cs="Arial"/>
          <w:color w:val="000000"/>
        </w:rPr>
        <w:fldChar w:fldCharType="begin">
          <w:fldData xml:space="preserve">PEVuZE5vdGU+PENpdGU+PEF1dGhvcj5LaW08L0F1dGhvcj48WWVhcj4yMDEzPC9ZZWFyPjxSZWNO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</w:fldData>
        </w:fldChar>
      </w:r>
      <w:r w:rsidRPr="007F02E2">
        <w:rPr>
          <w:rFonts w:ascii="Arial" w:eastAsia="Arial" w:hAnsi="Arial" w:cs="Arial"/>
          <w:color w:val="000000"/>
        </w:rPr>
        <w:instrText xml:space="preserve"> ADDIN EN.CITE.DATA </w:instrText>
      </w:r>
      <w:r w:rsidRPr="007F02E2">
        <w:rPr>
          <w:rFonts w:ascii="Arial" w:eastAsia="Arial" w:hAnsi="Arial" w:cs="Arial"/>
          <w:color w:val="000000"/>
        </w:rPr>
      </w:r>
      <w:r w:rsidRPr="007F02E2">
        <w:rPr>
          <w:rFonts w:ascii="Arial" w:eastAsia="Arial" w:hAnsi="Arial" w:cs="Arial"/>
          <w:color w:val="000000"/>
        </w:rPr>
        <w:fldChar w:fldCharType="end"/>
      </w:r>
      <w:r w:rsidRPr="007F02E2">
        <w:rPr>
          <w:rFonts w:ascii="Arial" w:eastAsia="Arial" w:hAnsi="Arial" w:cs="Arial"/>
          <w:color w:val="000000"/>
        </w:rPr>
      </w:r>
      <w:r w:rsidRPr="007F02E2">
        <w:rPr>
          <w:rFonts w:ascii="Arial" w:eastAsia="Arial" w:hAnsi="Arial" w:cs="Arial"/>
          <w:color w:val="000000"/>
        </w:rPr>
        <w:fldChar w:fldCharType="separate"/>
      </w:r>
      <w:r w:rsidRPr="007F02E2">
        <w:rPr>
          <w:rFonts w:ascii="Arial" w:eastAsia="Arial" w:hAnsi="Arial" w:cs="Arial"/>
          <w:color w:val="000000"/>
        </w:rPr>
        <w:t>(</w:t>
      </w:r>
      <w:proofErr w:type="spellStart"/>
      <w:r w:rsidRPr="007F02E2">
        <w:rPr>
          <w:rFonts w:ascii="Arial" w:eastAsia="Arial" w:hAnsi="Arial" w:cs="Arial"/>
          <w:color w:val="000000"/>
        </w:rPr>
        <w:t>Trapnell</w:t>
      </w:r>
      <w:proofErr w:type="spellEnd"/>
      <w:r w:rsidRPr="007F02E2">
        <w:rPr>
          <w:rFonts w:ascii="Arial" w:eastAsia="Arial" w:hAnsi="Arial" w:cs="Arial"/>
          <w:i/>
          <w:color w:val="000000"/>
        </w:rPr>
        <w:t xml:space="preserve"> et al.</w:t>
      </w:r>
      <w:r w:rsidRPr="007F02E2">
        <w:rPr>
          <w:rFonts w:ascii="Arial" w:eastAsia="Arial" w:hAnsi="Arial" w:cs="Arial"/>
          <w:color w:val="000000"/>
        </w:rPr>
        <w:t xml:space="preserve">, 2009; </w:t>
      </w:r>
      <w:proofErr w:type="spellStart"/>
      <w:r w:rsidRPr="007F02E2">
        <w:rPr>
          <w:rFonts w:ascii="Arial" w:eastAsia="Arial" w:hAnsi="Arial" w:cs="Arial"/>
          <w:color w:val="000000"/>
        </w:rPr>
        <w:t>Trapnell</w:t>
      </w:r>
      <w:proofErr w:type="spellEnd"/>
      <w:r w:rsidRPr="007F02E2">
        <w:rPr>
          <w:rFonts w:ascii="Arial" w:eastAsia="Arial" w:hAnsi="Arial" w:cs="Arial"/>
          <w:i/>
          <w:color w:val="000000"/>
        </w:rPr>
        <w:t xml:space="preserve"> et al.</w:t>
      </w:r>
      <w:r w:rsidRPr="007F02E2">
        <w:rPr>
          <w:rFonts w:ascii="Arial" w:eastAsia="Arial" w:hAnsi="Arial" w:cs="Arial"/>
          <w:color w:val="000000"/>
        </w:rPr>
        <w:t>, 2012; Kim</w:t>
      </w:r>
      <w:r w:rsidRPr="007F02E2">
        <w:rPr>
          <w:rFonts w:ascii="Arial" w:eastAsia="Arial" w:hAnsi="Arial" w:cs="Arial"/>
          <w:i/>
          <w:color w:val="000000"/>
        </w:rPr>
        <w:t xml:space="preserve"> et al.</w:t>
      </w:r>
      <w:r w:rsidRPr="007F02E2">
        <w:rPr>
          <w:rFonts w:ascii="Arial" w:eastAsia="Arial" w:hAnsi="Arial" w:cs="Arial"/>
          <w:color w:val="000000"/>
        </w:rPr>
        <w:t>, 2013)</w:t>
      </w:r>
      <w:r w:rsidRPr="007F02E2">
        <w:rPr>
          <w:rFonts w:ascii="Arial" w:eastAsia="Arial" w:hAnsi="Arial" w:cs="Arial"/>
          <w:color w:val="000000"/>
        </w:rPr>
        <w:fldChar w:fldCharType="end"/>
      </w:r>
      <w:r w:rsidRPr="007F02E2">
        <w:rPr>
          <w:rFonts w:ascii="Arial" w:eastAsia="Arial" w:hAnsi="Arial" w:cs="Arial"/>
          <w:color w:val="000000"/>
        </w:rPr>
        <w:t xml:space="preserve"> with –N 2 –g 1. The annotation file was provided as reference for reads alignment. </w:t>
      </w:r>
      <w:proofErr w:type="spellStart"/>
      <w:r w:rsidRPr="007F02E2">
        <w:rPr>
          <w:rFonts w:ascii="Arial" w:eastAsia="Arial" w:hAnsi="Arial" w:cs="Arial"/>
          <w:color w:val="000000"/>
        </w:rPr>
        <w:t>MultibamSummary</w:t>
      </w:r>
      <w:proofErr w:type="spellEnd"/>
      <w:r w:rsidRPr="007F02E2">
        <w:rPr>
          <w:rFonts w:ascii="Arial" w:eastAsia="Arial" w:hAnsi="Arial" w:cs="Arial"/>
          <w:color w:val="000000"/>
        </w:rPr>
        <w:t xml:space="preserve"> from deepTools2 package</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&lt;EndNote&gt;&lt;Cite&gt;&lt;Author&gt;Ramírez&lt;/Author&gt;&lt;Year&gt;2016&lt;/Year&gt;&lt;RecNum&gt;88&lt;/RecNum&gt;&lt;DisplayText&gt;(Ramírez&lt;style face="italic"&gt; et al.&lt;/style&gt;, 2016)&lt;/DisplayText&gt;&lt;record&gt;&lt;rec-number&gt;88&lt;/rec-number&gt;&lt;foreign-keys&gt;&lt;key app="EN" db-id="sett0pvv3rw9vne5vr85szzsvr0vxaxrrd2x" timestamp="1703311112"&gt;88&lt;/key&gt;&lt;/foreign-keys&gt;&lt;ref-type name="Journal Article"&gt;17&lt;/ref-type&gt;&lt;contributors&gt;&lt;authors&gt;&lt;author&gt;Ramírez, Fidel&lt;/author&gt;&lt;author&gt;Ryan, Devon P.&lt;/author&gt;&lt;author&gt;Grüning, Björn&lt;/author&gt;&lt;author&gt;Bhardwaj, Vivek&lt;/author&gt;&lt;author&gt;Kilpert, Fabian&lt;/author&gt;&lt;author&gt;Richter, Andreas S.&lt;/author&gt;&lt;author&gt;Heyne, Steffen&lt;/author&gt;&lt;author&gt;Dündar, Friederike&lt;/author&gt;&lt;author&gt;Manke, Thomas&lt;/author&gt;&lt;/authors&gt;&lt;/contributors&gt;&lt;titles&gt;&lt;title&gt;deepTools2: a next generation web server for deep-sequencing data analysis&lt;/title&gt;&lt;secondary-title&gt;Nucleic Acids Research&lt;/secondary-title&gt;&lt;/titles&gt;&lt;periodical&gt;&lt;full-title&gt;Nucleic Acids Research&lt;/full-title&gt;&lt;/periodical&gt;&lt;pages&gt;W160-W165&lt;/pages&gt;&lt;volume&gt;44&lt;/volume&gt;&lt;number&gt;W1&lt;/number&gt;&lt;dates&gt;&lt;year&gt;2016&lt;/year&gt;&lt;/dates&gt;&lt;isbn&gt;0305-1048&lt;/isbn&gt;&lt;urls&gt;&lt;related-urls&gt;&lt;url&gt;http://dx.doi.org/10.1093/nar/gkw257&lt;/url&gt;&lt;/related-urls&gt;&lt;/urls&gt;&lt;electronic-resource-num&gt;10.1093/nar/gkw257&lt;/electronic-resource-num&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(Ramírez</w:t>
      </w:r>
      <w:r w:rsidRPr="007F02E2">
        <w:rPr>
          <w:rFonts w:ascii="Arial" w:eastAsia="Arial" w:hAnsi="Arial" w:cs="Arial"/>
          <w:i/>
          <w:color w:val="000000"/>
        </w:rPr>
        <w:t xml:space="preserve"> et al.</w:t>
      </w:r>
      <w:r w:rsidRPr="007F02E2">
        <w:rPr>
          <w:rFonts w:ascii="Arial" w:eastAsia="Arial" w:hAnsi="Arial" w:cs="Arial"/>
          <w:color w:val="000000"/>
        </w:rPr>
        <w:t>, 2016)</w:t>
      </w:r>
      <w:r w:rsidRPr="007F02E2">
        <w:rPr>
          <w:rFonts w:ascii="Arial" w:eastAsia="Arial" w:hAnsi="Arial" w:cs="Arial"/>
          <w:color w:val="000000"/>
        </w:rPr>
        <w:fldChar w:fldCharType="end"/>
      </w:r>
      <w:r w:rsidRPr="007F02E2">
        <w:rPr>
          <w:rFonts w:ascii="Arial" w:eastAsia="Arial" w:hAnsi="Arial" w:cs="Arial"/>
          <w:color w:val="000000"/>
        </w:rPr>
        <w:t xml:space="preserve"> was used on the bam files derived from the previous step, to check for the correlation between the replicates. Summary of read counts at gene level was calculated using feature Counts v1.5.1</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&lt;EndNote&gt;&lt;Cite&gt;&lt;Author&gt;Liao&lt;/Author&gt;&lt;Year&gt;2014&lt;/Year&gt;&lt;RecNum&gt;89&lt;/RecNum&gt;&lt;DisplayText&gt;(Liao&lt;style face="italic"&gt; et al.&lt;/style&gt;, 2014)&lt;/DisplayText&gt;&lt;record&gt;&lt;rec-number&gt;89&lt;/rec-number&gt;&lt;foreign-keys&gt;&lt;key app="EN" db-id="sett0pvv3rw9vne5vr85szzsvr0vxaxrrd2x" timestamp="1703311112"&gt;89&lt;/key&gt;&lt;/foreign-keys&gt;&lt;ref-type name="Journal Article"&gt;17&lt;/ref-type&gt;&lt;contributors&gt;&lt;authors&gt;&lt;author&gt;Liao, Yang&lt;/author&gt;&lt;author&gt;Smyth, Gordon K.&lt;/author&gt;&lt;author&gt;Shi, Wei&lt;/author&gt;&lt;/authors&gt;&lt;/contributors&gt;&lt;titles&gt;&lt;title&gt;featureCounts: an efficient general purpose program for assigning sequence reads to genomic features&lt;/title&gt;&lt;secondary-title&gt;Bioinformatics&lt;/secondary-title&gt;&lt;/titles&gt;&lt;periodical&gt;&lt;full-title&gt;Bioinformatics&lt;/full-title&gt;&lt;/periodical&gt;&lt;pages&gt;923-930&lt;/pages&gt;&lt;volume&gt;30&lt;/volume&gt;&lt;number&gt;7&lt;/number&gt;&lt;dates&gt;&lt;year&gt;2014&lt;/year&gt;&lt;/dates&gt;&lt;isbn&gt;1367-4803&lt;/isbn&gt;&lt;urls&gt;&lt;related-urls&gt;&lt;url&gt;http://dx.doi.org/10.1093/bioinformatics/btt656&lt;/url&gt;&lt;/related-urls&gt;&lt;/urls&gt;&lt;electronic-resource-num&gt;10.1093/bioinformatics/btt656&lt;/electronic-resource-num&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(Liao</w:t>
      </w:r>
      <w:r w:rsidRPr="007F02E2">
        <w:rPr>
          <w:rFonts w:ascii="Arial" w:eastAsia="Arial" w:hAnsi="Arial" w:cs="Arial"/>
          <w:i/>
          <w:color w:val="000000"/>
        </w:rPr>
        <w:t xml:space="preserve"> et al.</w:t>
      </w:r>
      <w:r w:rsidRPr="007F02E2">
        <w:rPr>
          <w:rFonts w:ascii="Arial" w:eastAsia="Arial" w:hAnsi="Arial" w:cs="Arial"/>
          <w:color w:val="000000"/>
        </w:rPr>
        <w:t>, 2014)</w:t>
      </w:r>
      <w:r w:rsidRPr="007F02E2">
        <w:rPr>
          <w:rFonts w:ascii="Arial" w:eastAsia="Arial" w:hAnsi="Arial" w:cs="Arial"/>
          <w:color w:val="000000"/>
        </w:rPr>
        <w:fldChar w:fldCharType="end"/>
      </w:r>
      <w:r w:rsidRPr="007F02E2">
        <w:rPr>
          <w:rFonts w:ascii="Arial" w:eastAsia="Arial" w:hAnsi="Arial" w:cs="Arial"/>
          <w:color w:val="000000"/>
        </w:rPr>
        <w:t>. Cufflinks v.2.2.1</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&lt;EndNote&gt;&lt;Cite&gt;&lt;Author&gt;Trapnell&lt;/Author&gt;&lt;Year&gt;2012&lt;/Year&gt;&lt;RecNum&gt;87&lt;/RecNum&gt;&lt;DisplayText&gt;(Trapnell&lt;style face="italic"&gt; et al.&lt;/style&gt;, 2012)&lt;/DisplayText&gt;&lt;record&gt;&lt;rec-number&gt;87&lt;/rec-number&gt;&lt;foreign-keys&gt;&lt;key app="EN" db-id="sett0pvv3rw9vne5vr85szzsvr0vxaxrrd2x" timestamp="1703311111"&gt;87&lt;/key&gt;&lt;/foreign-keys&gt;&lt;ref-type name="Journal Article"&gt;17&lt;/ref-type&gt;&lt;contributors&gt;&lt;authors&gt;&lt;author&gt;Trapnell, Cole&lt;/author&gt;&lt;author&gt;Roberts, Adam&lt;/author&gt;&lt;author&gt;Goff, Loyal&lt;/author&gt;&lt;author&gt;Pertea, Geo&lt;/author&gt;&lt;author&gt;Kim, Daehwan&lt;/author&gt;&lt;author&gt;Kelley, David R.&lt;/author&gt;&lt;author&gt;Pimentel, Harold&lt;/author&gt;&lt;author&gt;Salzberg, Steven L.&lt;/author&gt;&lt;author&gt;Rinn, John L.&lt;/author&gt;&lt;author&gt;Pachter, Lior&lt;/author&gt;&lt;/authors&gt;&lt;/contributors&gt;&lt;titles&gt;&lt;title&gt;Differential gene and transcript expression analysis of RNA-seq experiments with TopHat and Cufflinks&lt;/title&gt;&lt;secondary-title&gt;Nature Protocols&lt;/secondary-title&gt;&lt;/titles&gt;&lt;periodical&gt;&lt;full-title&gt;Nature Protocols&lt;/full-title&gt;&lt;/periodical&gt;&lt;pages&gt;562&lt;/pages&gt;&lt;volume&gt;7&lt;/volume&gt;&lt;dates&gt;&lt;year&gt;2012&lt;/year&gt;&lt;pub-dates&gt;&lt;date&gt;03/01/online&lt;/date&gt;&lt;/pub-dates&gt;&lt;/dates&gt;&lt;publisher&gt;Nature Publishing Group, a division of Macmillan Publishers Limited. All Rights Reserved.&lt;/publisher&gt;&lt;urls&gt;&lt;related-urls&gt;&lt;url&gt;https://doi.org/10.1038/nprot.2012.016&lt;/url&gt;&lt;/related-urls&gt;&lt;/urls&gt;&lt;electronic-resource-num&gt;10.1038/nprot.2012.016&lt;/electronic-resource-num&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w:t>
      </w:r>
      <w:proofErr w:type="spellStart"/>
      <w:r w:rsidRPr="007F02E2">
        <w:rPr>
          <w:rFonts w:ascii="Arial" w:eastAsia="Arial" w:hAnsi="Arial" w:cs="Arial"/>
          <w:color w:val="000000"/>
        </w:rPr>
        <w:t>Trapnell</w:t>
      </w:r>
      <w:proofErr w:type="spellEnd"/>
      <w:r w:rsidRPr="007F02E2">
        <w:rPr>
          <w:rFonts w:ascii="Arial" w:eastAsia="Arial" w:hAnsi="Arial" w:cs="Arial"/>
          <w:i/>
          <w:color w:val="000000"/>
        </w:rPr>
        <w:t xml:space="preserve"> et al.</w:t>
      </w:r>
      <w:r w:rsidRPr="007F02E2">
        <w:rPr>
          <w:rFonts w:ascii="Arial" w:eastAsia="Arial" w:hAnsi="Arial" w:cs="Arial"/>
          <w:color w:val="000000"/>
        </w:rPr>
        <w:t>, 2012)</w:t>
      </w:r>
      <w:r w:rsidRPr="007F02E2">
        <w:rPr>
          <w:rFonts w:ascii="Arial" w:eastAsia="Arial" w:hAnsi="Arial" w:cs="Arial"/>
          <w:color w:val="000000"/>
        </w:rPr>
        <w:fldChar w:fldCharType="end"/>
      </w:r>
      <w:r w:rsidRPr="007F02E2">
        <w:rPr>
          <w:rFonts w:ascii="Arial" w:eastAsia="Arial" w:hAnsi="Arial" w:cs="Arial"/>
          <w:color w:val="000000"/>
        </w:rPr>
        <w:t xml:space="preserve"> was used to calculate the FPKM values for individual replicates and </w:t>
      </w:r>
      <w:proofErr w:type="spellStart"/>
      <w:r w:rsidRPr="007F02E2">
        <w:rPr>
          <w:rFonts w:ascii="Arial" w:eastAsia="Arial" w:hAnsi="Arial" w:cs="Arial"/>
          <w:color w:val="000000"/>
        </w:rPr>
        <w:t>CuffDiff</w:t>
      </w:r>
      <w:proofErr w:type="spellEnd"/>
      <w:r w:rsidRPr="007F02E2">
        <w:rPr>
          <w:rFonts w:ascii="Arial" w:eastAsia="Arial" w:hAnsi="Arial" w:cs="Arial"/>
          <w:color w:val="000000"/>
        </w:rPr>
        <w:t xml:space="preserve"> v2.2.1 with quartile normalization to find the significant differential gene expression</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&lt;EndNote&gt;&lt;Cite&gt;&lt;Author&gt;Trapnell&lt;/Author&gt;&lt;Year&gt;2012&lt;/Year&gt;&lt;RecNum&gt;87&lt;/RecNum&gt;&lt;DisplayText&gt;(Trapnell&lt;style face="italic"&gt; et al.&lt;/style&gt;, 2012)&lt;/DisplayText&gt;&lt;record&gt;&lt;rec-number&gt;87&lt;/rec-number&gt;&lt;foreign-keys&gt;&lt;key app="EN" db-id="sett0pvv3rw9vne5vr85szzsvr0vxaxrrd2x" timestamp="1703311111"&gt;87&lt;/key&gt;&lt;/foreign-keys&gt;&lt;ref-type name="Journal Article"&gt;17&lt;/ref-type&gt;&lt;contributors&gt;&lt;authors&gt;&lt;author&gt;Trapnell, Cole&lt;/author&gt;&lt;author&gt;Roberts, Adam&lt;/author&gt;&lt;author&gt;Goff, Loyal&lt;/author&gt;&lt;author&gt;Pertea, Geo&lt;/author&gt;&lt;author&gt;Kim, Daehwan&lt;/author&gt;&lt;author&gt;Kelley, David R.&lt;/author&gt;&lt;author&gt;Pimentel, Harold&lt;/author&gt;&lt;author&gt;Salzberg, Steven L.&lt;/author&gt;&lt;author&gt;Rinn, John L.&lt;/author&gt;&lt;author&gt;Pachter, Lior&lt;/author&gt;&lt;/authors&gt;&lt;/contributors&gt;&lt;titles&gt;&lt;title&gt;Differential gene and transcript expression analysis of RNA-seq experiments with TopHat and Cufflinks&lt;/title&gt;&lt;secondary-title&gt;Nature Protocols&lt;/secondary-title&gt;&lt;/titles&gt;&lt;periodical&gt;&lt;full-title&gt;Nature Protocols&lt;/full-title&gt;&lt;/periodical&gt;&lt;pages&gt;562&lt;/pages&gt;&lt;volume&gt;7&lt;/volume&gt;&lt;dates&gt;&lt;year&gt;2012&lt;/year&gt;&lt;pub-dates&gt;&lt;date&gt;03/01/online&lt;/date&gt;&lt;/pub-dates&gt;&lt;/dates&gt;&lt;publisher&gt;Nature Publishing Group, a division of Macmillan Publishers Limited. All Rights Reserved.&lt;/publisher&gt;&lt;urls&gt;&lt;related-urls&gt;&lt;url&gt;https://doi.org/10.1038/nprot.2012.016&lt;/url&gt;&lt;/related-urls&gt;&lt;/urls&gt;&lt;electronic-resource-num&gt;10.1038/nprot.2012.016&lt;/electronic-resource-num&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w:t>
      </w:r>
      <w:proofErr w:type="spellStart"/>
      <w:r w:rsidRPr="007F02E2">
        <w:rPr>
          <w:rFonts w:ascii="Arial" w:eastAsia="Arial" w:hAnsi="Arial" w:cs="Arial"/>
          <w:color w:val="000000"/>
        </w:rPr>
        <w:t>Trapnell</w:t>
      </w:r>
      <w:proofErr w:type="spellEnd"/>
      <w:r w:rsidRPr="007F02E2">
        <w:rPr>
          <w:rFonts w:ascii="Arial" w:eastAsia="Arial" w:hAnsi="Arial" w:cs="Arial"/>
          <w:i/>
          <w:color w:val="000000"/>
        </w:rPr>
        <w:t xml:space="preserve"> et al.</w:t>
      </w:r>
      <w:r w:rsidRPr="007F02E2">
        <w:rPr>
          <w:rFonts w:ascii="Arial" w:eastAsia="Arial" w:hAnsi="Arial" w:cs="Arial"/>
          <w:color w:val="000000"/>
        </w:rPr>
        <w:t>, 2012)</w:t>
      </w:r>
      <w:r w:rsidRPr="007F02E2">
        <w:rPr>
          <w:rFonts w:ascii="Arial" w:eastAsia="Arial" w:hAnsi="Arial" w:cs="Arial"/>
          <w:color w:val="000000"/>
        </w:rPr>
        <w:fldChar w:fldCharType="end"/>
      </w:r>
      <w:r w:rsidRPr="007F02E2">
        <w:rPr>
          <w:rFonts w:ascii="Arial" w:eastAsia="Arial" w:hAnsi="Arial" w:cs="Arial"/>
          <w:color w:val="000000"/>
        </w:rPr>
        <w:t xml:space="preserve">. Genes with 2-fold change and P value &lt;= 0.05 were considered as significantly different between samples with and without </w:t>
      </w:r>
      <w:r w:rsidRPr="007F02E2">
        <w:rPr>
          <w:rFonts w:ascii="Arial" w:eastAsia="Arial" w:hAnsi="Arial" w:cs="Arial"/>
          <w:color w:val="000000"/>
        </w:rPr>
        <w:lastRenderedPageBreak/>
        <w:t>treatment. Hierarchical clustering of these genes was performed using Mev v4.8.1</w:t>
      </w:r>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&lt;EndNote&gt;&lt;Cite&gt;&lt;Author&gt;Howe&lt;/Author&gt;&lt;Year&gt;2011&lt;/Year&gt;&lt;RecNum&gt;90&lt;/RecNum&gt;&lt;DisplayText&gt;(Howe&lt;style face="italic"&gt; et al.&lt;/style&gt;, 2011)&lt;/DisplayText&gt;&lt;record&gt;&lt;rec-number&gt;90&lt;/rec-number&gt;&lt;foreign-keys&gt;&lt;key app="EN" db-id="sett0pvv3rw9vne5vr85szzsvr0vxaxrrd2x" timestamp="1703311112"&gt;90&lt;/key&gt;&lt;/foreign-keys&gt;&lt;ref-type name="Journal Article"&gt;17&lt;/ref-type&gt;&lt;contributors&gt;&lt;authors&gt;&lt;author&gt;Howe, Eleanor A.&lt;/author&gt;&lt;author&gt;Sinha, Raktim&lt;/author&gt;&lt;author&gt;Schlauch, Daniel&lt;/author&gt;&lt;author&gt;Quackenbush, John&lt;/author&gt;&lt;/authors&gt;&lt;/contributors&gt;&lt;titles&gt;&lt;title&gt;RNA-Seq analysis in MeV&lt;/title&gt;&lt;secondary-title&gt;Bioinformatics&lt;/secondary-title&gt;&lt;/titles&gt;&lt;periodical&gt;&lt;full-title&gt;Bioinformatics&lt;/full-title&gt;&lt;/periodical&gt;&lt;pages&gt;3209-3210&lt;/pages&gt;&lt;volume&gt;27&lt;/volume&gt;&lt;number&gt;22&lt;/number&gt;&lt;dates&gt;&lt;year&gt;2011&lt;/year&gt;&lt;/dates&gt;&lt;isbn&gt;1367-4803&lt;/isbn&gt;&lt;urls&gt;&lt;related-urls&gt;&lt;url&gt;http://dx.doi.org/10.1093/bioinformatics/btr490&lt;/url&gt;&lt;/related-urls&gt;&lt;/urls&gt;&lt;electronic-resource-num&gt;10.1093/bioinformatics/btr490&lt;/electronic-resource-num&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(Howe</w:t>
      </w:r>
      <w:r w:rsidRPr="007F02E2">
        <w:rPr>
          <w:rFonts w:ascii="Arial" w:eastAsia="Arial" w:hAnsi="Arial" w:cs="Arial"/>
          <w:i/>
          <w:color w:val="000000"/>
        </w:rPr>
        <w:t xml:space="preserve"> et al.</w:t>
      </w:r>
      <w:r w:rsidRPr="007F02E2">
        <w:rPr>
          <w:rFonts w:ascii="Arial" w:eastAsia="Arial" w:hAnsi="Arial" w:cs="Arial"/>
          <w:color w:val="000000"/>
        </w:rPr>
        <w:t>, 2011)</w:t>
      </w:r>
      <w:r w:rsidRPr="007F02E2">
        <w:rPr>
          <w:rFonts w:ascii="Arial" w:eastAsia="Arial" w:hAnsi="Arial" w:cs="Arial"/>
          <w:color w:val="000000"/>
        </w:rPr>
        <w:fldChar w:fldCharType="end"/>
      </w:r>
      <w:r w:rsidRPr="007F02E2">
        <w:rPr>
          <w:rFonts w:ascii="Arial" w:eastAsia="Arial" w:hAnsi="Arial" w:cs="Arial"/>
          <w:color w:val="000000"/>
        </w:rPr>
        <w:t xml:space="preserve">. GO term enrichment in each gene list was carried out using </w:t>
      </w:r>
      <w:proofErr w:type="spellStart"/>
      <w:r w:rsidRPr="007F02E2">
        <w:rPr>
          <w:rFonts w:ascii="Arial" w:eastAsia="Arial" w:hAnsi="Arial" w:cs="Arial"/>
          <w:color w:val="000000"/>
        </w:rPr>
        <w:t>AgriGO</w:t>
      </w:r>
      <w:proofErr w:type="spellEnd"/>
      <w:r w:rsidRPr="007F02E2">
        <w:rPr>
          <w:rFonts w:ascii="Arial" w:eastAsia="Arial" w:hAnsi="Arial" w:cs="Arial"/>
          <w:color w:val="000000"/>
        </w:rPr>
        <w:fldChar w:fldCharType="begin"/>
      </w:r>
      <w:r w:rsidRPr="007F02E2">
        <w:rPr>
          <w:rFonts w:ascii="Arial" w:eastAsia="Arial" w:hAnsi="Arial" w:cs="Arial"/>
          <w:color w:val="000000"/>
        </w:rPr>
        <w:instrText xml:space="preserve"> ADDIN EN.CITE &lt;EndNote&gt;&lt;Cite&gt;&lt;Author&gt;Tian&lt;/Author&gt;&lt;Year&gt;2017&lt;/Year&gt;&lt;RecNum&gt;91&lt;/RecNum&gt;&lt;DisplayText&gt;(Tian&lt;style face="italic"&gt; et al.&lt;/style&gt;, 2017)&lt;/DisplayText&gt;&lt;record&gt;&lt;rec-number&gt;91&lt;/rec-number&gt;&lt;foreign-keys&gt;&lt;key app="EN" db-id="sett0pvv3rw9vne5vr85szzsvr0vxaxrrd2x" timestamp="1703311112"&gt;91&lt;/key&gt;&lt;/foreign-keys&gt;&lt;ref-type name="Journal Article"&gt;17&lt;/ref-type&gt;&lt;contributors&gt;&lt;authors&gt;&lt;author&gt;Tian, T.&lt;/author&gt;&lt;author&gt;Liu, Y.&lt;/author&gt;&lt;author&gt;Yan, H.&lt;/author&gt;&lt;author&gt;You, Q.&lt;/author&gt;&lt;author&gt;Yi, X.&lt;/author&gt;&lt;author&gt;Du, Z.&lt;/author&gt;&lt;author&gt;Xu, W.&lt;/author&gt;&lt;author&gt;Su, Z.&lt;/author&gt;&lt;/authors&gt;&lt;/contributors&gt;&lt;auth-address&gt;State Key Laboratory of Plant Physiology and Biochemistry, College of Biological Sciences, China Agricultural University, Beijing 100193, China.&lt;/auth-address&gt;&lt;titles&gt;&lt;title&gt;agriGO v2.0: a GO analysis toolkit for the agricultural community, 2017 update&lt;/title&gt;&lt;secondary-title&gt;Nucleic Acids Res&lt;/secondary-title&gt;&lt;alt-title&gt;Nucleic acids research&lt;/alt-title&gt;&lt;/titles&gt;&lt;periodical&gt;&lt;full-title&gt;Nucleic Acids Res&lt;/full-title&gt;&lt;/periodical&gt;&lt;alt-periodical&gt;&lt;full-title&gt;Nucleic Acids Research&lt;/full-title&gt;&lt;/alt-periodical&gt;&lt;pages&gt;W122-w129&lt;/pages&gt;&lt;volume&gt;45&lt;/volume&gt;&lt;number&gt;W1&lt;/number&gt;&lt;edition&gt;2017/05/05&lt;/edition&gt;&lt;dates&gt;&lt;year&gt;2017&lt;/year&gt;&lt;pub-dates&gt;&lt;date&gt;Jul 3&lt;/date&gt;&lt;/pub-dates&gt;&lt;/dates&gt;&lt;isbn&gt;0305-1048&lt;/isbn&gt;&lt;accession-num&gt;28472432&lt;/accession-num&gt;&lt;urls&gt;&lt;/urls&gt;&lt;custom2&gt;PMC5793732&lt;/custom2&gt;&lt;electronic-resource-num&gt;10.1093/nar/gkx382&lt;/electronic-resource-num&gt;&lt;remote-database-provider&gt;NLM&lt;/remote-database-provider&gt;&lt;language&gt;eng&lt;/language&gt;&lt;/record&gt;&lt;/Cite&gt;&lt;/EndNote&gt;</w:instrText>
      </w:r>
      <w:r w:rsidRPr="007F02E2">
        <w:rPr>
          <w:rFonts w:ascii="Arial" w:eastAsia="Arial" w:hAnsi="Arial" w:cs="Arial"/>
          <w:color w:val="000000"/>
        </w:rPr>
        <w:fldChar w:fldCharType="separate"/>
      </w:r>
      <w:r w:rsidRPr="007F02E2">
        <w:rPr>
          <w:rFonts w:ascii="Arial" w:eastAsia="Arial" w:hAnsi="Arial" w:cs="Arial"/>
          <w:color w:val="000000"/>
        </w:rPr>
        <w:t>(Tian</w:t>
      </w:r>
      <w:r w:rsidRPr="007F02E2">
        <w:rPr>
          <w:rFonts w:ascii="Arial" w:eastAsia="Arial" w:hAnsi="Arial" w:cs="Arial"/>
          <w:i/>
          <w:color w:val="000000"/>
        </w:rPr>
        <w:t xml:space="preserve"> et al.</w:t>
      </w:r>
      <w:r w:rsidRPr="007F02E2">
        <w:rPr>
          <w:rFonts w:ascii="Arial" w:eastAsia="Arial" w:hAnsi="Arial" w:cs="Arial"/>
          <w:color w:val="000000"/>
        </w:rPr>
        <w:t>, 2017)</w:t>
      </w:r>
      <w:r w:rsidRPr="007F02E2">
        <w:rPr>
          <w:rFonts w:ascii="Arial" w:eastAsia="Arial" w:hAnsi="Arial" w:cs="Arial"/>
          <w:color w:val="000000"/>
        </w:rPr>
        <w:fldChar w:fldCharType="end"/>
      </w:r>
      <w:r w:rsidRPr="007F02E2">
        <w:rPr>
          <w:rFonts w:ascii="Arial" w:eastAsia="Arial" w:hAnsi="Arial" w:cs="Arial"/>
          <w:color w:val="000000"/>
        </w:rPr>
        <w:t xml:space="preserve"> with a cutoff for significant enrichment is P value &lt; 0.01 and calculation false discovery rate &lt; 0.5.</w:t>
      </w:r>
    </w:p>
    <w:p w14:paraId="1F74AFDA" w14:textId="77777777" w:rsidR="002063E6" w:rsidRDefault="002063E6" w:rsidP="002063E6">
      <w:pPr>
        <w:jc w:val="both"/>
        <w:rPr>
          <w:rFonts w:ascii="Arial" w:eastAsia="Arial" w:hAnsi="Arial" w:cs="Arial"/>
          <w:color w:val="000000"/>
        </w:rPr>
      </w:pPr>
    </w:p>
    <w:p w14:paraId="74F98273" w14:textId="77777777" w:rsidR="002063E6" w:rsidRPr="002063E6" w:rsidRDefault="002063E6" w:rsidP="002063E6">
      <w:pPr>
        <w:jc w:val="both"/>
        <w:rPr>
          <w:rFonts w:ascii="Arial" w:eastAsia="Arial" w:hAnsi="Arial" w:cs="Arial"/>
          <w:b/>
          <w:color w:val="000000"/>
        </w:rPr>
      </w:pPr>
      <w:r w:rsidRPr="002063E6">
        <w:rPr>
          <w:rFonts w:ascii="Arial" w:eastAsia="Arial" w:hAnsi="Arial" w:cs="Arial"/>
          <w:b/>
          <w:color w:val="000000"/>
        </w:rPr>
        <w:t xml:space="preserve">cDNA synthesis and </w:t>
      </w:r>
      <w:proofErr w:type="spellStart"/>
      <w:r w:rsidRPr="002063E6">
        <w:rPr>
          <w:rFonts w:ascii="Arial" w:eastAsia="Arial" w:hAnsi="Arial" w:cs="Arial"/>
          <w:b/>
          <w:color w:val="000000"/>
        </w:rPr>
        <w:t>qRT</w:t>
      </w:r>
      <w:proofErr w:type="spellEnd"/>
      <w:r w:rsidRPr="002063E6">
        <w:rPr>
          <w:rFonts w:ascii="Arial" w:eastAsia="Arial" w:hAnsi="Arial" w:cs="Arial"/>
          <w:b/>
          <w:color w:val="000000"/>
        </w:rPr>
        <w:t xml:space="preserve">-PCR analysis </w:t>
      </w:r>
    </w:p>
    <w:p w14:paraId="77939CF6" w14:textId="230E6400" w:rsidR="002063E6" w:rsidRDefault="002063E6" w:rsidP="002063E6">
      <w:pPr>
        <w:jc w:val="both"/>
        <w:rPr>
          <w:rFonts w:ascii="Arial" w:eastAsia="Arial" w:hAnsi="Arial" w:cs="Arial"/>
          <w:color w:val="000000"/>
        </w:rPr>
      </w:pPr>
      <w:r w:rsidRPr="002063E6">
        <w:rPr>
          <w:rFonts w:ascii="Arial" w:eastAsia="Arial" w:hAnsi="Arial" w:cs="Arial"/>
          <w:color w:val="000000"/>
        </w:rPr>
        <w:t xml:space="preserve">Reverse transcription was performed using </w:t>
      </w:r>
      <w:proofErr w:type="spellStart"/>
      <w:r w:rsidRPr="002063E6">
        <w:rPr>
          <w:rFonts w:ascii="Arial" w:eastAsia="Arial" w:hAnsi="Arial" w:cs="Arial"/>
          <w:color w:val="000000"/>
        </w:rPr>
        <w:t>SuperScript</w:t>
      </w:r>
      <w:proofErr w:type="spellEnd"/>
      <w:r w:rsidRPr="002063E6">
        <w:rPr>
          <w:rFonts w:ascii="Arial" w:eastAsia="Arial" w:hAnsi="Arial" w:cs="Arial"/>
          <w:color w:val="000000"/>
        </w:rPr>
        <w:t xml:space="preserve">™ III First-Strand Synthesis </w:t>
      </w:r>
      <w:proofErr w:type="spellStart"/>
      <w:r w:rsidRPr="002063E6">
        <w:rPr>
          <w:rFonts w:ascii="Arial" w:eastAsia="Arial" w:hAnsi="Arial" w:cs="Arial"/>
          <w:color w:val="000000"/>
        </w:rPr>
        <w:t>SuperMix</w:t>
      </w:r>
      <w:proofErr w:type="spellEnd"/>
      <w:r w:rsidRPr="002063E6">
        <w:rPr>
          <w:rFonts w:ascii="Arial" w:eastAsia="Arial" w:hAnsi="Arial" w:cs="Arial"/>
          <w:color w:val="000000"/>
        </w:rPr>
        <w:t xml:space="preserve"> (Invitrogen 18080400). The amount of starting material can vary from 0.1pg to 5µg of total RNA and the procedure was performed according to the manufacturer’s protocols. The normalized complementary DNA (cDNA) was used for </w:t>
      </w:r>
      <w:proofErr w:type="spellStart"/>
      <w:r w:rsidRPr="002063E6">
        <w:rPr>
          <w:rFonts w:ascii="Arial" w:eastAsia="Arial" w:hAnsi="Arial" w:cs="Arial"/>
          <w:color w:val="000000"/>
        </w:rPr>
        <w:t>qRT</w:t>
      </w:r>
      <w:proofErr w:type="spellEnd"/>
      <w:r w:rsidRPr="002063E6">
        <w:rPr>
          <w:rFonts w:ascii="Arial" w:eastAsia="Arial" w:hAnsi="Arial" w:cs="Arial"/>
          <w:color w:val="000000"/>
        </w:rPr>
        <w:t xml:space="preserve">-PCR reactions. </w:t>
      </w:r>
      <w:proofErr w:type="spellStart"/>
      <w:r w:rsidRPr="002063E6">
        <w:rPr>
          <w:rFonts w:ascii="Arial" w:eastAsia="Arial" w:hAnsi="Arial" w:cs="Arial"/>
          <w:color w:val="000000"/>
        </w:rPr>
        <w:t>qRT</w:t>
      </w:r>
      <w:proofErr w:type="spellEnd"/>
      <w:r w:rsidRPr="002063E6">
        <w:rPr>
          <w:rFonts w:ascii="Arial" w:eastAsia="Arial" w:hAnsi="Arial" w:cs="Arial"/>
          <w:color w:val="000000"/>
        </w:rPr>
        <w:t xml:space="preserve">-PCR was carried out on the CFX96/CFX384 real-time PCR machine (Bio-Rad) using </w:t>
      </w:r>
      <w:proofErr w:type="spellStart"/>
      <w:r w:rsidRPr="002063E6">
        <w:rPr>
          <w:rFonts w:ascii="Arial" w:eastAsia="Arial" w:hAnsi="Arial" w:cs="Arial"/>
          <w:color w:val="000000"/>
        </w:rPr>
        <w:t>SsoAdvanced</w:t>
      </w:r>
      <w:proofErr w:type="spellEnd"/>
      <w:r w:rsidRPr="002063E6">
        <w:rPr>
          <w:rFonts w:ascii="Arial" w:eastAsia="Arial" w:hAnsi="Arial" w:cs="Arial"/>
          <w:color w:val="000000"/>
        </w:rPr>
        <w:t xml:space="preserve"> Universal SYBR® Green </w:t>
      </w:r>
      <w:proofErr w:type="spellStart"/>
      <w:r w:rsidRPr="002063E6">
        <w:rPr>
          <w:rFonts w:ascii="Arial" w:eastAsia="Arial" w:hAnsi="Arial" w:cs="Arial"/>
          <w:color w:val="000000"/>
        </w:rPr>
        <w:t>Supermix</w:t>
      </w:r>
      <w:proofErr w:type="spellEnd"/>
      <w:r w:rsidRPr="002063E6">
        <w:rPr>
          <w:rFonts w:ascii="Arial" w:eastAsia="Arial" w:hAnsi="Arial" w:cs="Arial"/>
          <w:color w:val="000000"/>
        </w:rPr>
        <w:t xml:space="preserve"> (Bio-Rad,172-5270) with the following parameters: 50</w:t>
      </w:r>
      <w:r w:rsidRPr="002063E6">
        <w:rPr>
          <w:rFonts w:ascii="Arial" w:eastAsia="Arial" w:hAnsi="Arial" w:cs="Arial"/>
          <w:color w:val="000000"/>
          <w:vertAlign w:val="superscript"/>
        </w:rPr>
        <w:t>o</w:t>
      </w:r>
      <w:r w:rsidRPr="002063E6">
        <w:rPr>
          <w:rFonts w:ascii="Arial" w:eastAsia="Arial" w:hAnsi="Arial" w:cs="Arial"/>
          <w:color w:val="000000"/>
        </w:rPr>
        <w:t>C for 2 min, 95</w:t>
      </w:r>
      <w:r w:rsidRPr="002063E6">
        <w:rPr>
          <w:rFonts w:ascii="Arial" w:eastAsia="Arial" w:hAnsi="Arial" w:cs="Arial"/>
          <w:color w:val="000000"/>
          <w:vertAlign w:val="superscript"/>
        </w:rPr>
        <w:t>o</w:t>
      </w:r>
      <w:r w:rsidRPr="002063E6">
        <w:rPr>
          <w:rFonts w:ascii="Arial" w:eastAsia="Arial" w:hAnsi="Arial" w:cs="Arial"/>
          <w:color w:val="000000"/>
        </w:rPr>
        <w:t>C for 10 min, 39 cycles at (95</w:t>
      </w:r>
      <w:r w:rsidRPr="002063E6">
        <w:rPr>
          <w:rFonts w:ascii="Arial" w:eastAsia="Arial" w:hAnsi="Arial" w:cs="Arial"/>
          <w:color w:val="000000"/>
          <w:vertAlign w:val="superscript"/>
        </w:rPr>
        <w:t>o</w:t>
      </w:r>
      <w:r w:rsidRPr="002063E6">
        <w:rPr>
          <w:rFonts w:ascii="Arial" w:eastAsia="Arial" w:hAnsi="Arial" w:cs="Arial"/>
          <w:color w:val="000000"/>
        </w:rPr>
        <w:t>C for 10 sec, 60</w:t>
      </w:r>
      <w:r w:rsidRPr="002063E6">
        <w:rPr>
          <w:rFonts w:ascii="Arial" w:eastAsia="Arial" w:hAnsi="Arial" w:cs="Arial"/>
          <w:color w:val="000000"/>
          <w:vertAlign w:val="superscript"/>
        </w:rPr>
        <w:t>o</w:t>
      </w:r>
      <w:sdt>
        <w:sdtPr>
          <w:rPr>
            <w:rFonts w:ascii="Arial" w:eastAsia="Arial" w:hAnsi="Arial" w:cs="Arial"/>
            <w:color w:val="000000"/>
          </w:rPr>
          <w:tag w:val="goog_rdk_5"/>
          <w:id w:val="1225411331"/>
        </w:sdtPr>
        <w:sdtContent>
          <w:r w:rsidRPr="002063E6">
            <w:rPr>
              <w:rFonts w:ascii="Arial" w:eastAsia="Arial" w:hAnsi="Arial" w:cs="Arial"/>
              <w:color w:val="000000"/>
            </w:rPr>
            <w:t xml:space="preserve">C for 40 sec) and 65°C for 30 sec to obtain the melting curve. The </w:t>
          </w:r>
          <w:proofErr w:type="spellStart"/>
          <w:r w:rsidRPr="002063E6">
            <w:rPr>
              <w:rFonts w:ascii="Arial" w:eastAsia="Arial" w:hAnsi="Arial" w:cs="Arial"/>
              <w:color w:val="000000"/>
            </w:rPr>
            <w:t>qRT</w:t>
          </w:r>
          <w:proofErr w:type="spellEnd"/>
          <w:r w:rsidRPr="002063E6">
            <w:rPr>
              <w:rFonts w:ascii="Arial" w:eastAsia="Arial" w:hAnsi="Arial" w:cs="Arial"/>
              <w:color w:val="000000"/>
            </w:rPr>
            <w:t xml:space="preserve">-PCR was performed using gene-specific primers listed in the Supplementary Table S3, with </w:t>
          </w:r>
          <w:r w:rsidRPr="002063E6">
            <w:rPr>
              <w:rFonts w:ascii="Arial" w:eastAsia="Arial" w:hAnsi="Arial" w:cs="Arial"/>
              <w:i/>
              <w:iCs/>
              <w:color w:val="000000"/>
            </w:rPr>
            <w:t>A. thaliana</w:t>
          </w:r>
          <w:r w:rsidRPr="002063E6">
            <w:rPr>
              <w:rFonts w:ascii="Arial" w:eastAsia="Arial" w:hAnsi="Arial" w:cs="Arial"/>
              <w:color w:val="000000"/>
            </w:rPr>
            <w:t xml:space="preserve"> Actin (AT3g18780) and ubiquitin (At4g05320) as internal references for normalization. The resulting data was then analyzed using CFX software and values were normalized to WT. Relative expression levels of genes of interest were calculated using the 2−ΔΔCT method. </w:t>
          </w:r>
          <w:proofErr w:type="spellStart"/>
          <w:r w:rsidRPr="002063E6">
            <w:rPr>
              <w:rFonts w:ascii="Arial" w:eastAsia="Arial" w:hAnsi="Arial" w:cs="Arial"/>
              <w:color w:val="000000"/>
            </w:rPr>
            <w:t>qRT</w:t>
          </w:r>
          <w:proofErr w:type="spellEnd"/>
          <w:r w:rsidRPr="002063E6">
            <w:rPr>
              <w:rFonts w:ascii="Arial" w:eastAsia="Arial" w:hAnsi="Arial" w:cs="Arial"/>
              <w:color w:val="000000"/>
            </w:rPr>
            <w:t>-PCR experiments were repeated in three independent biological replicates, each with three technical replicates.</w:t>
          </w:r>
        </w:sdtContent>
      </w:sdt>
    </w:p>
    <w:p w14:paraId="69D98CA9" w14:textId="77777777" w:rsidR="002063E6" w:rsidRDefault="002063E6" w:rsidP="002063E6">
      <w:pPr>
        <w:jc w:val="both"/>
        <w:rPr>
          <w:rFonts w:ascii="Arial" w:eastAsia="Arial" w:hAnsi="Arial" w:cs="Arial"/>
          <w:color w:val="000000"/>
        </w:rPr>
      </w:pPr>
    </w:p>
    <w:p w14:paraId="4D499564" w14:textId="77777777" w:rsidR="002063E6" w:rsidRPr="002063E6" w:rsidRDefault="002063E6" w:rsidP="002063E6">
      <w:pPr>
        <w:jc w:val="both"/>
        <w:rPr>
          <w:rFonts w:ascii="Arial" w:eastAsia="Arial" w:hAnsi="Arial" w:cs="Arial"/>
          <w:color w:val="000000"/>
          <w:lang w:val="en-SA"/>
        </w:rPr>
      </w:pPr>
      <w:r w:rsidRPr="002063E6">
        <w:rPr>
          <w:rFonts w:ascii="Arial" w:eastAsia="Arial" w:hAnsi="Arial" w:cs="Arial"/>
          <w:b/>
          <w:bCs/>
          <w:color w:val="000000"/>
          <w:lang w:val="en-SA"/>
        </w:rPr>
        <w:t>Yeast Two-Hybrid Analysis to determine DEK2-TCP Class I Protein Interactions</w:t>
      </w:r>
    </w:p>
    <w:p w14:paraId="1AF4EE54" w14:textId="77777777" w:rsidR="002063E6" w:rsidRPr="002063E6" w:rsidRDefault="002063E6" w:rsidP="002063E6">
      <w:pPr>
        <w:jc w:val="both"/>
        <w:rPr>
          <w:rFonts w:ascii="Arial" w:eastAsia="Arial" w:hAnsi="Arial" w:cs="Arial"/>
          <w:color w:val="000000"/>
        </w:rPr>
      </w:pPr>
      <w:r w:rsidRPr="002063E6">
        <w:rPr>
          <w:rFonts w:ascii="Arial" w:eastAsia="Arial" w:hAnsi="Arial" w:cs="Arial"/>
          <w:color w:val="000000"/>
          <w:lang w:val="en-SA"/>
        </w:rPr>
        <w:t>The yeast two-hybrid (Y2H) assay was used to determine the interactions between DEK2 and six Class I TCP proteins. The </w:t>
      </w:r>
      <w:r w:rsidRPr="002063E6">
        <w:rPr>
          <w:rFonts w:ascii="Arial" w:eastAsia="Arial" w:hAnsi="Arial" w:cs="Arial"/>
          <w:i/>
          <w:iCs/>
          <w:color w:val="000000"/>
          <w:lang w:val="en-SA"/>
        </w:rPr>
        <w:t>DEK2</w:t>
      </w:r>
      <w:r w:rsidRPr="002063E6">
        <w:rPr>
          <w:rFonts w:ascii="Arial" w:eastAsia="Arial" w:hAnsi="Arial" w:cs="Arial"/>
          <w:color w:val="000000"/>
          <w:lang w:val="en-SA"/>
        </w:rPr>
        <w:t> gene was cloned into the Gateway vector pDEST22 that contains the Gal4 activation domain (AD), while the six Class I TCP genes were cloned into Gateway vector pDEST32  containing the Gal4 binding domain (BD). These constructs were transformed into the yeast strains PJA and PJ</w:t>
      </w:r>
      <w:r w:rsidRPr="002063E6">
        <w:rPr>
          <w:rFonts w:ascii="Arial" w:eastAsia="Arial" w:hAnsi="Arial" w:cs="Arial"/>
          <w:color w:val="000000"/>
          <w:lang w:val="en-SA"/>
        </w:rPr>
        <w:sym w:font="Symbol" w:char="F061"/>
      </w:r>
      <w:r w:rsidRPr="002063E6">
        <w:rPr>
          <w:rFonts w:ascii="Arial" w:eastAsia="Arial" w:hAnsi="Arial" w:cs="Arial"/>
          <w:color w:val="000000"/>
          <w:lang w:val="en-SA"/>
        </w:rPr>
        <w:t>, respectively. After transformation, the yeast strains were mated, and the resulting double transformants were selected on synthetic dropout media (-LTH) lacking leucine, tryptophan, and histidine. Interaction strength was assessed by incorporating increasing concentrations of 3-amino-1,2,4-triazole (3AT), a competitive inhibitor of the HIS3 reporter gene, to measure the stringency of histidine auxotrophy complementation. To confirm the interactions, an X-gal assay was performed. This involved the detection of β-galactosidase activity driven by the </w:t>
      </w:r>
      <w:r w:rsidRPr="002063E6">
        <w:rPr>
          <w:rFonts w:ascii="Arial" w:eastAsia="Arial" w:hAnsi="Arial" w:cs="Arial"/>
          <w:i/>
          <w:iCs/>
          <w:color w:val="000000"/>
          <w:lang w:val="en-SA"/>
        </w:rPr>
        <w:t>lacZ</w:t>
      </w:r>
      <w:r w:rsidRPr="002063E6">
        <w:rPr>
          <w:rFonts w:ascii="Arial" w:eastAsia="Arial" w:hAnsi="Arial" w:cs="Arial"/>
          <w:color w:val="000000"/>
          <w:lang w:val="en-SA"/>
        </w:rPr>
        <w:t> reporter gene, where positive interactions produced blue coloration upon X-gal hydrolysis.</w:t>
      </w:r>
    </w:p>
    <w:p w14:paraId="5B0F1346" w14:textId="77777777" w:rsidR="007F02E2" w:rsidRDefault="007F02E2" w:rsidP="002063E6">
      <w:pPr>
        <w:jc w:val="both"/>
        <w:rPr>
          <w:rFonts w:ascii="Arial" w:eastAsia="Arial" w:hAnsi="Arial" w:cs="Arial"/>
          <w:color w:val="000000"/>
        </w:rPr>
      </w:pPr>
    </w:p>
    <w:p w14:paraId="1C48A30D" w14:textId="77777777" w:rsidR="007F02E2" w:rsidRDefault="007F02E2">
      <w:pPr>
        <w:spacing w:after="160" w:line="278" w:lineRule="auto"/>
        <w:rPr>
          <w:rFonts w:ascii="Arial" w:eastAsia="Arial" w:hAnsi="Arial" w:cs="Arial"/>
          <w:color w:val="000000"/>
        </w:rPr>
      </w:pPr>
      <w:r>
        <w:rPr>
          <w:rFonts w:ascii="Arial" w:eastAsia="Arial" w:hAnsi="Arial" w:cs="Arial"/>
          <w:color w:val="000000"/>
        </w:rPr>
        <w:br w:type="page"/>
      </w:r>
    </w:p>
    <w:p w14:paraId="3918EF0E" w14:textId="1D107AED" w:rsidR="007F02E2" w:rsidRPr="007F02E2" w:rsidRDefault="007F02E2" w:rsidP="002063E6">
      <w:pPr>
        <w:jc w:val="both"/>
        <w:rPr>
          <w:rFonts w:ascii="Arial" w:eastAsia="Arial" w:hAnsi="Arial" w:cs="Arial"/>
          <w:b/>
          <w:bCs/>
          <w:color w:val="000000"/>
        </w:rPr>
      </w:pPr>
      <w:r w:rsidRPr="007F02E2">
        <w:rPr>
          <w:rFonts w:ascii="Arial" w:eastAsia="Arial" w:hAnsi="Arial" w:cs="Arial"/>
          <w:b/>
          <w:bCs/>
          <w:color w:val="000000"/>
        </w:rPr>
        <w:lastRenderedPageBreak/>
        <w:t>References</w:t>
      </w:r>
    </w:p>
    <w:p w14:paraId="21A06F7D" w14:textId="77777777" w:rsidR="007F02E2" w:rsidRDefault="007F02E2" w:rsidP="002063E6">
      <w:pPr>
        <w:jc w:val="both"/>
        <w:rPr>
          <w:rFonts w:ascii="Arial" w:eastAsia="Arial" w:hAnsi="Arial" w:cs="Arial"/>
          <w:color w:val="000000"/>
        </w:rPr>
      </w:pPr>
    </w:p>
    <w:p w14:paraId="6042D2BE"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eastAsia="Arial" w:hAnsiTheme="minorBidi" w:cstheme="minorBidi"/>
          <w:color w:val="000000"/>
        </w:rPr>
        <w:fldChar w:fldCharType="begin"/>
      </w:r>
      <w:r w:rsidRPr="007F02E2">
        <w:rPr>
          <w:rFonts w:asciiTheme="minorBidi" w:eastAsia="Arial" w:hAnsiTheme="minorBidi" w:cstheme="minorBidi"/>
          <w:color w:val="000000"/>
        </w:rPr>
        <w:instrText xml:space="preserve"> ADDIN EN.REFLIST </w:instrText>
      </w:r>
      <w:r w:rsidRPr="007F02E2">
        <w:rPr>
          <w:rFonts w:asciiTheme="minorBidi" w:eastAsia="Arial" w:hAnsiTheme="minorBidi" w:cstheme="minorBidi"/>
          <w:color w:val="000000"/>
        </w:rPr>
        <w:fldChar w:fldCharType="separate"/>
      </w:r>
      <w:r w:rsidRPr="007F02E2">
        <w:rPr>
          <w:rFonts w:asciiTheme="minorBidi" w:hAnsiTheme="minorBidi" w:cstheme="minorBidi"/>
          <w:b/>
          <w:noProof/>
        </w:rPr>
        <w:t>Andrews S 2012</w:t>
      </w:r>
      <w:r w:rsidRPr="007F02E2">
        <w:rPr>
          <w:rFonts w:asciiTheme="minorBidi" w:hAnsiTheme="minorBidi" w:cstheme="minorBidi"/>
          <w:noProof/>
        </w:rPr>
        <w:t>. FastQC A Quality Control tool for High Throughput Sequence Data. Babraham Bioinformatics.</w:t>
      </w:r>
    </w:p>
    <w:p w14:paraId="34B506C0"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Bolger AM, Lohse M, Usadel B. 2014.</w:t>
      </w:r>
      <w:r w:rsidRPr="007F02E2">
        <w:rPr>
          <w:rFonts w:asciiTheme="minorBidi" w:hAnsiTheme="minorBidi" w:cstheme="minorBidi"/>
          <w:noProof/>
        </w:rPr>
        <w:t xml:space="preserve"> Trimmomatic: a flexible trimmer for Illumina sequence data. </w:t>
      </w:r>
      <w:r w:rsidRPr="007F02E2">
        <w:rPr>
          <w:rFonts w:asciiTheme="minorBidi" w:hAnsiTheme="minorBidi" w:cstheme="minorBidi"/>
          <w:i/>
          <w:noProof/>
        </w:rPr>
        <w:t>Bioinformatics</w:t>
      </w:r>
      <w:r w:rsidRPr="007F02E2">
        <w:rPr>
          <w:rFonts w:asciiTheme="minorBidi" w:hAnsiTheme="minorBidi" w:cstheme="minorBidi"/>
          <w:noProof/>
        </w:rPr>
        <w:t xml:space="preserve"> </w:t>
      </w:r>
      <w:r w:rsidRPr="007F02E2">
        <w:rPr>
          <w:rFonts w:asciiTheme="minorBidi" w:hAnsiTheme="minorBidi" w:cstheme="minorBidi"/>
          <w:b/>
          <w:noProof/>
        </w:rPr>
        <w:t>30</w:t>
      </w:r>
      <w:r w:rsidRPr="007F02E2">
        <w:rPr>
          <w:rFonts w:asciiTheme="minorBidi" w:hAnsiTheme="minorBidi" w:cstheme="minorBidi"/>
          <w:noProof/>
        </w:rPr>
        <w:t>(15): 2114-2120.</w:t>
      </w:r>
    </w:p>
    <w:p w14:paraId="1AA642A4"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Clough SJ, Bent AF. 1998.</w:t>
      </w:r>
      <w:r w:rsidRPr="007F02E2">
        <w:rPr>
          <w:rFonts w:asciiTheme="minorBidi" w:hAnsiTheme="minorBidi" w:cstheme="minorBidi"/>
          <w:noProof/>
        </w:rPr>
        <w:t xml:space="preserve"> Floral dip: a simplified method for Agrobacterium-mediated transformation of Arabidopsis thaliana. </w:t>
      </w:r>
      <w:r w:rsidRPr="007F02E2">
        <w:rPr>
          <w:rFonts w:asciiTheme="minorBidi" w:hAnsiTheme="minorBidi" w:cstheme="minorBidi"/>
          <w:i/>
          <w:noProof/>
        </w:rPr>
        <w:t>Plant J</w:t>
      </w:r>
      <w:r w:rsidRPr="007F02E2">
        <w:rPr>
          <w:rFonts w:asciiTheme="minorBidi" w:hAnsiTheme="minorBidi" w:cstheme="minorBidi"/>
          <w:noProof/>
        </w:rPr>
        <w:t xml:space="preserve"> </w:t>
      </w:r>
      <w:r w:rsidRPr="007F02E2">
        <w:rPr>
          <w:rFonts w:asciiTheme="minorBidi" w:hAnsiTheme="minorBidi" w:cstheme="minorBidi"/>
          <w:b/>
          <w:noProof/>
        </w:rPr>
        <w:t>16</w:t>
      </w:r>
      <w:r w:rsidRPr="007F02E2">
        <w:rPr>
          <w:rFonts w:asciiTheme="minorBidi" w:hAnsiTheme="minorBidi" w:cstheme="minorBidi"/>
          <w:noProof/>
        </w:rPr>
        <w:t>(6): 735-743.</w:t>
      </w:r>
    </w:p>
    <w:p w14:paraId="6C950328"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Howe EA, Sinha R, Schlauch D, Quackenbush J. 2011.</w:t>
      </w:r>
      <w:r w:rsidRPr="007F02E2">
        <w:rPr>
          <w:rFonts w:asciiTheme="minorBidi" w:hAnsiTheme="minorBidi" w:cstheme="minorBidi"/>
          <w:noProof/>
        </w:rPr>
        <w:t xml:space="preserve"> RNA-Seq analysis in MeV. </w:t>
      </w:r>
      <w:r w:rsidRPr="007F02E2">
        <w:rPr>
          <w:rFonts w:asciiTheme="minorBidi" w:hAnsiTheme="minorBidi" w:cstheme="minorBidi"/>
          <w:i/>
          <w:noProof/>
        </w:rPr>
        <w:t>Bioinformatics</w:t>
      </w:r>
      <w:r w:rsidRPr="007F02E2">
        <w:rPr>
          <w:rFonts w:asciiTheme="minorBidi" w:hAnsiTheme="minorBidi" w:cstheme="minorBidi"/>
          <w:noProof/>
        </w:rPr>
        <w:t xml:space="preserve"> </w:t>
      </w:r>
      <w:r w:rsidRPr="007F02E2">
        <w:rPr>
          <w:rFonts w:asciiTheme="minorBidi" w:hAnsiTheme="minorBidi" w:cstheme="minorBidi"/>
          <w:b/>
          <w:noProof/>
        </w:rPr>
        <w:t>27</w:t>
      </w:r>
      <w:r w:rsidRPr="007F02E2">
        <w:rPr>
          <w:rFonts w:asciiTheme="minorBidi" w:hAnsiTheme="minorBidi" w:cstheme="minorBidi"/>
          <w:noProof/>
        </w:rPr>
        <w:t>(22): 3209-3210.</w:t>
      </w:r>
    </w:p>
    <w:p w14:paraId="64946C50"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Jefferson RA, Kavanagh TA, Bevan MW. 1987.</w:t>
      </w:r>
      <w:r w:rsidRPr="007F02E2">
        <w:rPr>
          <w:rFonts w:asciiTheme="minorBidi" w:hAnsiTheme="minorBidi" w:cstheme="minorBidi"/>
          <w:noProof/>
        </w:rPr>
        <w:t xml:space="preserve"> GUS fusions: beta-glucuronidase as a sensitive and versatile gene fusion marker in higher plants. </w:t>
      </w:r>
      <w:r w:rsidRPr="007F02E2">
        <w:rPr>
          <w:rFonts w:asciiTheme="minorBidi" w:hAnsiTheme="minorBidi" w:cstheme="minorBidi"/>
          <w:i/>
          <w:noProof/>
        </w:rPr>
        <w:t>Embo j</w:t>
      </w:r>
      <w:r w:rsidRPr="007F02E2">
        <w:rPr>
          <w:rFonts w:asciiTheme="minorBidi" w:hAnsiTheme="minorBidi" w:cstheme="minorBidi"/>
          <w:noProof/>
        </w:rPr>
        <w:t xml:space="preserve"> </w:t>
      </w:r>
      <w:r w:rsidRPr="007F02E2">
        <w:rPr>
          <w:rFonts w:asciiTheme="minorBidi" w:hAnsiTheme="minorBidi" w:cstheme="minorBidi"/>
          <w:b/>
          <w:noProof/>
        </w:rPr>
        <w:t>6</w:t>
      </w:r>
      <w:r w:rsidRPr="007F02E2">
        <w:rPr>
          <w:rFonts w:asciiTheme="minorBidi" w:hAnsiTheme="minorBidi" w:cstheme="minorBidi"/>
          <w:noProof/>
        </w:rPr>
        <w:t>(13): 3901-3907.</w:t>
      </w:r>
    </w:p>
    <w:p w14:paraId="1F871912"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Kim D, Pertea G, Trapnell C, Pimentel H, Kelley R, Salzberg SL. 2013.</w:t>
      </w:r>
      <w:r w:rsidRPr="007F02E2">
        <w:rPr>
          <w:rFonts w:asciiTheme="minorBidi" w:hAnsiTheme="minorBidi" w:cstheme="minorBidi"/>
          <w:noProof/>
        </w:rPr>
        <w:t xml:space="preserve"> TopHat2: accurate alignment of transcriptomes in the presence of insertions, deletions and gene fusions. </w:t>
      </w:r>
      <w:r w:rsidRPr="007F02E2">
        <w:rPr>
          <w:rFonts w:asciiTheme="minorBidi" w:hAnsiTheme="minorBidi" w:cstheme="minorBidi"/>
          <w:i/>
          <w:noProof/>
        </w:rPr>
        <w:t>Genome Biology</w:t>
      </w:r>
      <w:r w:rsidRPr="007F02E2">
        <w:rPr>
          <w:rFonts w:asciiTheme="minorBidi" w:hAnsiTheme="minorBidi" w:cstheme="minorBidi"/>
          <w:noProof/>
        </w:rPr>
        <w:t xml:space="preserve"> </w:t>
      </w:r>
      <w:r w:rsidRPr="007F02E2">
        <w:rPr>
          <w:rFonts w:asciiTheme="minorBidi" w:hAnsiTheme="minorBidi" w:cstheme="minorBidi"/>
          <w:b/>
          <w:noProof/>
        </w:rPr>
        <w:t>14</w:t>
      </w:r>
      <w:r w:rsidRPr="007F02E2">
        <w:rPr>
          <w:rFonts w:asciiTheme="minorBidi" w:hAnsiTheme="minorBidi" w:cstheme="minorBidi"/>
          <w:noProof/>
        </w:rPr>
        <w:t>(4): R36.</w:t>
      </w:r>
    </w:p>
    <w:p w14:paraId="7DAD3B09"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Liao Y, Smyth GK, Shi W. 2014.</w:t>
      </w:r>
      <w:r w:rsidRPr="007F02E2">
        <w:rPr>
          <w:rFonts w:asciiTheme="minorBidi" w:hAnsiTheme="minorBidi" w:cstheme="minorBidi"/>
          <w:noProof/>
        </w:rPr>
        <w:t xml:space="preserve"> featureCounts: an efficient general purpose program for assigning sequence reads to genomic features. </w:t>
      </w:r>
      <w:r w:rsidRPr="007F02E2">
        <w:rPr>
          <w:rFonts w:asciiTheme="minorBidi" w:hAnsiTheme="minorBidi" w:cstheme="minorBidi"/>
          <w:i/>
          <w:noProof/>
        </w:rPr>
        <w:t>Bioinformatics</w:t>
      </w:r>
      <w:r w:rsidRPr="007F02E2">
        <w:rPr>
          <w:rFonts w:asciiTheme="minorBidi" w:hAnsiTheme="minorBidi" w:cstheme="minorBidi"/>
          <w:noProof/>
        </w:rPr>
        <w:t xml:space="preserve"> </w:t>
      </w:r>
      <w:r w:rsidRPr="007F02E2">
        <w:rPr>
          <w:rFonts w:asciiTheme="minorBidi" w:hAnsiTheme="minorBidi" w:cstheme="minorBidi"/>
          <w:b/>
          <w:noProof/>
        </w:rPr>
        <w:t>30</w:t>
      </w:r>
      <w:r w:rsidRPr="007F02E2">
        <w:rPr>
          <w:rFonts w:asciiTheme="minorBidi" w:hAnsiTheme="minorBidi" w:cstheme="minorBidi"/>
          <w:noProof/>
        </w:rPr>
        <w:t>(7): 923-930.</w:t>
      </w:r>
    </w:p>
    <w:p w14:paraId="25297235"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Ramírez F, Ryan DP, Grüning B, Bhardwaj V, Kilpert F, Richter AS, Heyne S, Dündar F, Manke T. 2016.</w:t>
      </w:r>
      <w:r w:rsidRPr="007F02E2">
        <w:rPr>
          <w:rFonts w:asciiTheme="minorBidi" w:hAnsiTheme="minorBidi" w:cstheme="minorBidi"/>
          <w:noProof/>
        </w:rPr>
        <w:t xml:space="preserve"> deepTools2: a next generation web server for deep-sequencing data analysis. </w:t>
      </w:r>
      <w:r w:rsidRPr="007F02E2">
        <w:rPr>
          <w:rFonts w:asciiTheme="minorBidi" w:hAnsiTheme="minorBidi" w:cstheme="minorBidi"/>
          <w:i/>
          <w:noProof/>
        </w:rPr>
        <w:t>Nucleic Acids Research</w:t>
      </w:r>
      <w:r w:rsidRPr="007F02E2">
        <w:rPr>
          <w:rFonts w:asciiTheme="minorBidi" w:hAnsiTheme="minorBidi" w:cstheme="minorBidi"/>
          <w:noProof/>
        </w:rPr>
        <w:t xml:space="preserve"> </w:t>
      </w:r>
      <w:r w:rsidRPr="007F02E2">
        <w:rPr>
          <w:rFonts w:asciiTheme="minorBidi" w:hAnsiTheme="minorBidi" w:cstheme="minorBidi"/>
          <w:b/>
          <w:noProof/>
        </w:rPr>
        <w:t>44</w:t>
      </w:r>
      <w:r w:rsidRPr="007F02E2">
        <w:rPr>
          <w:rFonts w:asciiTheme="minorBidi" w:hAnsiTheme="minorBidi" w:cstheme="minorBidi"/>
          <w:noProof/>
        </w:rPr>
        <w:t>(W1): W160-W165.</w:t>
      </w:r>
    </w:p>
    <w:p w14:paraId="5B9F005F"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Tian T, Liu Y, Yan H, You Q, Yi X, Du Z, Xu W, Su Z. 2017.</w:t>
      </w:r>
      <w:r w:rsidRPr="007F02E2">
        <w:rPr>
          <w:rFonts w:asciiTheme="minorBidi" w:hAnsiTheme="minorBidi" w:cstheme="minorBidi"/>
          <w:noProof/>
        </w:rPr>
        <w:t xml:space="preserve"> agriGO v2.0: a GO analysis toolkit for the agricultural community, 2017 update. </w:t>
      </w:r>
      <w:r w:rsidRPr="007F02E2">
        <w:rPr>
          <w:rFonts w:asciiTheme="minorBidi" w:hAnsiTheme="minorBidi" w:cstheme="minorBidi"/>
          <w:i/>
          <w:noProof/>
        </w:rPr>
        <w:t>Nucleic Acids Res</w:t>
      </w:r>
      <w:r w:rsidRPr="007F02E2">
        <w:rPr>
          <w:rFonts w:asciiTheme="minorBidi" w:hAnsiTheme="minorBidi" w:cstheme="minorBidi"/>
          <w:noProof/>
        </w:rPr>
        <w:t xml:space="preserve"> </w:t>
      </w:r>
      <w:r w:rsidRPr="007F02E2">
        <w:rPr>
          <w:rFonts w:asciiTheme="minorBidi" w:hAnsiTheme="minorBidi" w:cstheme="minorBidi"/>
          <w:b/>
          <w:noProof/>
        </w:rPr>
        <w:t>45</w:t>
      </w:r>
      <w:r w:rsidRPr="007F02E2">
        <w:rPr>
          <w:rFonts w:asciiTheme="minorBidi" w:hAnsiTheme="minorBidi" w:cstheme="minorBidi"/>
          <w:noProof/>
        </w:rPr>
        <w:t>(W1): W122-w129.</w:t>
      </w:r>
    </w:p>
    <w:p w14:paraId="12C770DA"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Trapnell C, Pachter L, Salzberg SL. 2009.</w:t>
      </w:r>
      <w:r w:rsidRPr="007F02E2">
        <w:rPr>
          <w:rFonts w:asciiTheme="minorBidi" w:hAnsiTheme="minorBidi" w:cstheme="minorBidi"/>
          <w:noProof/>
        </w:rPr>
        <w:t xml:space="preserve"> TopHat: discovering splice junctions with RNA-Seq. </w:t>
      </w:r>
      <w:r w:rsidRPr="007F02E2">
        <w:rPr>
          <w:rFonts w:asciiTheme="minorBidi" w:hAnsiTheme="minorBidi" w:cstheme="minorBidi"/>
          <w:i/>
          <w:noProof/>
        </w:rPr>
        <w:t>Bioinformatics</w:t>
      </w:r>
      <w:r w:rsidRPr="007F02E2">
        <w:rPr>
          <w:rFonts w:asciiTheme="minorBidi" w:hAnsiTheme="minorBidi" w:cstheme="minorBidi"/>
          <w:noProof/>
        </w:rPr>
        <w:t xml:space="preserve"> </w:t>
      </w:r>
      <w:r w:rsidRPr="007F02E2">
        <w:rPr>
          <w:rFonts w:asciiTheme="minorBidi" w:hAnsiTheme="minorBidi" w:cstheme="minorBidi"/>
          <w:b/>
          <w:noProof/>
        </w:rPr>
        <w:t>25</w:t>
      </w:r>
      <w:r w:rsidRPr="007F02E2">
        <w:rPr>
          <w:rFonts w:asciiTheme="minorBidi" w:hAnsiTheme="minorBidi" w:cstheme="minorBidi"/>
          <w:noProof/>
        </w:rPr>
        <w:t>(9): 1105-1111.</w:t>
      </w:r>
    </w:p>
    <w:p w14:paraId="428F11A6" w14:textId="77777777" w:rsidR="007F02E2" w:rsidRPr="007F02E2" w:rsidRDefault="007F02E2" w:rsidP="007F02E2">
      <w:pPr>
        <w:pStyle w:val="EndNoteBibliography"/>
        <w:ind w:left="720" w:hanging="720"/>
        <w:rPr>
          <w:rFonts w:asciiTheme="minorBidi" w:hAnsiTheme="minorBidi" w:cstheme="minorBidi"/>
          <w:noProof/>
        </w:rPr>
      </w:pPr>
      <w:r w:rsidRPr="007F02E2">
        <w:rPr>
          <w:rFonts w:asciiTheme="minorBidi" w:hAnsiTheme="minorBidi" w:cstheme="minorBidi"/>
          <w:b/>
          <w:noProof/>
        </w:rPr>
        <w:t>Trapnell C, Roberts A, Goff L, Pertea G, Kim D, Kelley DR, Pimentel H, Salzberg SL, Rinn JL, Pachter L. 2012.</w:t>
      </w:r>
      <w:r w:rsidRPr="007F02E2">
        <w:rPr>
          <w:rFonts w:asciiTheme="minorBidi" w:hAnsiTheme="minorBidi" w:cstheme="minorBidi"/>
          <w:noProof/>
        </w:rPr>
        <w:t xml:space="preserve"> Differential gene and transcript expression analysis of RNA-seq experiments with TopHat and Cufflinks. </w:t>
      </w:r>
      <w:r w:rsidRPr="007F02E2">
        <w:rPr>
          <w:rFonts w:asciiTheme="minorBidi" w:hAnsiTheme="minorBidi" w:cstheme="minorBidi"/>
          <w:i/>
          <w:noProof/>
        </w:rPr>
        <w:t>Nature Protocols</w:t>
      </w:r>
      <w:r w:rsidRPr="007F02E2">
        <w:rPr>
          <w:rFonts w:asciiTheme="minorBidi" w:hAnsiTheme="minorBidi" w:cstheme="minorBidi"/>
          <w:noProof/>
        </w:rPr>
        <w:t xml:space="preserve"> </w:t>
      </w:r>
      <w:r w:rsidRPr="007F02E2">
        <w:rPr>
          <w:rFonts w:asciiTheme="minorBidi" w:hAnsiTheme="minorBidi" w:cstheme="minorBidi"/>
          <w:b/>
          <w:noProof/>
        </w:rPr>
        <w:t>7</w:t>
      </w:r>
      <w:r w:rsidRPr="007F02E2">
        <w:rPr>
          <w:rFonts w:asciiTheme="minorBidi" w:hAnsiTheme="minorBidi" w:cstheme="minorBidi"/>
          <w:noProof/>
        </w:rPr>
        <w:t>: 562.</w:t>
      </w:r>
    </w:p>
    <w:p w14:paraId="537BBE8A" w14:textId="08410CA7" w:rsidR="002063E6" w:rsidRPr="007F02E2" w:rsidRDefault="007F02E2" w:rsidP="007F02E2">
      <w:pPr>
        <w:jc w:val="both"/>
        <w:rPr>
          <w:rFonts w:asciiTheme="minorBidi" w:eastAsia="Arial" w:hAnsiTheme="minorBidi" w:cstheme="minorBidi"/>
          <w:color w:val="000000"/>
        </w:rPr>
      </w:pPr>
      <w:r w:rsidRPr="007F02E2">
        <w:rPr>
          <w:rFonts w:asciiTheme="minorBidi" w:eastAsia="Arial" w:hAnsiTheme="minorBidi" w:cstheme="minorBidi"/>
          <w:color w:val="000000"/>
        </w:rPr>
        <w:fldChar w:fldCharType="end"/>
      </w:r>
    </w:p>
    <w:sectPr w:rsidR="002063E6" w:rsidRPr="007F02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ew Phytologis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tt0pvv3rw9vne5vr85szzsvr0vxaxrrd2x&quot;&gt;Dek2_manuscript&lt;record-ids&gt;&lt;item&gt;76&lt;/item&gt;&lt;item&gt;77&lt;/item&gt;&lt;item&gt;83&lt;/item&gt;&lt;item&gt;84&lt;/item&gt;&lt;item&gt;85&lt;/item&gt;&lt;item&gt;86&lt;/item&gt;&lt;item&gt;87&lt;/item&gt;&lt;item&gt;88&lt;/item&gt;&lt;item&gt;89&lt;/item&gt;&lt;item&gt;90&lt;/item&gt;&lt;item&gt;91&lt;/item&gt;&lt;/record-ids&gt;&lt;/item&gt;&lt;/Libraries&gt;"/>
  </w:docVars>
  <w:rsids>
    <w:rsidRoot w:val="002063E6"/>
    <w:rsid w:val="00002FB1"/>
    <w:rsid w:val="002063E6"/>
    <w:rsid w:val="007B6F29"/>
    <w:rsid w:val="007F02E2"/>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2838492B"/>
  <w15:chartTrackingRefBased/>
  <w15:docId w15:val="{AA8C5749-932C-F748-9945-302C9BBA2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3E6"/>
    <w:pPr>
      <w:spacing w:after="0" w:line="240" w:lineRule="auto"/>
    </w:pPr>
    <w:rPr>
      <w:rFonts w:ascii="Calibri" w:eastAsia="Calibri" w:hAnsi="Calibri" w:cs="Calibri"/>
      <w:kern w:val="0"/>
      <w:lang w:val="en-US" w:eastAsia="zh-CN"/>
      <w14:ligatures w14:val="none"/>
    </w:rPr>
  </w:style>
  <w:style w:type="paragraph" w:styleId="Heading1">
    <w:name w:val="heading 1"/>
    <w:basedOn w:val="Normal"/>
    <w:next w:val="Normal"/>
    <w:link w:val="Heading1Char"/>
    <w:uiPriority w:val="9"/>
    <w:qFormat/>
    <w:rsid w:val="002063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SA" w:eastAsia="en-US"/>
      <w14:ligatures w14:val="standardContextual"/>
    </w:rPr>
  </w:style>
  <w:style w:type="paragraph" w:styleId="Heading2">
    <w:name w:val="heading 2"/>
    <w:basedOn w:val="Normal"/>
    <w:next w:val="Normal"/>
    <w:link w:val="Heading2Char"/>
    <w:uiPriority w:val="9"/>
    <w:semiHidden/>
    <w:unhideWhenUsed/>
    <w:qFormat/>
    <w:rsid w:val="002063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SA" w:eastAsia="en-US"/>
      <w14:ligatures w14:val="standardContextual"/>
    </w:rPr>
  </w:style>
  <w:style w:type="paragraph" w:styleId="Heading3">
    <w:name w:val="heading 3"/>
    <w:basedOn w:val="Normal"/>
    <w:next w:val="Normal"/>
    <w:link w:val="Heading3Char"/>
    <w:uiPriority w:val="9"/>
    <w:semiHidden/>
    <w:unhideWhenUsed/>
    <w:qFormat/>
    <w:rsid w:val="002063E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SA" w:eastAsia="en-US"/>
      <w14:ligatures w14:val="standardContextual"/>
    </w:rPr>
  </w:style>
  <w:style w:type="paragraph" w:styleId="Heading4">
    <w:name w:val="heading 4"/>
    <w:basedOn w:val="Normal"/>
    <w:next w:val="Normal"/>
    <w:link w:val="Heading4Char"/>
    <w:uiPriority w:val="9"/>
    <w:semiHidden/>
    <w:unhideWhenUsed/>
    <w:qFormat/>
    <w:rsid w:val="002063E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SA" w:eastAsia="en-US"/>
      <w14:ligatures w14:val="standardContextual"/>
    </w:rPr>
  </w:style>
  <w:style w:type="paragraph" w:styleId="Heading5">
    <w:name w:val="heading 5"/>
    <w:basedOn w:val="Normal"/>
    <w:next w:val="Normal"/>
    <w:link w:val="Heading5Char"/>
    <w:uiPriority w:val="9"/>
    <w:semiHidden/>
    <w:unhideWhenUsed/>
    <w:qFormat/>
    <w:rsid w:val="002063E6"/>
    <w:pPr>
      <w:keepNext/>
      <w:keepLines/>
      <w:spacing w:before="80" w:after="40" w:line="278" w:lineRule="auto"/>
      <w:outlineLvl w:val="4"/>
    </w:pPr>
    <w:rPr>
      <w:rFonts w:asciiTheme="minorHAnsi" w:eastAsiaTheme="majorEastAsia" w:hAnsiTheme="minorHAnsi" w:cstheme="majorBidi"/>
      <w:color w:val="0F4761" w:themeColor="accent1" w:themeShade="BF"/>
      <w:kern w:val="2"/>
      <w:lang w:val="en-SA" w:eastAsia="en-US"/>
      <w14:ligatures w14:val="standardContextual"/>
    </w:rPr>
  </w:style>
  <w:style w:type="paragraph" w:styleId="Heading6">
    <w:name w:val="heading 6"/>
    <w:basedOn w:val="Normal"/>
    <w:next w:val="Normal"/>
    <w:link w:val="Heading6Char"/>
    <w:uiPriority w:val="9"/>
    <w:semiHidden/>
    <w:unhideWhenUsed/>
    <w:qFormat/>
    <w:rsid w:val="002063E6"/>
    <w:pPr>
      <w:keepNext/>
      <w:keepLines/>
      <w:spacing w:before="40" w:line="278" w:lineRule="auto"/>
      <w:outlineLvl w:val="5"/>
    </w:pPr>
    <w:rPr>
      <w:rFonts w:asciiTheme="minorHAnsi" w:eastAsiaTheme="majorEastAsia" w:hAnsiTheme="minorHAnsi" w:cstheme="majorBidi"/>
      <w:i/>
      <w:iCs/>
      <w:color w:val="595959" w:themeColor="text1" w:themeTint="A6"/>
      <w:kern w:val="2"/>
      <w:lang w:val="en-SA" w:eastAsia="en-US"/>
      <w14:ligatures w14:val="standardContextual"/>
    </w:rPr>
  </w:style>
  <w:style w:type="paragraph" w:styleId="Heading7">
    <w:name w:val="heading 7"/>
    <w:basedOn w:val="Normal"/>
    <w:next w:val="Normal"/>
    <w:link w:val="Heading7Char"/>
    <w:uiPriority w:val="9"/>
    <w:semiHidden/>
    <w:unhideWhenUsed/>
    <w:qFormat/>
    <w:rsid w:val="002063E6"/>
    <w:pPr>
      <w:keepNext/>
      <w:keepLines/>
      <w:spacing w:before="40" w:line="278" w:lineRule="auto"/>
      <w:outlineLvl w:val="6"/>
    </w:pPr>
    <w:rPr>
      <w:rFonts w:asciiTheme="minorHAnsi" w:eastAsiaTheme="majorEastAsia" w:hAnsiTheme="minorHAnsi" w:cstheme="majorBidi"/>
      <w:color w:val="595959" w:themeColor="text1" w:themeTint="A6"/>
      <w:kern w:val="2"/>
      <w:lang w:val="en-SA" w:eastAsia="en-US"/>
      <w14:ligatures w14:val="standardContextual"/>
    </w:rPr>
  </w:style>
  <w:style w:type="paragraph" w:styleId="Heading8">
    <w:name w:val="heading 8"/>
    <w:basedOn w:val="Normal"/>
    <w:next w:val="Normal"/>
    <w:link w:val="Heading8Char"/>
    <w:uiPriority w:val="9"/>
    <w:semiHidden/>
    <w:unhideWhenUsed/>
    <w:qFormat/>
    <w:rsid w:val="002063E6"/>
    <w:pPr>
      <w:keepNext/>
      <w:keepLines/>
      <w:spacing w:line="278" w:lineRule="auto"/>
      <w:outlineLvl w:val="7"/>
    </w:pPr>
    <w:rPr>
      <w:rFonts w:asciiTheme="minorHAnsi" w:eastAsiaTheme="majorEastAsia" w:hAnsiTheme="minorHAnsi" w:cstheme="majorBidi"/>
      <w:i/>
      <w:iCs/>
      <w:color w:val="272727" w:themeColor="text1" w:themeTint="D8"/>
      <w:kern w:val="2"/>
      <w:lang w:val="en-SA" w:eastAsia="en-US"/>
      <w14:ligatures w14:val="standardContextual"/>
    </w:rPr>
  </w:style>
  <w:style w:type="paragraph" w:styleId="Heading9">
    <w:name w:val="heading 9"/>
    <w:basedOn w:val="Normal"/>
    <w:next w:val="Normal"/>
    <w:link w:val="Heading9Char"/>
    <w:uiPriority w:val="9"/>
    <w:semiHidden/>
    <w:unhideWhenUsed/>
    <w:qFormat/>
    <w:rsid w:val="002063E6"/>
    <w:pPr>
      <w:keepNext/>
      <w:keepLines/>
      <w:spacing w:line="278" w:lineRule="auto"/>
      <w:outlineLvl w:val="8"/>
    </w:pPr>
    <w:rPr>
      <w:rFonts w:asciiTheme="minorHAnsi" w:eastAsiaTheme="majorEastAsia" w:hAnsiTheme="minorHAnsi" w:cstheme="majorBidi"/>
      <w:color w:val="272727" w:themeColor="text1" w:themeTint="D8"/>
      <w:kern w:val="2"/>
      <w:lang w:val="en-SA"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3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3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3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3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3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3E6"/>
    <w:rPr>
      <w:rFonts w:eastAsiaTheme="majorEastAsia" w:cstheme="majorBidi"/>
      <w:color w:val="272727" w:themeColor="text1" w:themeTint="D8"/>
    </w:rPr>
  </w:style>
  <w:style w:type="paragraph" w:styleId="Title">
    <w:name w:val="Title"/>
    <w:basedOn w:val="Normal"/>
    <w:next w:val="Normal"/>
    <w:link w:val="TitleChar"/>
    <w:uiPriority w:val="10"/>
    <w:qFormat/>
    <w:rsid w:val="002063E6"/>
    <w:pPr>
      <w:spacing w:after="80"/>
      <w:contextualSpacing/>
    </w:pPr>
    <w:rPr>
      <w:rFonts w:asciiTheme="majorHAnsi" w:eastAsiaTheme="majorEastAsia" w:hAnsiTheme="majorHAnsi" w:cstheme="majorBidi"/>
      <w:spacing w:val="-10"/>
      <w:kern w:val="28"/>
      <w:sz w:val="56"/>
      <w:szCs w:val="56"/>
      <w:lang w:val="en-SA" w:eastAsia="en-US"/>
      <w14:ligatures w14:val="standardContextual"/>
    </w:rPr>
  </w:style>
  <w:style w:type="character" w:customStyle="1" w:styleId="TitleChar">
    <w:name w:val="Title Char"/>
    <w:basedOn w:val="DefaultParagraphFont"/>
    <w:link w:val="Title"/>
    <w:uiPriority w:val="10"/>
    <w:rsid w:val="00206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3E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SA" w:eastAsia="en-US"/>
      <w14:ligatures w14:val="standardContextual"/>
    </w:rPr>
  </w:style>
  <w:style w:type="character" w:customStyle="1" w:styleId="SubtitleChar">
    <w:name w:val="Subtitle Char"/>
    <w:basedOn w:val="DefaultParagraphFont"/>
    <w:link w:val="Subtitle"/>
    <w:uiPriority w:val="11"/>
    <w:rsid w:val="00206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3E6"/>
    <w:pPr>
      <w:spacing w:before="160" w:after="160" w:line="278" w:lineRule="auto"/>
      <w:jc w:val="center"/>
    </w:pPr>
    <w:rPr>
      <w:rFonts w:asciiTheme="minorHAnsi" w:eastAsiaTheme="minorHAnsi" w:hAnsiTheme="minorHAnsi" w:cstheme="minorBidi"/>
      <w:i/>
      <w:iCs/>
      <w:color w:val="404040" w:themeColor="text1" w:themeTint="BF"/>
      <w:kern w:val="2"/>
      <w:lang w:val="en-SA" w:eastAsia="en-US"/>
      <w14:ligatures w14:val="standardContextual"/>
    </w:rPr>
  </w:style>
  <w:style w:type="character" w:customStyle="1" w:styleId="QuoteChar">
    <w:name w:val="Quote Char"/>
    <w:basedOn w:val="DefaultParagraphFont"/>
    <w:link w:val="Quote"/>
    <w:uiPriority w:val="29"/>
    <w:rsid w:val="002063E6"/>
    <w:rPr>
      <w:i/>
      <w:iCs/>
      <w:color w:val="404040" w:themeColor="text1" w:themeTint="BF"/>
    </w:rPr>
  </w:style>
  <w:style w:type="paragraph" w:styleId="ListParagraph">
    <w:name w:val="List Paragraph"/>
    <w:basedOn w:val="Normal"/>
    <w:uiPriority w:val="34"/>
    <w:qFormat/>
    <w:rsid w:val="002063E6"/>
    <w:pPr>
      <w:spacing w:after="160" w:line="278" w:lineRule="auto"/>
      <w:ind w:left="720"/>
      <w:contextualSpacing/>
    </w:pPr>
    <w:rPr>
      <w:rFonts w:asciiTheme="minorHAnsi" w:eastAsiaTheme="minorHAnsi" w:hAnsiTheme="minorHAnsi" w:cstheme="minorBidi"/>
      <w:kern w:val="2"/>
      <w:lang w:val="en-SA" w:eastAsia="en-US"/>
      <w14:ligatures w14:val="standardContextual"/>
    </w:rPr>
  </w:style>
  <w:style w:type="character" w:styleId="IntenseEmphasis">
    <w:name w:val="Intense Emphasis"/>
    <w:basedOn w:val="DefaultParagraphFont"/>
    <w:uiPriority w:val="21"/>
    <w:qFormat/>
    <w:rsid w:val="002063E6"/>
    <w:rPr>
      <w:i/>
      <w:iCs/>
      <w:color w:val="0F4761" w:themeColor="accent1" w:themeShade="BF"/>
    </w:rPr>
  </w:style>
  <w:style w:type="paragraph" w:styleId="IntenseQuote">
    <w:name w:val="Intense Quote"/>
    <w:basedOn w:val="Normal"/>
    <w:next w:val="Normal"/>
    <w:link w:val="IntenseQuoteChar"/>
    <w:uiPriority w:val="30"/>
    <w:qFormat/>
    <w:rsid w:val="002063E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SA" w:eastAsia="en-US"/>
      <w14:ligatures w14:val="standardContextual"/>
    </w:rPr>
  </w:style>
  <w:style w:type="character" w:customStyle="1" w:styleId="IntenseQuoteChar">
    <w:name w:val="Intense Quote Char"/>
    <w:basedOn w:val="DefaultParagraphFont"/>
    <w:link w:val="IntenseQuote"/>
    <w:uiPriority w:val="30"/>
    <w:rsid w:val="002063E6"/>
    <w:rPr>
      <w:i/>
      <w:iCs/>
      <w:color w:val="0F4761" w:themeColor="accent1" w:themeShade="BF"/>
    </w:rPr>
  </w:style>
  <w:style w:type="character" w:styleId="IntenseReference">
    <w:name w:val="Intense Reference"/>
    <w:basedOn w:val="DefaultParagraphFont"/>
    <w:uiPriority w:val="32"/>
    <w:qFormat/>
    <w:rsid w:val="002063E6"/>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7F02E2"/>
    <w:pPr>
      <w:jc w:val="center"/>
    </w:pPr>
  </w:style>
  <w:style w:type="character" w:customStyle="1" w:styleId="EndNoteBibliographyTitleChar">
    <w:name w:val="EndNote Bibliography Title Char"/>
    <w:basedOn w:val="DefaultParagraphFont"/>
    <w:link w:val="EndNoteBibliographyTitle"/>
    <w:rsid w:val="007F02E2"/>
    <w:rPr>
      <w:rFonts w:ascii="Calibri" w:eastAsia="Calibri" w:hAnsi="Calibri" w:cs="Calibri"/>
      <w:kern w:val="0"/>
      <w:lang w:val="en-US" w:eastAsia="zh-CN"/>
      <w14:ligatures w14:val="none"/>
    </w:rPr>
  </w:style>
  <w:style w:type="paragraph" w:customStyle="1" w:styleId="EndNoteBibliography">
    <w:name w:val="EndNote Bibliography"/>
    <w:basedOn w:val="Normal"/>
    <w:link w:val="EndNoteBibliographyChar"/>
    <w:rsid w:val="007F02E2"/>
    <w:pPr>
      <w:jc w:val="both"/>
    </w:pPr>
  </w:style>
  <w:style w:type="character" w:customStyle="1" w:styleId="EndNoteBibliographyChar">
    <w:name w:val="EndNote Bibliography Char"/>
    <w:basedOn w:val="DefaultParagraphFont"/>
    <w:link w:val="EndNoteBibliography"/>
    <w:rsid w:val="007F02E2"/>
    <w:rPr>
      <w:rFonts w:ascii="Calibri" w:eastAsia="Calibri" w:hAnsi="Calibri" w:cs="Calibri"/>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4420</Words>
  <Characters>25196</Characters>
  <Application>Microsoft Office Word</Application>
  <DocSecurity>0</DocSecurity>
  <Lines>209</Lines>
  <Paragraphs>59</Paragraphs>
  <ScaleCrop>false</ScaleCrop>
  <Company>KAUST</Company>
  <LinksUpToDate>false</LinksUpToDate>
  <CharactersWithSpaces>29557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Idhant Nag</dc:creator>
  <cp:keywords/>
  <dc:description/>
  <cp:lastModifiedBy>Idhant Nag</cp:lastModifiedBy>
  <cp:revision>2</cp:revision>
  <dcterms:created xsi:type="dcterms:W3CDTF">2025-01-01T03:04:00Z</dcterms:created>
  <dcterms:modified xsi:type="dcterms:W3CDTF">2025-01-01T03:40:00Z</dcterms:modified>
</cp:coreProperties>
</file>