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0B549" w14:textId="689A64C3" w:rsidR="00404514" w:rsidRPr="004A129F" w:rsidRDefault="00CD7C10" w:rsidP="002E5D3F">
      <w:pPr>
        <w:spacing w:line="360" w:lineRule="auto"/>
        <w:rPr>
          <w:rFonts w:ascii="Times New Roman" w:hAnsi="Times New Roman" w:cs="Times New Roman"/>
          <w:b/>
          <w:bCs/>
        </w:rPr>
      </w:pPr>
      <w:r w:rsidRPr="004A129F">
        <w:rPr>
          <w:rFonts w:ascii="Times New Roman" w:hAnsi="Times New Roman" w:cs="Times New Roman"/>
          <w:b/>
          <w:bCs/>
        </w:rPr>
        <w:t xml:space="preserve">Summary table </w:t>
      </w:r>
    </w:p>
    <w:tbl>
      <w:tblPr>
        <w:tblStyle w:val="TableGrid"/>
        <w:tblW w:w="5000" w:type="pct"/>
        <w:jc w:val="center"/>
        <w:tblLayout w:type="fixed"/>
        <w:tblLook w:val="04A0" w:firstRow="1" w:lastRow="0" w:firstColumn="1" w:lastColumn="0" w:noHBand="0" w:noVBand="1"/>
      </w:tblPr>
      <w:tblGrid>
        <w:gridCol w:w="447"/>
        <w:gridCol w:w="1531"/>
        <w:gridCol w:w="850"/>
        <w:gridCol w:w="1419"/>
        <w:gridCol w:w="850"/>
        <w:gridCol w:w="7089"/>
        <w:gridCol w:w="764"/>
      </w:tblGrid>
      <w:tr w:rsidR="004A129F" w:rsidRPr="004A129F" w14:paraId="472AD42E" w14:textId="77777777" w:rsidTr="00D5729D">
        <w:trPr>
          <w:jc w:val="center"/>
        </w:trPr>
        <w:tc>
          <w:tcPr>
            <w:tcW w:w="173" w:type="pct"/>
          </w:tcPr>
          <w:p w14:paraId="3283BFAD" w14:textId="597EDE0A" w:rsidR="00D5729D" w:rsidRPr="004A129F" w:rsidRDefault="00D5729D" w:rsidP="002E5D3F">
            <w:pPr>
              <w:pStyle w:val="NormalWeb"/>
              <w:spacing w:line="360" w:lineRule="auto"/>
              <w:jc w:val="both"/>
              <w:rPr>
                <w:b/>
                <w:bCs/>
              </w:rPr>
            </w:pPr>
            <w:r w:rsidRPr="004A129F">
              <w:rPr>
                <w:b/>
                <w:bCs/>
              </w:rPr>
              <w:t>s. no</w:t>
            </w:r>
          </w:p>
        </w:tc>
        <w:tc>
          <w:tcPr>
            <w:tcW w:w="591" w:type="pct"/>
          </w:tcPr>
          <w:p w14:paraId="72076A84" w14:textId="42CC4BC6" w:rsidR="00D5729D" w:rsidRPr="004A129F" w:rsidRDefault="00D5729D" w:rsidP="002E5D3F">
            <w:pPr>
              <w:pStyle w:val="NormalWeb"/>
              <w:spacing w:line="360" w:lineRule="auto"/>
              <w:jc w:val="both"/>
              <w:rPr>
                <w:b/>
                <w:bCs/>
                <w:sz w:val="24"/>
                <w:szCs w:val="24"/>
              </w:rPr>
            </w:pPr>
            <w:r w:rsidRPr="004A129F">
              <w:rPr>
                <w:b/>
                <w:bCs/>
                <w:sz w:val="24"/>
                <w:szCs w:val="24"/>
              </w:rPr>
              <w:t xml:space="preserve">Authors’ name </w:t>
            </w:r>
            <w:bookmarkStart w:id="0" w:name="_GoBack"/>
            <w:bookmarkEnd w:id="0"/>
          </w:p>
        </w:tc>
        <w:tc>
          <w:tcPr>
            <w:tcW w:w="328" w:type="pct"/>
          </w:tcPr>
          <w:p w14:paraId="735C29AA" w14:textId="60652308" w:rsidR="00D5729D" w:rsidRPr="004A129F" w:rsidRDefault="00D5729D" w:rsidP="002E5D3F">
            <w:pPr>
              <w:pStyle w:val="NormalWeb"/>
              <w:spacing w:line="360" w:lineRule="auto"/>
              <w:jc w:val="both"/>
              <w:rPr>
                <w:b/>
                <w:bCs/>
                <w:sz w:val="24"/>
                <w:szCs w:val="24"/>
              </w:rPr>
            </w:pPr>
            <w:r w:rsidRPr="004A129F">
              <w:rPr>
                <w:b/>
                <w:bCs/>
                <w:sz w:val="24"/>
                <w:szCs w:val="24"/>
              </w:rPr>
              <w:t xml:space="preserve">Sample size </w:t>
            </w:r>
          </w:p>
        </w:tc>
        <w:tc>
          <w:tcPr>
            <w:tcW w:w="548" w:type="pct"/>
          </w:tcPr>
          <w:p w14:paraId="6752F9CC" w14:textId="706BD1CA" w:rsidR="00D5729D" w:rsidRPr="004A129F" w:rsidRDefault="00D5729D" w:rsidP="002E5D3F">
            <w:pPr>
              <w:pStyle w:val="NormalWeb"/>
              <w:spacing w:line="360" w:lineRule="auto"/>
              <w:jc w:val="both"/>
              <w:rPr>
                <w:b/>
                <w:bCs/>
                <w:sz w:val="24"/>
                <w:szCs w:val="24"/>
              </w:rPr>
            </w:pPr>
            <w:r w:rsidRPr="004A129F">
              <w:rPr>
                <w:b/>
                <w:bCs/>
                <w:sz w:val="24"/>
                <w:szCs w:val="24"/>
              </w:rPr>
              <w:t xml:space="preserve">Vaccine type </w:t>
            </w:r>
          </w:p>
        </w:tc>
        <w:tc>
          <w:tcPr>
            <w:tcW w:w="328" w:type="pct"/>
          </w:tcPr>
          <w:p w14:paraId="7545E55E" w14:textId="7F8A87CD" w:rsidR="00D5729D" w:rsidRPr="004A129F" w:rsidRDefault="00D5729D" w:rsidP="002E5D3F">
            <w:pPr>
              <w:pStyle w:val="NormalWeb"/>
              <w:spacing w:line="360" w:lineRule="auto"/>
              <w:jc w:val="both"/>
              <w:rPr>
                <w:b/>
                <w:bCs/>
                <w:sz w:val="24"/>
                <w:szCs w:val="24"/>
              </w:rPr>
            </w:pPr>
            <w:r w:rsidRPr="004A129F">
              <w:rPr>
                <w:b/>
                <w:bCs/>
                <w:sz w:val="24"/>
                <w:szCs w:val="24"/>
              </w:rPr>
              <w:t xml:space="preserve">Trial phase </w:t>
            </w:r>
          </w:p>
        </w:tc>
        <w:tc>
          <w:tcPr>
            <w:tcW w:w="2737" w:type="pct"/>
          </w:tcPr>
          <w:p w14:paraId="157D3452" w14:textId="3C26928C" w:rsidR="00D5729D" w:rsidRPr="004A129F" w:rsidRDefault="00D5729D" w:rsidP="002E5D3F">
            <w:pPr>
              <w:pStyle w:val="NormalWeb"/>
              <w:spacing w:line="360" w:lineRule="auto"/>
              <w:jc w:val="both"/>
              <w:rPr>
                <w:b/>
                <w:bCs/>
                <w:sz w:val="24"/>
                <w:szCs w:val="24"/>
              </w:rPr>
            </w:pPr>
            <w:r w:rsidRPr="004A129F">
              <w:rPr>
                <w:b/>
                <w:bCs/>
                <w:sz w:val="24"/>
                <w:szCs w:val="24"/>
              </w:rPr>
              <w:t xml:space="preserve">Outcomes </w:t>
            </w:r>
          </w:p>
        </w:tc>
        <w:tc>
          <w:tcPr>
            <w:tcW w:w="295" w:type="pct"/>
          </w:tcPr>
          <w:p w14:paraId="7F4CFA4A" w14:textId="1B3AD0F4" w:rsidR="00D5729D" w:rsidRPr="004A129F" w:rsidRDefault="00D5729D" w:rsidP="002E5D3F">
            <w:pPr>
              <w:pStyle w:val="NormalWeb"/>
              <w:spacing w:line="360" w:lineRule="auto"/>
              <w:jc w:val="both"/>
              <w:rPr>
                <w:b/>
                <w:bCs/>
                <w:sz w:val="24"/>
                <w:szCs w:val="24"/>
              </w:rPr>
            </w:pPr>
            <w:r w:rsidRPr="004A129F">
              <w:rPr>
                <w:b/>
                <w:bCs/>
                <w:sz w:val="24"/>
                <w:szCs w:val="24"/>
              </w:rPr>
              <w:t xml:space="preserve">Reference </w:t>
            </w:r>
          </w:p>
        </w:tc>
      </w:tr>
      <w:tr w:rsidR="004A129F" w:rsidRPr="004A129F" w14:paraId="2DBF3B5C" w14:textId="77777777" w:rsidTr="00D5729D">
        <w:trPr>
          <w:jc w:val="center"/>
        </w:trPr>
        <w:tc>
          <w:tcPr>
            <w:tcW w:w="173" w:type="pct"/>
          </w:tcPr>
          <w:p w14:paraId="24D65BFD" w14:textId="54950A74" w:rsidR="00D5729D" w:rsidRPr="004A129F" w:rsidRDefault="00D5729D" w:rsidP="002E5D3F">
            <w:pPr>
              <w:pStyle w:val="NormalWeb"/>
              <w:spacing w:line="360" w:lineRule="auto"/>
              <w:jc w:val="both"/>
            </w:pPr>
            <w:r w:rsidRPr="004A129F">
              <w:t>1</w:t>
            </w:r>
          </w:p>
        </w:tc>
        <w:tc>
          <w:tcPr>
            <w:tcW w:w="591" w:type="pct"/>
          </w:tcPr>
          <w:p w14:paraId="4569C590" w14:textId="035D1409" w:rsidR="00D5729D" w:rsidRPr="004A129F" w:rsidRDefault="00D5729D" w:rsidP="002E5D3F">
            <w:pPr>
              <w:pStyle w:val="NormalWeb"/>
              <w:spacing w:line="360" w:lineRule="auto"/>
              <w:jc w:val="both"/>
              <w:rPr>
                <w:sz w:val="24"/>
                <w:szCs w:val="24"/>
              </w:rPr>
            </w:pPr>
            <w:r w:rsidRPr="004A129F">
              <w:rPr>
                <w:sz w:val="24"/>
                <w:szCs w:val="24"/>
              </w:rPr>
              <w:t>L. Roman, S. Wilczynski, L. Muderspach, et al.</w:t>
            </w:r>
          </w:p>
        </w:tc>
        <w:tc>
          <w:tcPr>
            <w:tcW w:w="328" w:type="pct"/>
          </w:tcPr>
          <w:p w14:paraId="05CD0A2B" w14:textId="54D97C9B" w:rsidR="00D5729D" w:rsidRPr="004A129F" w:rsidRDefault="00D5729D" w:rsidP="002E5D3F">
            <w:pPr>
              <w:pStyle w:val="NormalWeb"/>
              <w:spacing w:line="360" w:lineRule="auto"/>
              <w:jc w:val="both"/>
              <w:rPr>
                <w:sz w:val="24"/>
                <w:szCs w:val="24"/>
              </w:rPr>
            </w:pPr>
            <w:r w:rsidRPr="004A129F">
              <w:rPr>
                <w:sz w:val="24"/>
                <w:szCs w:val="24"/>
              </w:rPr>
              <w:t>21</w:t>
            </w:r>
          </w:p>
        </w:tc>
        <w:tc>
          <w:tcPr>
            <w:tcW w:w="548" w:type="pct"/>
          </w:tcPr>
          <w:p w14:paraId="260BD9D5" w14:textId="5E2FED2C" w:rsidR="00D5729D" w:rsidRPr="004A129F" w:rsidRDefault="00D5729D" w:rsidP="002E5D3F">
            <w:pPr>
              <w:pStyle w:val="NormalWeb"/>
              <w:spacing w:line="360" w:lineRule="auto"/>
              <w:jc w:val="both"/>
              <w:rPr>
                <w:sz w:val="24"/>
                <w:szCs w:val="24"/>
              </w:rPr>
            </w:pPr>
            <w:r w:rsidRPr="004A129F">
              <w:rPr>
                <w:sz w:val="24"/>
                <w:szCs w:val="24"/>
              </w:rPr>
              <w:t xml:space="preserve">HPV-16 </w:t>
            </w:r>
            <w:proofErr w:type="spellStart"/>
            <w:r w:rsidRPr="004A129F">
              <w:rPr>
                <w:sz w:val="24"/>
                <w:szCs w:val="24"/>
              </w:rPr>
              <w:t>Hsp</w:t>
            </w:r>
            <w:proofErr w:type="spellEnd"/>
            <w:r w:rsidRPr="004A129F">
              <w:rPr>
                <w:sz w:val="24"/>
                <w:szCs w:val="24"/>
              </w:rPr>
              <w:t xml:space="preserve"> E7 fusion protein</w:t>
            </w:r>
          </w:p>
        </w:tc>
        <w:tc>
          <w:tcPr>
            <w:tcW w:w="328" w:type="pct"/>
          </w:tcPr>
          <w:p w14:paraId="2FB07B6C" w14:textId="04EC1DD9" w:rsidR="00D5729D" w:rsidRPr="004A129F" w:rsidRDefault="00D5729D" w:rsidP="002E5D3F">
            <w:pPr>
              <w:pStyle w:val="NormalWeb"/>
              <w:spacing w:line="360" w:lineRule="auto"/>
              <w:jc w:val="both"/>
              <w:rPr>
                <w:sz w:val="24"/>
                <w:szCs w:val="24"/>
              </w:rPr>
            </w:pPr>
            <w:r w:rsidRPr="004A129F">
              <w:rPr>
                <w:sz w:val="24"/>
                <w:szCs w:val="24"/>
              </w:rPr>
              <w:t>phase 2 clinical trial</w:t>
            </w:r>
          </w:p>
        </w:tc>
        <w:tc>
          <w:tcPr>
            <w:tcW w:w="2737" w:type="pct"/>
          </w:tcPr>
          <w:p w14:paraId="207BBD2C" w14:textId="1082188D" w:rsidR="00D5729D" w:rsidRPr="004A129F" w:rsidRDefault="00D5729D" w:rsidP="002E5D3F">
            <w:pPr>
              <w:pStyle w:val="NormalWeb"/>
              <w:spacing w:line="360" w:lineRule="auto"/>
              <w:jc w:val="both"/>
              <w:rPr>
                <w:sz w:val="24"/>
                <w:szCs w:val="24"/>
              </w:rPr>
            </w:pPr>
            <w:r w:rsidRPr="004A129F">
              <w:rPr>
                <w:sz w:val="24"/>
                <w:szCs w:val="24"/>
              </w:rPr>
              <w:t>Seven of 20 women (35%) evaluable for response had complete regression of their intraepithelial neoplasia, 1 (5%) had regression to CIN I, 11 (55%) had stable disease and 1 (5%) had progression due to enlargement of her lesion. Immune responses were seen in 9 of the 17 women tested; 5 of the 7 complete responders had an immune response. Only 5 of 21 women had HPV-16 or -18. HPV clearance was not associated with lesion regression.</w:t>
            </w:r>
          </w:p>
        </w:tc>
        <w:tc>
          <w:tcPr>
            <w:tcW w:w="295" w:type="pct"/>
          </w:tcPr>
          <w:p w14:paraId="4614F9C8" w14:textId="58B1EFDE"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&lt;EndNote&gt;&lt;Cite&gt;&lt;Author&gt;Roman&lt;/Author&gt;&lt;Year&gt;2007&lt;/Year&gt;&lt;RecNum&gt;21&lt;/RecNum&gt;&lt;DisplayText&gt;[1]&lt;/DisplayText&gt;&lt;record&gt;&lt;rec-number&gt;21&lt;/rec-number&gt;&lt;foreign-keys&gt;&lt;key app="EN" db-id="s2sttzetzetpave5s2e5tve655rraxdp02r5" timestamp="1723987213"&gt;21&lt;/key&gt;&lt;/foreign-keys&gt;&lt;ref-type name="Journal Article"&gt;17&lt;/ref-type&gt;&lt;contributors&gt;&lt;authors&gt;&lt;author&gt;Roman, LD&lt;/author&gt;&lt;author&gt;Wilczynski, S&lt;/author&gt;&lt;author&gt;Muderspach, LI&lt;/author&gt;&lt;author&gt;Burnett, AF&lt;/author&gt;&lt;author&gt;O&amp;apos;meara, A&lt;/author&gt;&lt;author&gt;Brinkman, JA&lt;/author&gt;&lt;author&gt;Kast, WM&lt;/author&gt;&lt;author&gt;Facio, G&lt;/author&gt;&lt;author&gt;Felix, JC&lt;/author&gt;&lt;author&gt;Aldana, M&lt;/author&gt;&lt;/authors&gt;&lt;/contributors&gt;&lt;titles&gt;&lt;title&gt;A phase II study of Hsp-7 (SGN-00101) in women with high-grade cervical intraepithelial neoplasia&lt;/title&gt;&lt;secondary-title&gt;Gynecologic oncology&lt;/secondary-title&gt;&lt;/titles&gt;&lt;pages&gt;558-566&lt;/pages&gt;&lt;volume&gt;106&lt;/volume&gt;&lt;number&gt;3&lt;/number&gt;&lt;dates&gt;&lt;year&gt;2007&lt;/year&gt;&lt;/dates&gt;&lt;isbn&gt;0090-8258&lt;/isbn&gt;&lt;urls&gt;&lt;/urls&gt;&lt;/record&gt;&lt;/Cite&gt;&lt;/EndNote&gt;</w:instrText>
            </w:r>
            <w:r w:rsidRPr="004A129F">
              <w:fldChar w:fldCharType="separate"/>
            </w:r>
            <w:r w:rsidRPr="004A129F">
              <w:rPr>
                <w:noProof/>
                <w:sz w:val="24"/>
                <w:szCs w:val="24"/>
              </w:rPr>
              <w:t>[1]</w:t>
            </w:r>
            <w:r w:rsidRPr="004A129F">
              <w:fldChar w:fldCharType="end"/>
            </w:r>
          </w:p>
        </w:tc>
      </w:tr>
      <w:tr w:rsidR="004A129F" w:rsidRPr="004A129F" w14:paraId="602A5EE2" w14:textId="77777777" w:rsidTr="00D5729D">
        <w:trPr>
          <w:jc w:val="center"/>
        </w:trPr>
        <w:tc>
          <w:tcPr>
            <w:tcW w:w="173" w:type="pct"/>
          </w:tcPr>
          <w:p w14:paraId="127A0171" w14:textId="74BEDD14" w:rsidR="00D5729D" w:rsidRPr="004A129F" w:rsidRDefault="00D5729D" w:rsidP="002E5D3F">
            <w:pPr>
              <w:pStyle w:val="NormalWeb"/>
              <w:spacing w:line="360" w:lineRule="auto"/>
              <w:jc w:val="both"/>
            </w:pPr>
            <w:r w:rsidRPr="004A129F">
              <w:t>2</w:t>
            </w:r>
          </w:p>
        </w:tc>
        <w:tc>
          <w:tcPr>
            <w:tcW w:w="591" w:type="pct"/>
          </w:tcPr>
          <w:p w14:paraId="2A6B706C" w14:textId="4E93ADA9" w:rsidR="00D5729D" w:rsidRPr="004A129F" w:rsidRDefault="00D5729D" w:rsidP="002E5D3F">
            <w:pPr>
              <w:pStyle w:val="NormalWeb"/>
              <w:spacing w:line="360" w:lineRule="auto"/>
              <w:jc w:val="both"/>
              <w:rPr>
                <w:sz w:val="24"/>
                <w:szCs w:val="24"/>
              </w:rPr>
            </w:pPr>
            <w:r w:rsidRPr="004A129F">
              <w:rPr>
                <w:sz w:val="24"/>
                <w:szCs w:val="24"/>
              </w:rPr>
              <w:t>Alessandro D. Santin a, *, Stefania Bellone a, Michela Palmieri a, et al.</w:t>
            </w:r>
          </w:p>
        </w:tc>
        <w:tc>
          <w:tcPr>
            <w:tcW w:w="328" w:type="pct"/>
          </w:tcPr>
          <w:p w14:paraId="76C4A00B" w14:textId="7FD3AEC2" w:rsidR="00D5729D" w:rsidRPr="004A129F" w:rsidRDefault="00D5729D" w:rsidP="002E5D3F">
            <w:pPr>
              <w:pStyle w:val="NormalWeb"/>
              <w:spacing w:line="360" w:lineRule="auto"/>
              <w:jc w:val="both"/>
              <w:rPr>
                <w:sz w:val="24"/>
                <w:szCs w:val="24"/>
              </w:rPr>
            </w:pPr>
            <w:r w:rsidRPr="004A129F">
              <w:rPr>
                <w:sz w:val="24"/>
                <w:szCs w:val="24"/>
              </w:rPr>
              <w:t>4</w:t>
            </w:r>
          </w:p>
        </w:tc>
        <w:tc>
          <w:tcPr>
            <w:tcW w:w="548" w:type="pct"/>
          </w:tcPr>
          <w:p w14:paraId="703CCAC4" w14:textId="2FFE769B" w:rsidR="00D5729D" w:rsidRPr="004A129F" w:rsidRDefault="00D5729D" w:rsidP="002E5D3F">
            <w:pPr>
              <w:pStyle w:val="NormalWeb"/>
              <w:spacing w:line="360" w:lineRule="auto"/>
              <w:jc w:val="both"/>
              <w:rPr>
                <w:sz w:val="24"/>
                <w:szCs w:val="24"/>
              </w:rPr>
            </w:pPr>
            <w:r w:rsidRPr="004A129F">
              <w:rPr>
                <w:sz w:val="24"/>
                <w:szCs w:val="24"/>
              </w:rPr>
              <w:t>HPV16/18 E7-pulsed DC vaccine followed by IL-2 administration</w:t>
            </w:r>
          </w:p>
        </w:tc>
        <w:tc>
          <w:tcPr>
            <w:tcW w:w="328" w:type="pct"/>
          </w:tcPr>
          <w:p w14:paraId="673BBC4F" w14:textId="122EFD3C" w:rsidR="00D5729D" w:rsidRPr="004A129F" w:rsidRDefault="00D5729D" w:rsidP="002E5D3F">
            <w:pPr>
              <w:pStyle w:val="NormalWeb"/>
              <w:spacing w:line="360" w:lineRule="auto"/>
              <w:jc w:val="both"/>
              <w:rPr>
                <w:sz w:val="24"/>
                <w:szCs w:val="24"/>
              </w:rPr>
            </w:pPr>
            <w:r w:rsidRPr="004A129F">
              <w:rPr>
                <w:sz w:val="24"/>
                <w:szCs w:val="24"/>
              </w:rPr>
              <w:t>Phase I</w:t>
            </w:r>
          </w:p>
        </w:tc>
        <w:tc>
          <w:tcPr>
            <w:tcW w:w="2737" w:type="pct"/>
          </w:tcPr>
          <w:p w14:paraId="79B40D52" w14:textId="790636E6" w:rsidR="00D5729D" w:rsidRPr="004A129F" w:rsidRDefault="00D5729D" w:rsidP="002E5D3F">
            <w:pPr>
              <w:pStyle w:val="NormalWeb"/>
              <w:spacing w:line="360" w:lineRule="auto"/>
              <w:jc w:val="both"/>
              <w:rPr>
                <w:sz w:val="24"/>
                <w:szCs w:val="24"/>
              </w:rPr>
            </w:pPr>
            <w:r w:rsidRPr="004A129F">
              <w:rPr>
                <w:sz w:val="24"/>
                <w:szCs w:val="24"/>
              </w:rPr>
              <w:t>Specific humoral and cellular CD4+ T cell responses to the E7 vaccine were detected in 2 patients. Increased numbers of E7-specific IFN-g secreting CD8+ T cells were detected in all patients after vaccination. Both patients who developed a positive DTH to the vaccine experienced a slow tumor progression (i.e., 13 months survival) while DTH unresponsive patients died within 5 months from the beginning of therapy.</w:t>
            </w:r>
          </w:p>
        </w:tc>
        <w:tc>
          <w:tcPr>
            <w:tcW w:w="295" w:type="pct"/>
          </w:tcPr>
          <w:p w14:paraId="0B6FEED7" w14:textId="182EE42E"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&lt;EndNote&gt;&lt;Cite&gt;&lt;Author&gt;Santin&lt;/Author&gt;&lt;Year&gt;2006&lt;/Year&gt;&lt;RecNum&gt;11&lt;/RecNum&gt;&lt;DisplayText&gt;[2]&lt;/DisplayText&gt;&lt;record&gt;&lt;rec-number&gt;11&lt;/rec-number&gt;&lt;foreign-keys&gt;&lt;key app="EN" db-id="s2sttzetzetpave5s2e5tve655rraxdp02r5" timestamp="1723986864"&gt;11&lt;/key&gt;&lt;/foreign-keys&gt;&lt;ref-type name="Journal Article"&gt;17&lt;/ref-type&gt;&lt;contributors&gt;&lt;authors&gt;&lt;author&gt;Santin, Alessandro D&lt;/author&gt;&lt;author&gt;Bellone, Stefania&lt;/author&gt;&lt;author&gt;Palmieri, Michela&lt;/author&gt;&lt;author&gt;Ravaggi, Antonella&lt;/author&gt;&lt;author&gt;Romani, Chiara&lt;/author&gt;&lt;author&gt;Tassi, Renata&lt;/author&gt;&lt;author&gt;Roman, Juan J&lt;/author&gt;&lt;author&gt;Burnett, Alexander&lt;/author&gt;&lt;author&gt;Pecorelli, Sergio&lt;/author&gt;&lt;author&gt;Cannon, Martin J&lt;/author&gt;&lt;/authors&gt;&lt;/contributors&gt;&lt;titles&gt;&lt;title&gt;HPV16/18 E7-pulsed dendritic cell vaccination in cervical cancer patients with recurrent disease refractory to standard treatment modalities&lt;/title&gt;&lt;secondary-title&gt;Gynecologic oncology&lt;/secondary-title&gt;&lt;/titles&gt;&lt;pages&gt;469-478&lt;/pages&gt;&lt;volume&gt;100&lt;/volume&gt;&lt;number&gt;3&lt;/number&gt;&lt;dates&gt;&lt;year&gt;2006&lt;/year&gt;&lt;/dates&gt;&lt;isbn&gt;0090-8258&lt;/isbn&gt;&lt;urls&gt;&lt;/urls&gt;&lt;/record&gt;&lt;/Cite&gt;&lt;/EndNote&gt;</w:instrText>
            </w:r>
            <w:r w:rsidRPr="004A129F">
              <w:fldChar w:fldCharType="separate"/>
            </w:r>
            <w:r w:rsidRPr="004A129F">
              <w:rPr>
                <w:noProof/>
                <w:sz w:val="24"/>
                <w:szCs w:val="24"/>
              </w:rPr>
              <w:t>[2]</w:t>
            </w:r>
            <w:r w:rsidRPr="004A129F">
              <w:fldChar w:fldCharType="end"/>
            </w:r>
          </w:p>
        </w:tc>
      </w:tr>
      <w:tr w:rsidR="004A129F" w:rsidRPr="004A129F" w14:paraId="64C8CDDE" w14:textId="77777777" w:rsidTr="00D5729D">
        <w:trPr>
          <w:jc w:val="center"/>
        </w:trPr>
        <w:tc>
          <w:tcPr>
            <w:tcW w:w="173" w:type="pct"/>
          </w:tcPr>
          <w:p w14:paraId="2F6744FB" w14:textId="59343968" w:rsidR="00D5729D" w:rsidRPr="004A129F" w:rsidRDefault="00D5729D" w:rsidP="002E5D3F">
            <w:pPr>
              <w:pStyle w:val="NormalWeb"/>
              <w:spacing w:line="360" w:lineRule="auto"/>
              <w:jc w:val="both"/>
            </w:pPr>
            <w:r w:rsidRPr="004A129F">
              <w:t>3</w:t>
            </w:r>
          </w:p>
        </w:tc>
        <w:tc>
          <w:tcPr>
            <w:tcW w:w="591" w:type="pct"/>
          </w:tcPr>
          <w:p w14:paraId="7A08D27B" w14:textId="6D9605BE" w:rsidR="00D5729D" w:rsidRPr="004A129F" w:rsidRDefault="00D5729D" w:rsidP="002E5D3F">
            <w:pPr>
              <w:pStyle w:val="NormalWeb"/>
              <w:spacing w:line="360" w:lineRule="auto"/>
              <w:jc w:val="both"/>
              <w:rPr>
                <w:sz w:val="24"/>
                <w:szCs w:val="24"/>
              </w:rPr>
            </w:pPr>
            <w:r w:rsidRPr="004A129F">
              <w:rPr>
                <w:sz w:val="24"/>
                <w:szCs w:val="24"/>
              </w:rPr>
              <w:t>L K Borysiewicz, A Fiander, M Nimako, et al.</w:t>
            </w:r>
          </w:p>
        </w:tc>
        <w:tc>
          <w:tcPr>
            <w:tcW w:w="328" w:type="pct"/>
          </w:tcPr>
          <w:p w14:paraId="3F7FAC99" w14:textId="068EB011" w:rsidR="00D5729D" w:rsidRPr="004A129F" w:rsidRDefault="00D5729D" w:rsidP="002E5D3F">
            <w:pPr>
              <w:pStyle w:val="NormalWeb"/>
              <w:spacing w:line="360" w:lineRule="auto"/>
              <w:jc w:val="both"/>
              <w:rPr>
                <w:sz w:val="24"/>
                <w:szCs w:val="24"/>
              </w:rPr>
            </w:pPr>
            <w:r w:rsidRPr="004A129F">
              <w:rPr>
                <w:sz w:val="24"/>
                <w:szCs w:val="24"/>
              </w:rPr>
              <w:t>8</w:t>
            </w:r>
          </w:p>
        </w:tc>
        <w:tc>
          <w:tcPr>
            <w:tcW w:w="548" w:type="pct"/>
          </w:tcPr>
          <w:p w14:paraId="200D436C" w14:textId="2FB5963A" w:rsidR="00D5729D" w:rsidRPr="004A129F" w:rsidRDefault="00D5729D" w:rsidP="002E5D3F">
            <w:pPr>
              <w:pStyle w:val="NormalWeb"/>
              <w:spacing w:line="360" w:lineRule="auto"/>
              <w:jc w:val="both"/>
              <w:rPr>
                <w:sz w:val="24"/>
                <w:szCs w:val="24"/>
              </w:rPr>
            </w:pPr>
            <w:r w:rsidRPr="004A129F">
              <w:rPr>
                <w:sz w:val="24"/>
                <w:szCs w:val="24"/>
              </w:rPr>
              <w:t>TA-HPV</w:t>
            </w:r>
          </w:p>
        </w:tc>
        <w:tc>
          <w:tcPr>
            <w:tcW w:w="328" w:type="pct"/>
          </w:tcPr>
          <w:p w14:paraId="37E057E8" w14:textId="387BB744" w:rsidR="00D5729D" w:rsidRPr="004A129F" w:rsidRDefault="00D5729D" w:rsidP="002E5D3F">
            <w:pPr>
              <w:pStyle w:val="NormalWeb"/>
              <w:spacing w:line="360" w:lineRule="auto"/>
              <w:jc w:val="both"/>
              <w:rPr>
                <w:sz w:val="24"/>
                <w:szCs w:val="24"/>
              </w:rPr>
            </w:pPr>
            <w:r w:rsidRPr="004A129F">
              <w:rPr>
                <w:sz w:val="24"/>
                <w:szCs w:val="24"/>
              </w:rPr>
              <w:t>Open label phase I/II trial</w:t>
            </w:r>
          </w:p>
        </w:tc>
        <w:tc>
          <w:tcPr>
            <w:tcW w:w="2737" w:type="pct"/>
          </w:tcPr>
          <w:p w14:paraId="349938AC" w14:textId="197E6DD4" w:rsidR="00D5729D" w:rsidRPr="004A129F" w:rsidRDefault="00D5729D" w:rsidP="002E5D3F">
            <w:pPr>
              <w:pStyle w:val="NormalWeb"/>
              <w:spacing w:line="360" w:lineRule="auto"/>
              <w:jc w:val="both"/>
              <w:rPr>
                <w:sz w:val="24"/>
                <w:szCs w:val="24"/>
              </w:rPr>
            </w:pPr>
            <w:r w:rsidRPr="004A129F">
              <w:rPr>
                <w:sz w:val="24"/>
                <w:szCs w:val="24"/>
              </w:rPr>
              <w:t xml:space="preserve">Each patient mounted an </w:t>
            </w:r>
            <w:proofErr w:type="spellStart"/>
            <w:r w:rsidRPr="004A129F">
              <w:rPr>
                <w:sz w:val="24"/>
                <w:szCs w:val="24"/>
              </w:rPr>
              <w:t>antivaccinia</w:t>
            </w:r>
            <w:proofErr w:type="spellEnd"/>
            <w:r w:rsidRPr="004A129F">
              <w:rPr>
                <w:sz w:val="24"/>
                <w:szCs w:val="24"/>
              </w:rPr>
              <w:t xml:space="preserve"> antibody response and three of the eight patients developed an HPV-specific antibody response that could be ascribed to the vaccination. HPV-specific cytotoxic T lymphocytes, the effector mechanism most likely to be of therapeutic benefit, were detected in one of three evaluable patients</w:t>
            </w:r>
          </w:p>
        </w:tc>
        <w:tc>
          <w:tcPr>
            <w:tcW w:w="295" w:type="pct"/>
          </w:tcPr>
          <w:p w14:paraId="751FECB5" w14:textId="53F73AF4"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&lt;EndNote&gt;&lt;Cite&gt;&lt;Author&gt;Borysiewicz&lt;/Author&gt;&lt;Year&gt;1996&lt;/Year&gt;&lt;RecNum&gt;1&lt;/RecNum&gt;&lt;DisplayText&gt;[3]&lt;/DisplayText&gt;&lt;record&gt;&lt;rec-number&gt;1&lt;/rec-number&gt;&lt;foreign-keys&gt;&lt;key app="EN" db-id="s2sttzetzetpave5s2e5tve655rraxdp02r5" timestamp="1723985655"&gt;1&lt;/key&gt;&lt;/foreign-keys&gt;&lt;ref-type name="Journal Article"&gt;17&lt;/ref-type&gt;&lt;contributors&gt;&lt;authors&gt;&lt;author&gt;Borysiewicz, LK&lt;/author&gt;&lt;author&gt;Fiander, A&lt;/author&gt;&lt;author&gt;Nimako, M&lt;/author&gt;&lt;author&gt;Man, S&lt;/author&gt;&lt;author&gt;Wilkinson, Gavin William Grahame&lt;/author&gt;&lt;author&gt;Westmoreland, D&lt;/author&gt;&lt;author&gt;Evans, AS&lt;/author&gt;&lt;author&gt;Adams, M&lt;/author&gt;&lt;author&gt;Stacey, Simon N&lt;/author&gt;&lt;author&gt;Boursnell, MEG&lt;/author&gt;&lt;/authors&gt;&lt;/contributors&gt;&lt;titles&gt;&lt;title&gt;A recombinant vaccinia virus encoding human papillomavirus types 16 and 18, E6 and E7 proteins as immunotherapy for cervical cancer&lt;/title&gt;&lt;secondary-title&gt;The Lancet&lt;/secondary-title&gt;&lt;/titles&gt;&lt;pages&gt;1523-1527&lt;/pages&gt;&lt;volume&gt;347&lt;/volume&gt;&lt;number&gt;9014&lt;/number&gt;&lt;dates&gt;&lt;year&gt;1996&lt;/year&gt;&lt;/dates&gt;&lt;isbn&gt;0140-6736&lt;/isbn&gt;&lt;urls&gt;&lt;/urls&gt;&lt;/record&gt;&lt;/Cite&gt;&lt;/EndNote&gt;</w:instrText>
            </w:r>
            <w:r w:rsidRPr="004A129F">
              <w:fldChar w:fldCharType="separate"/>
            </w:r>
            <w:r w:rsidRPr="004A129F">
              <w:rPr>
                <w:noProof/>
                <w:sz w:val="24"/>
                <w:szCs w:val="24"/>
              </w:rPr>
              <w:t>[3]</w:t>
            </w:r>
            <w:r w:rsidRPr="004A129F">
              <w:fldChar w:fldCharType="end"/>
            </w:r>
          </w:p>
        </w:tc>
      </w:tr>
      <w:tr w:rsidR="004A129F" w:rsidRPr="004A129F" w14:paraId="79A130CC" w14:textId="77777777" w:rsidTr="00D5729D">
        <w:trPr>
          <w:jc w:val="center"/>
        </w:trPr>
        <w:tc>
          <w:tcPr>
            <w:tcW w:w="173" w:type="pct"/>
          </w:tcPr>
          <w:p w14:paraId="2BC291F0" w14:textId="548CE639" w:rsidR="00D5729D" w:rsidRPr="004A129F" w:rsidRDefault="00D5729D" w:rsidP="002E5D3F">
            <w:pPr>
              <w:pStyle w:val="NormalWeb"/>
              <w:spacing w:line="360" w:lineRule="auto"/>
              <w:jc w:val="both"/>
            </w:pPr>
            <w:r w:rsidRPr="004A129F">
              <w:t>4</w:t>
            </w:r>
          </w:p>
        </w:tc>
        <w:tc>
          <w:tcPr>
            <w:tcW w:w="591" w:type="pct"/>
          </w:tcPr>
          <w:p w14:paraId="14E68208" w14:textId="27CE2DDF" w:rsidR="00D5729D" w:rsidRPr="004A129F" w:rsidRDefault="00D5729D" w:rsidP="002E5D3F">
            <w:pPr>
              <w:pStyle w:val="NormalWeb"/>
              <w:spacing w:line="360" w:lineRule="auto"/>
              <w:jc w:val="both"/>
              <w:rPr>
                <w:sz w:val="24"/>
                <w:szCs w:val="24"/>
              </w:rPr>
            </w:pPr>
            <w:r w:rsidRPr="004A129F">
              <w:rPr>
                <w:sz w:val="24"/>
                <w:szCs w:val="24"/>
              </w:rPr>
              <w:t>Mark L. Bagarazzi</w:t>
            </w:r>
            <w:r w:rsidRPr="004A129F">
              <w:rPr>
                <w:sz w:val="24"/>
                <w:szCs w:val="24"/>
                <w:vertAlign w:val="superscript"/>
              </w:rPr>
              <w:t>#1</w:t>
            </w:r>
            <w:r w:rsidRPr="004A129F">
              <w:rPr>
                <w:sz w:val="24"/>
                <w:szCs w:val="24"/>
              </w:rPr>
              <w:t>, Jian Yan</w:t>
            </w:r>
            <w:r w:rsidRPr="004A129F">
              <w:rPr>
                <w:sz w:val="24"/>
                <w:szCs w:val="24"/>
                <w:vertAlign w:val="superscript"/>
              </w:rPr>
              <w:t>#1</w:t>
            </w:r>
            <w:r w:rsidRPr="004A129F">
              <w:rPr>
                <w:sz w:val="24"/>
                <w:szCs w:val="24"/>
              </w:rPr>
              <w:t>, Matthew P. Morrow</w:t>
            </w:r>
            <w:r w:rsidRPr="004A129F">
              <w:rPr>
                <w:sz w:val="24"/>
                <w:szCs w:val="24"/>
                <w:vertAlign w:val="superscript"/>
              </w:rPr>
              <w:t>#1</w:t>
            </w:r>
            <w:r w:rsidRPr="004A129F">
              <w:rPr>
                <w:sz w:val="24"/>
                <w:szCs w:val="24"/>
              </w:rPr>
              <w:t>, et al.</w:t>
            </w:r>
          </w:p>
        </w:tc>
        <w:tc>
          <w:tcPr>
            <w:tcW w:w="328" w:type="pct"/>
          </w:tcPr>
          <w:p w14:paraId="6A1716B7" w14:textId="6C946781" w:rsidR="00D5729D" w:rsidRPr="004A129F" w:rsidRDefault="00D5729D" w:rsidP="002E5D3F">
            <w:pPr>
              <w:pStyle w:val="NormalWeb"/>
              <w:spacing w:line="360" w:lineRule="auto"/>
              <w:jc w:val="both"/>
              <w:rPr>
                <w:sz w:val="24"/>
                <w:szCs w:val="24"/>
              </w:rPr>
            </w:pPr>
            <w:r w:rsidRPr="004A129F">
              <w:rPr>
                <w:sz w:val="24"/>
                <w:szCs w:val="24"/>
              </w:rPr>
              <w:t>18</w:t>
            </w:r>
          </w:p>
        </w:tc>
        <w:tc>
          <w:tcPr>
            <w:tcW w:w="548" w:type="pct"/>
          </w:tcPr>
          <w:p w14:paraId="12CF51F6" w14:textId="6D56587A" w:rsidR="00D5729D" w:rsidRPr="004A129F" w:rsidRDefault="00D5729D" w:rsidP="002E5D3F">
            <w:pPr>
              <w:pStyle w:val="NormalWeb"/>
              <w:spacing w:line="360" w:lineRule="auto"/>
              <w:jc w:val="both"/>
              <w:rPr>
                <w:sz w:val="24"/>
                <w:szCs w:val="24"/>
              </w:rPr>
            </w:pPr>
            <w:r w:rsidRPr="004A129F">
              <w:rPr>
                <w:sz w:val="24"/>
                <w:szCs w:val="24"/>
              </w:rPr>
              <w:t>VGX-3100</w:t>
            </w:r>
            <w:r w:rsidRPr="004A129F">
              <w:rPr>
                <w:rFonts w:eastAsiaTheme="minorHAnsi"/>
                <w:kern w:val="2"/>
                <w:sz w:val="24"/>
                <w:szCs w:val="24"/>
              </w:rPr>
              <w:t xml:space="preserve"> </w:t>
            </w:r>
            <w:r w:rsidRPr="004A129F">
              <w:rPr>
                <w:sz w:val="24"/>
                <w:szCs w:val="24"/>
              </w:rPr>
              <w:t>followed by EP in a dose escalation study (0.3, 1, and 3 mg</w:t>
            </w:r>
          </w:p>
        </w:tc>
        <w:tc>
          <w:tcPr>
            <w:tcW w:w="328" w:type="pct"/>
          </w:tcPr>
          <w:p w14:paraId="3687F7ED" w14:textId="21D2FD66" w:rsidR="00D5729D" w:rsidRPr="004A129F" w:rsidRDefault="00D5729D" w:rsidP="002E5D3F">
            <w:pPr>
              <w:pStyle w:val="NormalWeb"/>
              <w:spacing w:line="360" w:lineRule="auto"/>
              <w:jc w:val="both"/>
              <w:rPr>
                <w:sz w:val="24"/>
                <w:szCs w:val="24"/>
              </w:rPr>
            </w:pPr>
            <w:r w:rsidRPr="004A129F">
              <w:rPr>
                <w:sz w:val="24"/>
                <w:szCs w:val="24"/>
              </w:rPr>
              <w:t>Phase I</w:t>
            </w:r>
          </w:p>
        </w:tc>
        <w:tc>
          <w:tcPr>
            <w:tcW w:w="2737" w:type="pct"/>
          </w:tcPr>
          <w:p w14:paraId="193F035C" w14:textId="562B87CF" w:rsidR="00D5729D" w:rsidRPr="004A129F" w:rsidRDefault="00D5729D" w:rsidP="002E5D3F">
            <w:pPr>
              <w:pStyle w:val="NormalWeb"/>
              <w:spacing w:line="360" w:lineRule="auto"/>
              <w:jc w:val="both"/>
              <w:rPr>
                <w:sz w:val="24"/>
                <w:szCs w:val="24"/>
              </w:rPr>
            </w:pPr>
            <w:r w:rsidRPr="004A129F">
              <w:rPr>
                <w:sz w:val="24"/>
                <w:szCs w:val="24"/>
              </w:rPr>
              <w:t>Flow cytometric analysis revealed the induction of HPV-specific CD8+ T cells that efficiently loaded granzyme B and perforin and exhibited full cytolytic functionality in all cohorts. These data indicate that VGX-3100 is capable of driving robust immune responses to antigens from high-risk HPV serotypes and could contribute to elimination of HPV-infected cells and subsequent regression of the dysplastic process</w:t>
            </w:r>
          </w:p>
        </w:tc>
        <w:tc>
          <w:tcPr>
            <w:tcW w:w="295" w:type="pct"/>
          </w:tcPr>
          <w:p w14:paraId="2170A61B" w14:textId="234DA081"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&lt;EndNote&gt;&lt;Cite&gt;&lt;Author&gt;Bagarazzi&lt;/Author&gt;&lt;Year&gt;2012&lt;/Year&gt;&lt;RecNum&gt;9&lt;/RecNum&gt;&lt;DisplayText&gt;[4]&lt;/DisplayText&gt;&lt;record&gt;&lt;rec-number&gt;9&lt;/rec-number&gt;&lt;foreign-keys&gt;&lt;key app="EN" db-id="s2sttzetzetpave5s2e5tve655rraxdp02r5" timestamp="1723986780"&gt;9&lt;/key&gt;&lt;/foreign-keys&gt;&lt;ref-type name="Journal Article"&gt;17&lt;/ref-type&gt;&lt;contributors&gt;&lt;authors&gt;&lt;author&gt;Bagarazzi, Mark L&lt;/author&gt;&lt;author&gt;Yan, Jian&lt;/author&gt;&lt;author&gt;Morrow, Matthew P&lt;/author&gt;&lt;author&gt;Shen, Xuefei&lt;/author&gt;&lt;author&gt;Parker, R Lamar&lt;/author&gt;&lt;author&gt;Lee, Jessica C&lt;/author&gt;&lt;author&gt;Giffear, Mary&lt;/author&gt;&lt;author&gt;Pankhong, Panyupa&lt;/author&gt;&lt;author&gt;Khan, Amir S&lt;/author&gt;&lt;author&gt;Broderick, Kate E&lt;/author&gt;&lt;/authors&gt;&lt;/contributors&gt;&lt;titles&gt;&lt;title&gt;Immunotherapy against HPV16/18 generates potent TH1 and cytotoxic cellular immune responses&lt;/title&gt;&lt;secondary-title&gt;Science translational medicine&lt;/secondary-title&gt;&lt;/titles&gt;&lt;pages&gt;155ra138-155ra138&lt;/pages&gt;&lt;volume&gt;4&lt;/volume&gt;&lt;number&gt;155&lt;/number&gt;&lt;dates&gt;&lt;year&gt;2012&lt;/year&gt;&lt;/dates&gt;&lt;isbn&gt;1946-6234&lt;/isbn&gt;&lt;urls&gt;&lt;related-urls&gt;&lt;url&gt;https://www.ncbi.nlm.nih.gov/pmc/articles/PMC4317299/pdf/nihms-656680.pdf&lt;/url&gt;&lt;/related-urls&gt;&lt;/urls&gt;&lt;/record&gt;&lt;/Cite&gt;&lt;/EndNote&gt;</w:instrText>
            </w:r>
            <w:r w:rsidRPr="004A129F">
              <w:fldChar w:fldCharType="separate"/>
            </w:r>
            <w:r w:rsidRPr="004A129F">
              <w:rPr>
                <w:noProof/>
                <w:sz w:val="24"/>
                <w:szCs w:val="24"/>
              </w:rPr>
              <w:t>[4]</w:t>
            </w:r>
            <w:r w:rsidRPr="004A129F">
              <w:fldChar w:fldCharType="end"/>
            </w:r>
          </w:p>
        </w:tc>
      </w:tr>
      <w:tr w:rsidR="004A129F" w:rsidRPr="004A129F" w14:paraId="42FA919F" w14:textId="77777777" w:rsidTr="00D5729D">
        <w:trPr>
          <w:trHeight w:val="2333"/>
          <w:jc w:val="center"/>
        </w:trPr>
        <w:tc>
          <w:tcPr>
            <w:tcW w:w="173" w:type="pct"/>
          </w:tcPr>
          <w:p w14:paraId="6A16AA6C" w14:textId="3C690820" w:rsidR="00D5729D" w:rsidRPr="004A129F" w:rsidRDefault="00D5729D" w:rsidP="00D5729D">
            <w:pPr>
              <w:pStyle w:val="NormalWeb"/>
              <w:spacing w:before="0" w:beforeAutospacing="0" w:after="0" w:afterAutospacing="0" w:line="360" w:lineRule="auto"/>
              <w:jc w:val="both"/>
            </w:pPr>
            <w:r w:rsidRPr="004A129F">
              <w:t>5</w:t>
            </w:r>
          </w:p>
        </w:tc>
        <w:tc>
          <w:tcPr>
            <w:tcW w:w="591" w:type="pct"/>
          </w:tcPr>
          <w:p w14:paraId="0071196E" w14:textId="62657A6E" w:rsidR="00D5729D" w:rsidRPr="004A129F" w:rsidRDefault="00D5729D" w:rsidP="00D5729D">
            <w:pPr>
              <w:pStyle w:val="NormalWeb"/>
              <w:spacing w:before="0" w:beforeAutospacing="0" w:after="0" w:afterAutospacing="0" w:line="360" w:lineRule="auto"/>
              <w:jc w:val="both"/>
              <w:rPr>
                <w:sz w:val="24"/>
                <w:szCs w:val="24"/>
              </w:rPr>
            </w:pPr>
            <w:r w:rsidRPr="004A129F">
              <w:rPr>
                <w:sz w:val="24"/>
                <w:szCs w:val="24"/>
              </w:rPr>
              <w:t xml:space="preserve">Youn Jin Choi1,2, Soo Young Hur1,2, Tae-Jin Kim3, et al </w:t>
            </w:r>
          </w:p>
        </w:tc>
        <w:tc>
          <w:tcPr>
            <w:tcW w:w="328" w:type="pct"/>
          </w:tcPr>
          <w:p w14:paraId="0DE9389A" w14:textId="758ACB62" w:rsidR="00D5729D" w:rsidRPr="004A129F" w:rsidRDefault="00D5729D" w:rsidP="00D5729D">
            <w:pPr>
              <w:pStyle w:val="NormalWeb"/>
              <w:spacing w:before="0" w:beforeAutospacing="0" w:after="0" w:afterAutospacing="0" w:line="360" w:lineRule="auto"/>
              <w:jc w:val="both"/>
              <w:rPr>
                <w:sz w:val="24"/>
                <w:szCs w:val="24"/>
              </w:rPr>
            </w:pPr>
            <w:r w:rsidRPr="004A129F">
              <w:rPr>
                <w:sz w:val="24"/>
                <w:szCs w:val="24"/>
              </w:rPr>
              <w:t xml:space="preserve">52 </w:t>
            </w:r>
          </w:p>
        </w:tc>
        <w:tc>
          <w:tcPr>
            <w:tcW w:w="548" w:type="pct"/>
          </w:tcPr>
          <w:p w14:paraId="472D22CB" w14:textId="1825D56B" w:rsidR="00D5729D" w:rsidRPr="004A129F" w:rsidRDefault="00D5729D" w:rsidP="00D5729D">
            <w:pPr>
              <w:spacing w:line="360" w:lineRule="auto"/>
              <w:jc w:val="both"/>
              <w:rPr>
                <w:rFonts w:ascii="Times New Roman" w:hAnsi="Times New Roman" w:cs="Times New Roman"/>
                <w:sz w:val="24"/>
                <w:szCs w:val="24"/>
              </w:rPr>
            </w:pPr>
            <w:r w:rsidRPr="004A129F">
              <w:rPr>
                <w:rStyle w:val="fontstyle01"/>
                <w:rFonts w:ascii="Times New Roman" w:hAnsi="Times New Roman" w:cs="Times New Roman"/>
                <w:color w:val="auto"/>
                <w:sz w:val="24"/>
                <w:szCs w:val="24"/>
              </w:rPr>
              <w:t>DNA vaccine GX-188E</w:t>
            </w:r>
          </w:p>
        </w:tc>
        <w:tc>
          <w:tcPr>
            <w:tcW w:w="328" w:type="pct"/>
          </w:tcPr>
          <w:p w14:paraId="614CE9BC" w14:textId="77777777" w:rsidR="00D5729D" w:rsidRPr="004A129F" w:rsidRDefault="00D5729D" w:rsidP="00D5729D">
            <w:pPr>
              <w:spacing w:line="360" w:lineRule="auto"/>
              <w:jc w:val="both"/>
              <w:rPr>
                <w:rFonts w:ascii="Times New Roman" w:hAnsi="Times New Roman" w:cs="Times New Roman"/>
                <w:sz w:val="24"/>
                <w:szCs w:val="24"/>
              </w:rPr>
            </w:pPr>
            <w:r w:rsidRPr="004A129F">
              <w:rPr>
                <w:rStyle w:val="fontstyle01"/>
                <w:rFonts w:ascii="Times New Roman" w:hAnsi="Times New Roman" w:cs="Times New Roman"/>
                <w:color w:val="auto"/>
                <w:sz w:val="24"/>
                <w:szCs w:val="24"/>
              </w:rPr>
              <w:t>open-label, phase II clinical trial</w:t>
            </w:r>
          </w:p>
          <w:p w14:paraId="299CA997" w14:textId="77777777" w:rsidR="00D5729D" w:rsidRPr="004A129F" w:rsidRDefault="00D5729D" w:rsidP="00D5729D">
            <w:pPr>
              <w:pStyle w:val="NormalWeb"/>
              <w:spacing w:before="0" w:beforeAutospacing="0" w:after="0" w:afterAutospacing="0" w:line="360" w:lineRule="auto"/>
              <w:jc w:val="both"/>
              <w:rPr>
                <w:sz w:val="24"/>
                <w:szCs w:val="24"/>
              </w:rPr>
            </w:pPr>
          </w:p>
        </w:tc>
        <w:tc>
          <w:tcPr>
            <w:tcW w:w="2737" w:type="pct"/>
          </w:tcPr>
          <w:p w14:paraId="7A22CDEF" w14:textId="20B3D0C2" w:rsidR="00D5729D" w:rsidRPr="004A129F" w:rsidRDefault="00D5729D" w:rsidP="00D5729D">
            <w:pPr>
              <w:spacing w:line="360" w:lineRule="auto"/>
              <w:jc w:val="both"/>
              <w:rPr>
                <w:rFonts w:ascii="Times New Roman" w:hAnsi="Times New Roman" w:cs="Times New Roman"/>
                <w:sz w:val="24"/>
                <w:szCs w:val="24"/>
              </w:rPr>
            </w:pPr>
            <w:r w:rsidRPr="004A129F">
              <w:rPr>
                <w:rStyle w:val="fontstyle01"/>
                <w:rFonts w:ascii="Times New Roman" w:hAnsi="Times New Roman" w:cs="Times New Roman"/>
                <w:color w:val="auto"/>
                <w:sz w:val="24"/>
                <w:szCs w:val="24"/>
              </w:rPr>
              <w:t>The data showed 67% (35/52) of patients at V8 presented histopathologic regression after receiving the GX-188E injection. 77% at V8 of the patients with histologic regression showed HPV clearance. Compared with the measurements at V1 (baseline), the patients at V8 with HPV clearance showed signi</w:t>
            </w:r>
            <w:r w:rsidRPr="004A129F">
              <w:rPr>
                <w:rStyle w:val="fontstyle21"/>
                <w:rFonts w:ascii="Times New Roman" w:hAnsi="Times New Roman" w:cs="Times New Roman"/>
                <w:color w:val="auto"/>
                <w:sz w:val="24"/>
                <w:szCs w:val="24"/>
              </w:rPr>
              <w:t>fi</w:t>
            </w:r>
            <w:r w:rsidRPr="004A129F">
              <w:rPr>
                <w:rStyle w:val="fontstyle01"/>
                <w:rFonts w:ascii="Times New Roman" w:hAnsi="Times New Roman" w:cs="Times New Roman"/>
                <w:color w:val="auto"/>
                <w:sz w:val="24"/>
                <w:szCs w:val="24"/>
              </w:rPr>
              <w:t xml:space="preserve">cantly higher fold changes in their </w:t>
            </w:r>
            <w:proofErr w:type="spellStart"/>
            <w:r w:rsidRPr="004A129F">
              <w:rPr>
                <w:rStyle w:val="fontstyle01"/>
                <w:rFonts w:ascii="Times New Roman" w:hAnsi="Times New Roman" w:cs="Times New Roman"/>
                <w:color w:val="auto"/>
                <w:sz w:val="24"/>
                <w:szCs w:val="24"/>
              </w:rPr>
              <w:t>IFN</w:t>
            </w:r>
            <w:r w:rsidRPr="004A129F">
              <w:rPr>
                <w:rStyle w:val="fontstyle31"/>
                <w:rFonts w:ascii="Times New Roman" w:hAnsi="Times New Roman" w:cs="Times New Roman"/>
                <w:color w:val="auto"/>
                <w:sz w:val="24"/>
                <w:szCs w:val="24"/>
              </w:rPr>
              <w:t>g</w:t>
            </w:r>
            <w:proofErr w:type="spellEnd"/>
            <w:r w:rsidRPr="004A129F">
              <w:rPr>
                <w:rStyle w:val="fontstyle31"/>
                <w:rFonts w:ascii="Times New Roman" w:hAnsi="Times New Roman" w:cs="Times New Roman"/>
                <w:color w:val="auto"/>
                <w:sz w:val="24"/>
                <w:szCs w:val="24"/>
              </w:rPr>
              <w:t xml:space="preserve"> </w:t>
            </w:r>
            <w:r w:rsidRPr="004A129F">
              <w:rPr>
                <w:rStyle w:val="fontstyle01"/>
                <w:rFonts w:ascii="Times New Roman" w:hAnsi="Times New Roman" w:cs="Times New Roman"/>
                <w:color w:val="auto"/>
                <w:sz w:val="24"/>
                <w:szCs w:val="24"/>
              </w:rPr>
              <w:t xml:space="preserve">compared with those without HPV clearance. </w:t>
            </w:r>
          </w:p>
        </w:tc>
        <w:tc>
          <w:tcPr>
            <w:tcW w:w="295" w:type="pct"/>
          </w:tcPr>
          <w:p w14:paraId="24433FFD" w14:textId="5F818110" w:rsidR="00D5729D" w:rsidRPr="004A129F" w:rsidRDefault="00D5729D" w:rsidP="00D5729D">
            <w:pPr>
              <w:pStyle w:val="NormalWeb"/>
              <w:spacing w:before="0" w:beforeAutospacing="0" w:after="0" w:afterAutospacing="0" w:line="360" w:lineRule="auto"/>
              <w:jc w:val="both"/>
              <w:rPr>
                <w:sz w:val="24"/>
                <w:szCs w:val="24"/>
              </w:rPr>
            </w:pPr>
            <w:r w:rsidRPr="004A129F">
              <w:fldChar w:fldCharType="begin">
                <w:fldData xml:space="preserve">PEVuZE5vdGU+PENpdGU+PEF1dGhvcj5DaG9pPC9BdXRob3I+PFllYXI+MjAyMDwvWWVhcj48UmVj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</w:fldData>
              </w:fldChar>
            </w:r>
            <w:r w:rsidRPr="004A129F">
              <w:rPr>
                <w:sz w:val="24"/>
                <w:szCs w:val="24"/>
              </w:rPr>
              <w:instrText xml:space="preserve"> ADDIN EN.CITE </w:instrText>
            </w:r>
            <w:r w:rsidRPr="004A129F">
              <w:fldChar w:fldCharType="begin">
                <w:fldData xml:space="preserve">PEVuZE5vdGU+PENpdGU+PEF1dGhvcj5DaG9pPC9BdXRob3I+PFllYXI+MjAyMDwvWWVhcj48UmVj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</w:fldData>
              </w:fldChar>
            </w:r>
            <w:r w:rsidRPr="004A129F">
              <w:rPr>
                <w:sz w:val="24"/>
                <w:szCs w:val="24"/>
              </w:rPr>
              <w:instrText xml:space="preserve"> ADDIN EN.CITE.DATA </w:instrText>
            </w:r>
            <w:r w:rsidRPr="004A129F">
              <w:fldChar w:fldCharType="end"/>
            </w:r>
            <w:r w:rsidRPr="004A129F">
              <w:fldChar w:fldCharType="separate"/>
            </w:r>
            <w:r w:rsidRPr="004A129F">
              <w:rPr>
                <w:noProof/>
                <w:sz w:val="24"/>
                <w:szCs w:val="24"/>
              </w:rPr>
              <w:t>[5]</w:t>
            </w:r>
            <w:r w:rsidRPr="004A129F">
              <w:fldChar w:fldCharType="end"/>
            </w:r>
          </w:p>
        </w:tc>
      </w:tr>
      <w:tr w:rsidR="004A129F" w:rsidRPr="004A129F" w14:paraId="07D81F3F" w14:textId="77777777" w:rsidTr="00D5729D">
        <w:trPr>
          <w:jc w:val="center"/>
        </w:trPr>
        <w:tc>
          <w:tcPr>
            <w:tcW w:w="173" w:type="pct"/>
          </w:tcPr>
          <w:p w14:paraId="22142002" w14:textId="2469914A" w:rsidR="00D5729D" w:rsidRPr="004A129F" w:rsidRDefault="00D5729D" w:rsidP="002E5D3F">
            <w:pPr>
              <w:pStyle w:val="NormalWeb"/>
              <w:spacing w:line="360" w:lineRule="auto"/>
              <w:jc w:val="both"/>
            </w:pPr>
            <w:r w:rsidRPr="004A129F">
              <w:t>6</w:t>
            </w:r>
          </w:p>
        </w:tc>
        <w:tc>
          <w:tcPr>
            <w:tcW w:w="591" w:type="pct"/>
          </w:tcPr>
          <w:p w14:paraId="1D7BE252" w14:textId="0294D09F" w:rsidR="00D5729D" w:rsidRPr="004A129F" w:rsidRDefault="00D5729D" w:rsidP="002E5D3F">
            <w:pPr>
              <w:pStyle w:val="NormalWeb"/>
              <w:spacing w:line="360" w:lineRule="auto"/>
              <w:jc w:val="both"/>
              <w:rPr>
                <w:sz w:val="24"/>
                <w:szCs w:val="24"/>
              </w:rPr>
            </w:pPr>
            <w:r w:rsidRPr="004A129F">
              <w:rPr>
                <w:sz w:val="24"/>
                <w:szCs w:val="24"/>
              </w:rPr>
              <w:t>Chel Hun Choi 1, Hyun Jin Choi 2, Jeong-Won Lee 1, et al</w:t>
            </w:r>
          </w:p>
        </w:tc>
        <w:tc>
          <w:tcPr>
            <w:tcW w:w="328" w:type="pct"/>
          </w:tcPr>
          <w:p w14:paraId="34A630AB" w14:textId="149C6530" w:rsidR="00D5729D" w:rsidRPr="004A129F" w:rsidRDefault="00D5729D" w:rsidP="002E5D3F">
            <w:pPr>
              <w:pStyle w:val="NormalWeb"/>
              <w:spacing w:line="360" w:lineRule="auto"/>
              <w:jc w:val="both"/>
              <w:rPr>
                <w:sz w:val="24"/>
                <w:szCs w:val="24"/>
              </w:rPr>
            </w:pPr>
            <w:r w:rsidRPr="004A129F">
              <w:rPr>
                <w:sz w:val="24"/>
                <w:szCs w:val="24"/>
              </w:rPr>
              <w:t>11</w:t>
            </w:r>
          </w:p>
        </w:tc>
        <w:tc>
          <w:tcPr>
            <w:tcW w:w="548" w:type="pct"/>
          </w:tcPr>
          <w:p w14:paraId="66A5D188" w14:textId="52EBF879" w:rsidR="00D5729D" w:rsidRPr="004A129F" w:rsidRDefault="00D5729D" w:rsidP="002E5D3F">
            <w:pPr>
              <w:spacing w:line="360" w:lineRule="auto"/>
              <w:jc w:val="both"/>
              <w:rPr>
                <w:rStyle w:val="fontstyle01"/>
                <w:rFonts w:ascii="Times New Roman" w:hAnsi="Times New Roman" w:cs="Times New Roman"/>
                <w:color w:val="auto"/>
                <w:sz w:val="24"/>
                <w:szCs w:val="24"/>
              </w:rPr>
            </w:pPr>
            <w:r w:rsidRPr="004A129F">
              <w:rPr>
                <w:rFonts w:ascii="Times New Roman" w:hAnsi="Times New Roman" w:cs="Times New Roman"/>
                <w:sz w:val="24"/>
                <w:szCs w:val="24"/>
              </w:rPr>
              <w:t>BVAC-C</w:t>
            </w:r>
          </w:p>
        </w:tc>
        <w:tc>
          <w:tcPr>
            <w:tcW w:w="328" w:type="pct"/>
          </w:tcPr>
          <w:p w14:paraId="02643E34" w14:textId="25D00A29" w:rsidR="00D5729D" w:rsidRPr="004A129F" w:rsidRDefault="00D5729D" w:rsidP="002E5D3F">
            <w:pPr>
              <w:spacing w:line="360" w:lineRule="auto"/>
              <w:jc w:val="both"/>
              <w:rPr>
                <w:rStyle w:val="fontstyle01"/>
                <w:rFonts w:ascii="Times New Roman" w:hAnsi="Times New Roman" w:cs="Times New Roman"/>
                <w:color w:val="auto"/>
                <w:sz w:val="24"/>
                <w:szCs w:val="24"/>
              </w:rPr>
            </w:pPr>
            <w:r w:rsidRPr="004A129F">
              <w:rPr>
                <w:rStyle w:val="fontstyle01"/>
                <w:rFonts w:ascii="Times New Roman" w:hAnsi="Times New Roman" w:cs="Times New Roman"/>
                <w:color w:val="auto"/>
                <w:sz w:val="24"/>
                <w:szCs w:val="24"/>
              </w:rPr>
              <w:t>Phase I</w:t>
            </w:r>
          </w:p>
        </w:tc>
        <w:tc>
          <w:tcPr>
            <w:tcW w:w="2737" w:type="pct"/>
          </w:tcPr>
          <w:p w14:paraId="5AB304AA" w14:textId="57B12CA0" w:rsidR="00D5729D" w:rsidRPr="004A129F" w:rsidRDefault="00D5729D" w:rsidP="002E5D3F">
            <w:pPr>
              <w:spacing w:line="360" w:lineRule="auto"/>
              <w:jc w:val="both"/>
              <w:rPr>
                <w:rStyle w:val="fontstyle01"/>
                <w:rFonts w:ascii="Times New Roman" w:hAnsi="Times New Roman" w:cs="Times New Roman"/>
                <w:color w:val="auto"/>
                <w:sz w:val="24"/>
                <w:szCs w:val="24"/>
              </w:rPr>
            </w:pPr>
            <w:r w:rsidRPr="004A129F">
              <w:rPr>
                <w:rFonts w:ascii="Times New Roman" w:hAnsi="Times New Roman" w:cs="Times New Roman"/>
                <w:sz w:val="24"/>
                <w:szCs w:val="24"/>
              </w:rPr>
              <w:t>BVAC-C induced the activation of natural killer T cells, natural killer cells, and HPV 16/18 E6/E7-specific T cells upon vaccination in all patients evaluated. BVAC-C was well tolerated and demonstrated a durable anti-tumor activity with an immune response in HPV 16-positive or 18-positive recurrent cervical carcinoma patients</w:t>
            </w:r>
          </w:p>
        </w:tc>
        <w:tc>
          <w:tcPr>
            <w:tcW w:w="295" w:type="pct"/>
          </w:tcPr>
          <w:p w14:paraId="20C6DB4F" w14:textId="6574F839"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&lt;EndNote&gt;&lt;Cite&gt;&lt;Author&gt;Choi&lt;/Author&gt;&lt;Year&gt;2020&lt;/Year&gt;&lt;RecNum&gt;12&lt;/RecNum&gt;&lt;DisplayText&gt;[6]&lt;/DisplayText&gt;&lt;record&gt;&lt;rec-number&gt;12&lt;/rec-number&gt;&lt;foreign-keys&gt;&lt;key app="EN" db-id="s2sttzetzetpave5s2e5tve655rraxdp02r5" timestamp="1723986898"&gt;12&lt;/key&gt;&lt;/foreign-keys&gt;&lt;ref-type name="Journal Article"&gt;17&lt;/ref-type&gt;&lt;contributors&gt;&lt;authors&gt;&lt;author&gt;Choi, Chel Hun&lt;/author&gt;&lt;author&gt;Choi, Hyun Jin&lt;/author&gt;&lt;author&gt;Lee, Jeong-Won&lt;/author&gt;&lt;author&gt;Kang, Eun-Suk&lt;/author&gt;&lt;author&gt;Cho, Duck&lt;/author&gt;&lt;author&gt;Park, Byung Kwan&lt;/author&gt;&lt;author&gt;Kim, Yong-Man&lt;/author&gt;&lt;author&gt;Kim, Dae-Yeon&lt;/author&gt;&lt;author&gt;Seo, Hyungseok&lt;/author&gt;&lt;author&gt;Park, Myunghwan&lt;/author&gt;&lt;/authors&gt;&lt;/contributors&gt;&lt;titles&gt;&lt;title&gt;Phase I study of a B cell-based and monocyte-based immunotherapeutic vaccine, BVAC-C in human papillomavirus type 16-or 18-positive recurrent cervical cancer&lt;/title&gt;&lt;secondary-title&gt;Journal of Clinical Medicine&lt;/secondary-title&gt;&lt;/titles&gt;&lt;pages&gt;147&lt;/pages&gt;&lt;volume&gt;9&lt;/volume&gt;&lt;number&gt;1&lt;/number&gt;&lt;dates&gt;&lt;year&gt;2020&lt;/year&gt;&lt;/dates&gt;&lt;isbn&gt;2077-0383&lt;/isbn&gt;&lt;urls&gt;&lt;related-urls&gt;&lt;url&gt;https://mdpi-res.com/d_attachment/jcm/jcm-09-00147/article_deploy/jcm-09-00147-v2.pdf?version=1579597083&lt;/url&gt;&lt;/related-urls&gt;&lt;/urls&gt;&lt;/record&gt;&lt;/Cite&gt;&lt;/EndNote&gt;</w:instrText>
            </w:r>
            <w:r w:rsidRPr="004A129F">
              <w:fldChar w:fldCharType="separate"/>
            </w:r>
            <w:r w:rsidRPr="004A129F">
              <w:rPr>
                <w:noProof/>
                <w:sz w:val="24"/>
                <w:szCs w:val="24"/>
              </w:rPr>
              <w:t>[6]</w:t>
            </w:r>
            <w:r w:rsidRPr="004A129F">
              <w:fldChar w:fldCharType="end"/>
            </w:r>
          </w:p>
        </w:tc>
      </w:tr>
      <w:tr w:rsidR="004A129F" w:rsidRPr="004A129F" w14:paraId="59B4AECD" w14:textId="77777777" w:rsidTr="00D5729D">
        <w:trPr>
          <w:jc w:val="center"/>
        </w:trPr>
        <w:tc>
          <w:tcPr>
            <w:tcW w:w="173" w:type="pct"/>
          </w:tcPr>
          <w:p w14:paraId="5A7450FA" w14:textId="00F77950" w:rsidR="00D5729D" w:rsidRPr="004A129F" w:rsidRDefault="00D5729D" w:rsidP="002E5D3F">
            <w:pPr>
              <w:pStyle w:val="NormalWeb"/>
              <w:spacing w:line="360" w:lineRule="auto"/>
              <w:jc w:val="both"/>
            </w:pPr>
            <w:r w:rsidRPr="004A129F">
              <w:t>7</w:t>
            </w:r>
          </w:p>
        </w:tc>
        <w:tc>
          <w:tcPr>
            <w:tcW w:w="591" w:type="pct"/>
          </w:tcPr>
          <w:p w14:paraId="391F2DA1" w14:textId="31D5DF2E" w:rsidR="00D5729D" w:rsidRPr="004A129F" w:rsidRDefault="00D5729D" w:rsidP="002E5D3F">
            <w:pPr>
              <w:pStyle w:val="NormalWeb"/>
              <w:spacing w:line="360" w:lineRule="auto"/>
              <w:jc w:val="both"/>
              <w:rPr>
                <w:sz w:val="24"/>
                <w:szCs w:val="24"/>
              </w:rPr>
            </w:pPr>
            <w:r w:rsidRPr="004A129F">
              <w:rPr>
                <w:sz w:val="24"/>
                <w:szCs w:val="24"/>
              </w:rPr>
              <w:t>Tae Jin Kim</w:t>
            </w:r>
            <w:r w:rsidRPr="004A129F">
              <w:rPr>
                <w:sz w:val="24"/>
                <w:szCs w:val="24"/>
                <w:vertAlign w:val="superscript"/>
              </w:rPr>
              <w:t>1</w:t>
            </w:r>
            <w:r w:rsidRPr="004A129F">
              <w:rPr>
                <w:sz w:val="24"/>
                <w:szCs w:val="24"/>
              </w:rPr>
              <w:t>, *, Hyun-Tak Jin</w:t>
            </w:r>
            <w:r w:rsidRPr="004A129F">
              <w:rPr>
                <w:sz w:val="24"/>
                <w:szCs w:val="24"/>
                <w:vertAlign w:val="superscript"/>
              </w:rPr>
              <w:t>2, *</w:t>
            </w:r>
            <w:r w:rsidRPr="004A129F">
              <w:rPr>
                <w:sz w:val="24"/>
                <w:szCs w:val="24"/>
              </w:rPr>
              <w:t>, Soo-Young Hur3, et al</w:t>
            </w:r>
          </w:p>
        </w:tc>
        <w:tc>
          <w:tcPr>
            <w:tcW w:w="328" w:type="pct"/>
          </w:tcPr>
          <w:p w14:paraId="7C26484F" w14:textId="615ED7E7" w:rsidR="00D5729D" w:rsidRPr="004A129F" w:rsidRDefault="00D5729D" w:rsidP="002E5D3F">
            <w:pPr>
              <w:pStyle w:val="NormalWeb"/>
              <w:spacing w:line="360" w:lineRule="auto"/>
              <w:jc w:val="both"/>
              <w:rPr>
                <w:sz w:val="24"/>
                <w:szCs w:val="24"/>
              </w:rPr>
            </w:pPr>
            <w:r w:rsidRPr="004A129F">
              <w:rPr>
                <w:sz w:val="24"/>
                <w:szCs w:val="24"/>
              </w:rPr>
              <w:t>9</w:t>
            </w:r>
          </w:p>
        </w:tc>
        <w:tc>
          <w:tcPr>
            <w:tcW w:w="548" w:type="pct"/>
          </w:tcPr>
          <w:p w14:paraId="63B10232" w14:textId="4E46B4D3"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GX-188E</w:t>
            </w:r>
          </w:p>
        </w:tc>
        <w:tc>
          <w:tcPr>
            <w:tcW w:w="328" w:type="pct"/>
          </w:tcPr>
          <w:p w14:paraId="18AE2FFA" w14:textId="750D5FB6" w:rsidR="00D5729D" w:rsidRPr="004A129F" w:rsidRDefault="00D5729D" w:rsidP="002E5D3F">
            <w:pPr>
              <w:spacing w:line="360" w:lineRule="auto"/>
              <w:jc w:val="both"/>
              <w:rPr>
                <w:rStyle w:val="fontstyle01"/>
                <w:rFonts w:ascii="Times New Roman" w:hAnsi="Times New Roman" w:cs="Times New Roman"/>
                <w:color w:val="auto"/>
                <w:sz w:val="24"/>
                <w:szCs w:val="24"/>
              </w:rPr>
            </w:pPr>
            <w:r w:rsidRPr="004A129F">
              <w:rPr>
                <w:rStyle w:val="fontstyle01"/>
                <w:rFonts w:ascii="Times New Roman" w:hAnsi="Times New Roman" w:cs="Times New Roman"/>
                <w:color w:val="auto"/>
                <w:sz w:val="24"/>
                <w:szCs w:val="24"/>
              </w:rPr>
              <w:t xml:space="preserve">Cohort </w:t>
            </w:r>
          </w:p>
        </w:tc>
        <w:tc>
          <w:tcPr>
            <w:tcW w:w="2737" w:type="pct"/>
          </w:tcPr>
          <w:p w14:paraId="6D734E4D" w14:textId="3FE90809"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 xml:space="preserve">Elicits a significant E6/E7-specific IFN-g-producing T-cell response in all nine cervical intraepithelial neoplasia 3 (CIN3) patients. Importantly, eight out of nine patients exhibit an enhanced polyfunctional HPV-specific CD8 T-cell response as shown by an increase in cytolytic activity, proliferative capacity and secretion of effector molecules. Notably, seven out of nine patients display complete regression of their lesions and viral clearance within 36 weeks of follow up. </w:t>
            </w:r>
          </w:p>
        </w:tc>
        <w:tc>
          <w:tcPr>
            <w:tcW w:w="295" w:type="pct"/>
          </w:tcPr>
          <w:p w14:paraId="7B8FE0EC" w14:textId="77777777" w:rsidR="00D5729D" w:rsidRPr="004A129F" w:rsidRDefault="00D5729D" w:rsidP="002E5D3F">
            <w:pPr>
              <w:pStyle w:val="NormalWeb"/>
              <w:spacing w:line="360" w:lineRule="auto"/>
              <w:jc w:val="both"/>
              <w:rPr>
                <w:sz w:val="24"/>
                <w:szCs w:val="24"/>
              </w:rPr>
            </w:pPr>
          </w:p>
        </w:tc>
      </w:tr>
      <w:tr w:rsidR="004A129F" w:rsidRPr="004A129F" w14:paraId="3A107903" w14:textId="77777777" w:rsidTr="00D5729D">
        <w:trPr>
          <w:jc w:val="center"/>
        </w:trPr>
        <w:tc>
          <w:tcPr>
            <w:tcW w:w="173" w:type="pct"/>
          </w:tcPr>
          <w:p w14:paraId="0C2B1CFB" w14:textId="618B8C23" w:rsidR="00D5729D" w:rsidRPr="004A129F" w:rsidRDefault="00D5729D" w:rsidP="002E5D3F">
            <w:pPr>
              <w:pStyle w:val="NormalWeb"/>
              <w:spacing w:line="360" w:lineRule="auto"/>
              <w:jc w:val="both"/>
            </w:pPr>
            <w:r w:rsidRPr="004A129F">
              <w:t>8</w:t>
            </w:r>
          </w:p>
        </w:tc>
        <w:tc>
          <w:tcPr>
            <w:tcW w:w="591" w:type="pct"/>
          </w:tcPr>
          <w:p w14:paraId="1EB86B6F" w14:textId="3B5377E3" w:rsidR="00D5729D" w:rsidRPr="004A129F" w:rsidRDefault="00D5729D" w:rsidP="002E5D3F">
            <w:pPr>
              <w:pStyle w:val="NormalWeb"/>
              <w:spacing w:line="360" w:lineRule="auto"/>
              <w:jc w:val="both"/>
              <w:rPr>
                <w:sz w:val="24"/>
                <w:szCs w:val="24"/>
              </w:rPr>
            </w:pPr>
            <w:proofErr w:type="spellStart"/>
            <w:r w:rsidRPr="004A129F">
              <w:rPr>
                <w:sz w:val="24"/>
                <w:szCs w:val="24"/>
              </w:rPr>
              <w:t>Sanja</w:t>
            </w:r>
            <w:proofErr w:type="spellEnd"/>
            <w:r w:rsidRPr="004A129F">
              <w:rPr>
                <w:sz w:val="24"/>
                <w:szCs w:val="24"/>
              </w:rPr>
              <w:t xml:space="preserve"> </w:t>
            </w:r>
            <w:proofErr w:type="spellStart"/>
            <w:r w:rsidRPr="004A129F">
              <w:rPr>
                <w:sz w:val="24"/>
                <w:szCs w:val="24"/>
              </w:rPr>
              <w:t>Stevanovi´c</w:t>
            </w:r>
            <w:proofErr w:type="spellEnd"/>
            <w:r w:rsidRPr="004A129F">
              <w:rPr>
                <w:sz w:val="24"/>
                <w:szCs w:val="24"/>
              </w:rPr>
              <w:t>, Lindsey M. Draper, Michelle M. Langhan, et al</w:t>
            </w:r>
          </w:p>
        </w:tc>
        <w:tc>
          <w:tcPr>
            <w:tcW w:w="328" w:type="pct"/>
          </w:tcPr>
          <w:p w14:paraId="23FE4210" w14:textId="7B2B3C0D" w:rsidR="00D5729D" w:rsidRPr="004A129F" w:rsidRDefault="00D5729D" w:rsidP="002E5D3F">
            <w:pPr>
              <w:pStyle w:val="NormalWeb"/>
              <w:spacing w:line="360" w:lineRule="auto"/>
              <w:jc w:val="both"/>
              <w:rPr>
                <w:sz w:val="24"/>
                <w:szCs w:val="24"/>
              </w:rPr>
            </w:pPr>
            <w:r w:rsidRPr="004A129F">
              <w:rPr>
                <w:sz w:val="24"/>
                <w:szCs w:val="24"/>
              </w:rPr>
              <w:t>9</w:t>
            </w:r>
          </w:p>
        </w:tc>
        <w:tc>
          <w:tcPr>
            <w:tcW w:w="548" w:type="pct"/>
          </w:tcPr>
          <w:p w14:paraId="6C393740" w14:textId="407C482A"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Adoptive T-cell therapy (ACT)</w:t>
            </w:r>
          </w:p>
        </w:tc>
        <w:tc>
          <w:tcPr>
            <w:tcW w:w="328" w:type="pct"/>
          </w:tcPr>
          <w:p w14:paraId="6A09917A" w14:textId="1BFF6D35" w:rsidR="00D5729D" w:rsidRPr="004A129F" w:rsidRDefault="00D5729D" w:rsidP="002E5D3F">
            <w:pPr>
              <w:spacing w:line="360" w:lineRule="auto"/>
              <w:jc w:val="both"/>
              <w:rPr>
                <w:rStyle w:val="fontstyle01"/>
                <w:rFonts w:ascii="Times New Roman" w:hAnsi="Times New Roman" w:cs="Times New Roman"/>
                <w:color w:val="auto"/>
                <w:sz w:val="24"/>
                <w:szCs w:val="24"/>
              </w:rPr>
            </w:pPr>
            <w:r w:rsidRPr="004A129F">
              <w:rPr>
                <w:rStyle w:val="fontstyle01"/>
                <w:rFonts w:ascii="Times New Roman" w:hAnsi="Times New Roman" w:cs="Times New Roman"/>
                <w:color w:val="auto"/>
                <w:sz w:val="24"/>
                <w:szCs w:val="24"/>
              </w:rPr>
              <w:t>Cohort</w:t>
            </w:r>
          </w:p>
        </w:tc>
        <w:tc>
          <w:tcPr>
            <w:tcW w:w="2737" w:type="pct"/>
          </w:tcPr>
          <w:p w14:paraId="0C1EDFA6" w14:textId="1DA5A29C"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 xml:space="preserve">Three of nine patients experienced objective tumor responses (two complete responses and one partial response). The two complete responses were ongoing 22 and 15 months after treatment, respectively. One partial response was 3 months in duration. The HPV reactivity of T cells in the infusion product (as measured by interferon gamma production, enzyme-linked </w:t>
            </w:r>
            <w:proofErr w:type="spellStart"/>
            <w:r w:rsidRPr="004A129F">
              <w:rPr>
                <w:rFonts w:ascii="Times New Roman" w:hAnsi="Times New Roman" w:cs="Times New Roman"/>
                <w:sz w:val="24"/>
                <w:szCs w:val="24"/>
              </w:rPr>
              <w:t>immunospot</w:t>
            </w:r>
            <w:proofErr w:type="spellEnd"/>
            <w:r w:rsidRPr="004A129F">
              <w:rPr>
                <w:rFonts w:ascii="Times New Roman" w:hAnsi="Times New Roman" w:cs="Times New Roman"/>
                <w:sz w:val="24"/>
                <w:szCs w:val="24"/>
              </w:rPr>
              <w:t>, and CD137 upregulation assays) correlated positively with clinical response (P=0.0238 for all three assays). In addition, the frequency of HPV-reactive T cells in peripheral blood 1 month after treatment was positively associated with clinical response (P=0.0238)</w:t>
            </w:r>
          </w:p>
        </w:tc>
        <w:tc>
          <w:tcPr>
            <w:tcW w:w="295" w:type="pct"/>
          </w:tcPr>
          <w:p w14:paraId="17768D1E" w14:textId="77777777" w:rsidR="00D5729D" w:rsidRPr="004A129F" w:rsidRDefault="00D5729D" w:rsidP="002E5D3F">
            <w:pPr>
              <w:pStyle w:val="NormalWeb"/>
              <w:spacing w:line="360" w:lineRule="auto"/>
              <w:jc w:val="both"/>
              <w:rPr>
                <w:sz w:val="24"/>
                <w:szCs w:val="24"/>
              </w:rPr>
            </w:pPr>
          </w:p>
        </w:tc>
      </w:tr>
      <w:tr w:rsidR="004A129F" w:rsidRPr="004A129F" w14:paraId="4A48CFBC" w14:textId="77777777" w:rsidTr="00D5729D">
        <w:trPr>
          <w:jc w:val="center"/>
        </w:trPr>
        <w:tc>
          <w:tcPr>
            <w:tcW w:w="173" w:type="pct"/>
          </w:tcPr>
          <w:p w14:paraId="380645C2" w14:textId="418C118D" w:rsidR="00D5729D" w:rsidRPr="004A129F" w:rsidRDefault="00D5729D" w:rsidP="002E5D3F">
            <w:pPr>
              <w:pStyle w:val="NormalWeb"/>
              <w:spacing w:line="360" w:lineRule="auto"/>
              <w:jc w:val="both"/>
            </w:pPr>
            <w:r w:rsidRPr="004A129F">
              <w:t>9</w:t>
            </w:r>
          </w:p>
        </w:tc>
        <w:tc>
          <w:tcPr>
            <w:tcW w:w="591" w:type="pct"/>
          </w:tcPr>
          <w:p w14:paraId="513A0937" w14:textId="6D0370AB" w:rsidR="00D5729D" w:rsidRPr="004A129F" w:rsidRDefault="00D5729D" w:rsidP="002E5D3F">
            <w:pPr>
              <w:pStyle w:val="NormalWeb"/>
              <w:spacing w:line="360" w:lineRule="auto"/>
              <w:jc w:val="both"/>
              <w:rPr>
                <w:sz w:val="24"/>
                <w:szCs w:val="24"/>
              </w:rPr>
            </w:pPr>
            <w:r w:rsidRPr="004A129F">
              <w:rPr>
                <w:sz w:val="24"/>
                <w:szCs w:val="24"/>
              </w:rPr>
              <w:t>S Daayana</w:t>
            </w:r>
            <w:r w:rsidRPr="004A129F">
              <w:rPr>
                <w:sz w:val="24"/>
                <w:szCs w:val="24"/>
                <w:vertAlign w:val="superscript"/>
              </w:rPr>
              <w:t>1,2</w:t>
            </w:r>
            <w:r w:rsidRPr="004A129F">
              <w:rPr>
                <w:sz w:val="24"/>
                <w:szCs w:val="24"/>
              </w:rPr>
              <w:t>, E Elkord</w:t>
            </w:r>
            <w:r w:rsidRPr="004A129F">
              <w:rPr>
                <w:sz w:val="24"/>
                <w:szCs w:val="24"/>
                <w:vertAlign w:val="superscript"/>
              </w:rPr>
              <w:t>2</w:t>
            </w:r>
            <w:r w:rsidRPr="004A129F">
              <w:rPr>
                <w:sz w:val="24"/>
                <w:szCs w:val="24"/>
              </w:rPr>
              <w:t>, U Winters</w:t>
            </w:r>
            <w:r w:rsidRPr="004A129F">
              <w:rPr>
                <w:sz w:val="24"/>
                <w:szCs w:val="24"/>
                <w:vertAlign w:val="superscript"/>
              </w:rPr>
              <w:t>1,2</w:t>
            </w:r>
            <w:r w:rsidRPr="004A129F">
              <w:rPr>
                <w:sz w:val="24"/>
                <w:szCs w:val="24"/>
              </w:rPr>
              <w:t>, et al.</w:t>
            </w:r>
          </w:p>
        </w:tc>
        <w:tc>
          <w:tcPr>
            <w:tcW w:w="328" w:type="pct"/>
          </w:tcPr>
          <w:p w14:paraId="3A805E2B" w14:textId="0652A79F" w:rsidR="00D5729D" w:rsidRPr="004A129F" w:rsidRDefault="00D5729D" w:rsidP="002E5D3F">
            <w:pPr>
              <w:pStyle w:val="NormalWeb"/>
              <w:spacing w:line="360" w:lineRule="auto"/>
              <w:jc w:val="both"/>
              <w:rPr>
                <w:sz w:val="24"/>
                <w:szCs w:val="24"/>
              </w:rPr>
            </w:pPr>
            <w:r w:rsidRPr="004A129F">
              <w:rPr>
                <w:sz w:val="24"/>
                <w:szCs w:val="24"/>
              </w:rPr>
              <w:t>19</w:t>
            </w:r>
          </w:p>
        </w:tc>
        <w:tc>
          <w:tcPr>
            <w:tcW w:w="548" w:type="pct"/>
          </w:tcPr>
          <w:p w14:paraId="69A973A1" w14:textId="029DC924"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TA-CIN, fusion protein HPV16 E6E7L2</w:t>
            </w:r>
          </w:p>
        </w:tc>
        <w:tc>
          <w:tcPr>
            <w:tcW w:w="328" w:type="pct"/>
          </w:tcPr>
          <w:p w14:paraId="24C5E9CA" w14:textId="4623F625" w:rsidR="00D5729D" w:rsidRPr="004A129F" w:rsidRDefault="00D5729D" w:rsidP="002E5D3F">
            <w:pPr>
              <w:spacing w:line="360" w:lineRule="auto"/>
              <w:jc w:val="both"/>
              <w:rPr>
                <w:rStyle w:val="fontstyle01"/>
                <w:rFonts w:ascii="Times New Roman" w:hAnsi="Times New Roman" w:cs="Times New Roman"/>
                <w:color w:val="auto"/>
                <w:sz w:val="24"/>
                <w:szCs w:val="24"/>
              </w:rPr>
            </w:pPr>
            <w:r w:rsidRPr="004A129F">
              <w:rPr>
                <w:rStyle w:val="fontstyle01"/>
                <w:rFonts w:ascii="Times New Roman" w:hAnsi="Times New Roman" w:cs="Times New Roman"/>
                <w:color w:val="auto"/>
                <w:sz w:val="24"/>
                <w:szCs w:val="24"/>
              </w:rPr>
              <w:t>Phase II</w:t>
            </w:r>
          </w:p>
        </w:tc>
        <w:tc>
          <w:tcPr>
            <w:tcW w:w="2737" w:type="pct"/>
          </w:tcPr>
          <w:p w14:paraId="57A6BF5A" w14:textId="7C3515E4"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Lesion response (complete regression of CIN on histology) was observed in 32% (6 out of 19) of women at week 10, increasing to 58% (11 out of 19) at week 20 and 63% (12 out of 19) at week 52. At this time, 36% (5 out of 14) of lesions showed HPV16 clearance and 79% (15 out of 19) of women were symptom free. At week 20, after treatment with imiquimod and vaccination, there was significantly increased local infiltration of CD8 and CD4 T cells in lesion responders; in contrast, non-responders (persistent CIN by histology) showed an increased density of T regulatory cells. After vaccination, only lesion responders had significantly increased lympho-proliferation to the HPV vaccine antigens</w:t>
            </w:r>
          </w:p>
        </w:tc>
        <w:tc>
          <w:tcPr>
            <w:tcW w:w="295" w:type="pct"/>
          </w:tcPr>
          <w:p w14:paraId="3307B8C9" w14:textId="7A7A54C8"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&lt;EndNote&gt;&lt;Cite&gt;&lt;Author&gt;Daayana&lt;/Author&gt;&lt;Year&gt;2010&lt;/Year&gt;&lt;RecNum&gt;22&lt;/RecNum&gt;&lt;DisplayText&gt;[7]&lt;/DisplayText&gt;&lt;record&gt;&lt;rec-number&gt;22&lt;/rec-number&gt;&lt;foreign-keys&gt;&lt;key app="EN" db-id="s2sttzetzetpave5s2e5tve655rraxdp02r5" timestamp="1723987246"&gt;22&lt;/key&gt;&lt;/foreign-keys&gt;&lt;ref-type name="Journal Article"&gt;17&lt;/ref-type&gt;&lt;contributors&gt;&lt;authors&gt;&lt;author&gt;Daayana, Sai&lt;/author&gt;&lt;author&gt;Elkord, Eyad&lt;/author&gt;&lt;author&gt;Winters, U&lt;/author&gt;&lt;author&gt;Pawlita, M&lt;/author&gt;&lt;author&gt;Roden, R&lt;/author&gt;&lt;author&gt;Stern, Peter L&lt;/author&gt;&lt;author&gt;Kitchener, Henry C&lt;/author&gt;&lt;/authors&gt;&lt;/contributors&gt;&lt;titles&gt;&lt;title&gt;Phase II trial of imiquimod and HPV therapeutic vaccination in patients with vulval intraepithelial neoplasia&lt;/title&gt;&lt;secondary-title&gt;British journal of cancer&lt;/secondary-title&gt;&lt;/titles&gt;&lt;pages&gt;1129-1136&lt;/pages&gt;&lt;volume&gt;102&lt;/volume&gt;&lt;number&gt;7&lt;/number&gt;&lt;dates&gt;&lt;year&gt;2010&lt;/year&gt;&lt;/dates&gt;&lt;isbn&gt;1532-1827&lt;/isbn&gt;&lt;urls&gt;&lt;related-urls&gt;&lt;url&gt;https://www.nature.com/articles/6605611.pdf&lt;/url&gt;&lt;/related-urls&gt;&lt;/urls&gt;&lt;/record&gt;&lt;/Cite&gt;&lt;/EndNote&gt;</w:instrText>
            </w:r>
            <w:r w:rsidRPr="004A129F">
              <w:fldChar w:fldCharType="separate"/>
            </w:r>
            <w:r w:rsidRPr="004A129F">
              <w:rPr>
                <w:noProof/>
                <w:sz w:val="24"/>
                <w:szCs w:val="24"/>
              </w:rPr>
              <w:t>[7]</w:t>
            </w:r>
            <w:r w:rsidRPr="004A129F">
              <w:fldChar w:fldCharType="end"/>
            </w:r>
          </w:p>
        </w:tc>
      </w:tr>
      <w:tr w:rsidR="004A129F" w:rsidRPr="004A129F" w14:paraId="31404BC5" w14:textId="77777777" w:rsidTr="00D5729D">
        <w:trPr>
          <w:jc w:val="center"/>
        </w:trPr>
        <w:tc>
          <w:tcPr>
            <w:tcW w:w="173" w:type="pct"/>
          </w:tcPr>
          <w:p w14:paraId="4C415233" w14:textId="4934C57D" w:rsidR="00D5729D" w:rsidRPr="004A129F" w:rsidRDefault="00D5729D" w:rsidP="002E5D3F">
            <w:pPr>
              <w:pStyle w:val="NormalWeb"/>
              <w:spacing w:line="360" w:lineRule="auto"/>
              <w:jc w:val="both"/>
            </w:pPr>
            <w:r w:rsidRPr="004A129F">
              <w:t>10</w:t>
            </w:r>
          </w:p>
        </w:tc>
        <w:tc>
          <w:tcPr>
            <w:tcW w:w="591" w:type="pct"/>
          </w:tcPr>
          <w:p w14:paraId="7F0EE028" w14:textId="24902839" w:rsidR="00D5729D" w:rsidRPr="004A129F" w:rsidRDefault="00D5729D" w:rsidP="002E5D3F">
            <w:pPr>
              <w:pStyle w:val="NormalWeb"/>
              <w:spacing w:line="360" w:lineRule="auto"/>
              <w:jc w:val="both"/>
              <w:rPr>
                <w:sz w:val="24"/>
                <w:szCs w:val="24"/>
              </w:rPr>
            </w:pPr>
            <w:r w:rsidRPr="004A129F">
              <w:rPr>
                <w:sz w:val="24"/>
                <w:szCs w:val="24"/>
              </w:rPr>
              <w:t>Frank M Speetjens,</w:t>
            </w:r>
            <w:r w:rsidRPr="004A129F">
              <w:rPr>
                <w:sz w:val="24"/>
                <w:szCs w:val="24"/>
                <w:vertAlign w:val="superscript"/>
              </w:rPr>
              <w:t>1</w:t>
            </w:r>
            <w:r w:rsidRPr="004A129F">
              <w:rPr>
                <w:sz w:val="24"/>
                <w:szCs w:val="24"/>
              </w:rPr>
              <w:t xml:space="preserve"> Marij J P Welters,</w:t>
            </w:r>
            <w:r w:rsidRPr="004A129F">
              <w:rPr>
                <w:sz w:val="24"/>
                <w:szCs w:val="24"/>
                <w:vertAlign w:val="superscript"/>
              </w:rPr>
              <w:t>2</w:t>
            </w:r>
            <w:r w:rsidRPr="004A129F">
              <w:rPr>
                <w:sz w:val="24"/>
                <w:szCs w:val="24"/>
              </w:rPr>
              <w:t xml:space="preserve"> Marije Slingerland,</w:t>
            </w:r>
            <w:r w:rsidRPr="004A129F">
              <w:rPr>
                <w:sz w:val="24"/>
                <w:szCs w:val="24"/>
                <w:vertAlign w:val="superscript"/>
              </w:rPr>
              <w:t xml:space="preserve">1 </w:t>
            </w:r>
            <w:r w:rsidRPr="004A129F">
              <w:rPr>
                <w:sz w:val="24"/>
                <w:szCs w:val="24"/>
              </w:rPr>
              <w:t>et al.</w:t>
            </w:r>
          </w:p>
        </w:tc>
        <w:tc>
          <w:tcPr>
            <w:tcW w:w="328" w:type="pct"/>
          </w:tcPr>
          <w:p w14:paraId="78BA6BFE" w14:textId="5EDEA403" w:rsidR="00D5729D" w:rsidRPr="004A129F" w:rsidRDefault="00D5729D" w:rsidP="002E5D3F">
            <w:pPr>
              <w:pStyle w:val="NormalWeb"/>
              <w:spacing w:line="360" w:lineRule="auto"/>
              <w:jc w:val="both"/>
              <w:rPr>
                <w:sz w:val="24"/>
                <w:szCs w:val="24"/>
              </w:rPr>
            </w:pPr>
            <w:r w:rsidRPr="004A129F">
              <w:rPr>
                <w:sz w:val="24"/>
                <w:szCs w:val="24"/>
              </w:rPr>
              <w:t>25</w:t>
            </w:r>
          </w:p>
        </w:tc>
        <w:tc>
          <w:tcPr>
            <w:tcW w:w="548" w:type="pct"/>
          </w:tcPr>
          <w:p w14:paraId="22CDED15" w14:textId="152F59CF" w:rsidR="00D5729D" w:rsidRPr="004A129F" w:rsidRDefault="00D5729D" w:rsidP="002E5D3F">
            <w:pPr>
              <w:spacing w:line="360" w:lineRule="auto"/>
              <w:jc w:val="both"/>
              <w:rPr>
                <w:rFonts w:ascii="Times New Roman" w:hAnsi="Times New Roman" w:cs="Times New Roman"/>
                <w:sz w:val="24"/>
                <w:szCs w:val="24"/>
              </w:rPr>
            </w:pPr>
            <w:proofErr w:type="spellStart"/>
            <w:r w:rsidRPr="004A129F">
              <w:rPr>
                <w:rFonts w:ascii="Times New Roman" w:hAnsi="Times New Roman" w:cs="Times New Roman"/>
                <w:sz w:val="24"/>
                <w:szCs w:val="24"/>
              </w:rPr>
              <w:t>Amplivant</w:t>
            </w:r>
            <w:proofErr w:type="spellEnd"/>
            <w:r w:rsidRPr="004A129F">
              <w:rPr>
                <w:rFonts w:ascii="Times New Roman" w:hAnsi="Times New Roman" w:cs="Times New Roman"/>
                <w:sz w:val="24"/>
                <w:szCs w:val="24"/>
              </w:rPr>
              <w:t>-conjugated HPV16- SLP</w:t>
            </w:r>
          </w:p>
        </w:tc>
        <w:tc>
          <w:tcPr>
            <w:tcW w:w="328" w:type="pct"/>
          </w:tcPr>
          <w:p w14:paraId="510CF134" w14:textId="77CA19DF" w:rsidR="00D5729D" w:rsidRPr="004A129F" w:rsidRDefault="00D5729D" w:rsidP="002E5D3F">
            <w:pPr>
              <w:spacing w:line="360" w:lineRule="auto"/>
              <w:jc w:val="both"/>
              <w:rPr>
                <w:rStyle w:val="fontstyle01"/>
                <w:rFonts w:ascii="Times New Roman" w:hAnsi="Times New Roman" w:cs="Times New Roman"/>
                <w:color w:val="auto"/>
                <w:sz w:val="24"/>
                <w:szCs w:val="24"/>
              </w:rPr>
            </w:pPr>
            <w:r w:rsidRPr="004A129F">
              <w:rPr>
                <w:rStyle w:val="fontstyle01"/>
                <w:rFonts w:ascii="Times New Roman" w:hAnsi="Times New Roman" w:cs="Times New Roman"/>
                <w:color w:val="auto"/>
                <w:sz w:val="24"/>
                <w:szCs w:val="24"/>
              </w:rPr>
              <w:t>Phase I</w:t>
            </w:r>
          </w:p>
        </w:tc>
        <w:tc>
          <w:tcPr>
            <w:tcW w:w="2737" w:type="pct"/>
          </w:tcPr>
          <w:p w14:paraId="788E4907" w14:textId="358C5BD8"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All patients displayed a strong HPV16-specific T cell response after vaccination. These HPV16-specific T cell responses lasted until the end of the trial.</w:t>
            </w:r>
          </w:p>
        </w:tc>
        <w:tc>
          <w:tcPr>
            <w:tcW w:w="295" w:type="pct"/>
          </w:tcPr>
          <w:p w14:paraId="05949C64" w14:textId="3153000B"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&lt;EndNote&gt;&lt;Cite&gt;&lt;Author&gt;Speetjens&lt;/Author&gt;&lt;Year&gt;2022&lt;/Year&gt;&lt;RecNum&gt;16&lt;/RecNum&gt;&lt;DisplayText&gt;[8]&lt;/DisplayText&gt;&lt;record&gt;&lt;rec-number&gt;16&lt;/rec-number&gt;&lt;foreign-keys&gt;&lt;key app="EN" db-id="s2sttzetzetpave5s2e5tve655rraxdp02r5" timestamp="1723987044"&gt;16&lt;/key&gt;&lt;/foreign-keys&gt;&lt;ref-type name="Journal Article"&gt;17&lt;/ref-type&gt;&lt;contributors&gt;&lt;authors&gt;&lt;author&gt;Speetjens, Frank M&lt;/author&gt;&lt;author&gt;Welters, Marij JP&lt;/author&gt;&lt;author&gt;Slingerland, Marije&lt;/author&gt;&lt;author&gt;van Poelgeest, Mariette IE&lt;/author&gt;&lt;author&gt;van Steenwijk, Peggy J de Vos&lt;/author&gt;&lt;author&gt;Roozen, Inge&lt;/author&gt;&lt;author&gt;Boekestijn, Sanne&lt;/author&gt;&lt;author&gt;Loof, Nikki M&lt;/author&gt;&lt;author&gt;Zom, Gijs G&lt;/author&gt;&lt;author&gt;Valentijn, A Rob PM&lt;/author&gt;&lt;/authors&gt;&lt;/contributors&gt;&lt;titles&gt;&lt;title&gt;Intradermal vaccination of HPV-16 E6 synthetic peptides conjugated to an optimized Toll-like receptor 2 ligand shows safety and potent T cell immunogenicity in patients with HPV-16 positive (pre-) malignant lesions&lt;/title&gt;&lt;secondary-title&gt;Journal for ImmunoTherapy of Cancer&lt;/secondary-title&gt;&lt;/titles&gt;&lt;volume&gt;10&lt;/volume&gt;&lt;number&gt;10&lt;/number&gt;&lt;dates&gt;&lt;year&gt;2022&lt;/year&gt;&lt;/dates&gt;&lt;urls&gt;&lt;/urls&gt;&lt;/record&gt;&lt;/Cite&gt;&lt;/EndNote&gt;</w:instrText>
            </w:r>
            <w:r w:rsidRPr="004A129F">
              <w:fldChar w:fldCharType="separate"/>
            </w:r>
            <w:r w:rsidRPr="004A129F">
              <w:rPr>
                <w:noProof/>
                <w:sz w:val="24"/>
                <w:szCs w:val="24"/>
              </w:rPr>
              <w:t>[8]</w:t>
            </w:r>
            <w:r w:rsidRPr="004A129F">
              <w:fldChar w:fldCharType="end"/>
            </w:r>
          </w:p>
        </w:tc>
      </w:tr>
      <w:tr w:rsidR="004A129F" w:rsidRPr="004A129F" w14:paraId="23167429" w14:textId="77777777" w:rsidTr="00D5729D">
        <w:trPr>
          <w:jc w:val="center"/>
        </w:trPr>
        <w:tc>
          <w:tcPr>
            <w:tcW w:w="173" w:type="pct"/>
          </w:tcPr>
          <w:p w14:paraId="43AF48D6" w14:textId="111CF075" w:rsidR="00D5729D" w:rsidRPr="004A129F" w:rsidRDefault="00D5729D" w:rsidP="002E5D3F">
            <w:pPr>
              <w:pStyle w:val="NormalWeb"/>
              <w:spacing w:line="360" w:lineRule="auto"/>
              <w:jc w:val="both"/>
            </w:pPr>
            <w:r w:rsidRPr="004A129F">
              <w:t>11</w:t>
            </w:r>
          </w:p>
        </w:tc>
        <w:tc>
          <w:tcPr>
            <w:tcW w:w="591" w:type="pct"/>
          </w:tcPr>
          <w:p w14:paraId="5E92D263" w14:textId="00FB4C6B" w:rsidR="00D5729D" w:rsidRPr="004A129F" w:rsidRDefault="00D5729D" w:rsidP="002E5D3F">
            <w:pPr>
              <w:pStyle w:val="NormalWeb"/>
              <w:spacing w:line="360" w:lineRule="auto"/>
              <w:jc w:val="both"/>
              <w:rPr>
                <w:sz w:val="24"/>
                <w:szCs w:val="24"/>
              </w:rPr>
            </w:pPr>
            <w:r w:rsidRPr="004A129F">
              <w:rPr>
                <w:sz w:val="24"/>
                <w:szCs w:val="24"/>
              </w:rPr>
              <w:t>Fenne L. Komdeur,</w:t>
            </w:r>
            <w:r w:rsidRPr="004A129F">
              <w:rPr>
                <w:sz w:val="24"/>
                <w:szCs w:val="24"/>
                <w:vertAlign w:val="superscript"/>
              </w:rPr>
              <w:t>1,6</w:t>
            </w:r>
            <w:r w:rsidRPr="004A129F">
              <w:rPr>
                <w:sz w:val="24"/>
                <w:szCs w:val="24"/>
              </w:rPr>
              <w:t xml:space="preserve"> Amrita Singh,</w:t>
            </w:r>
            <w:r w:rsidRPr="004A129F">
              <w:rPr>
                <w:sz w:val="24"/>
                <w:szCs w:val="24"/>
                <w:vertAlign w:val="superscript"/>
              </w:rPr>
              <w:t>2,6</w:t>
            </w:r>
            <w:r w:rsidRPr="004A129F">
              <w:rPr>
                <w:sz w:val="24"/>
                <w:szCs w:val="24"/>
              </w:rPr>
              <w:t xml:space="preserve"> Stephanie van de Wall,</w:t>
            </w:r>
            <w:r w:rsidRPr="004A129F">
              <w:rPr>
                <w:sz w:val="24"/>
                <w:szCs w:val="24"/>
                <w:vertAlign w:val="superscript"/>
              </w:rPr>
              <w:t>2</w:t>
            </w:r>
            <w:r w:rsidRPr="004A129F">
              <w:rPr>
                <w:sz w:val="24"/>
                <w:szCs w:val="24"/>
              </w:rPr>
              <w:t>, et al.</w:t>
            </w:r>
          </w:p>
        </w:tc>
        <w:tc>
          <w:tcPr>
            <w:tcW w:w="328" w:type="pct"/>
          </w:tcPr>
          <w:p w14:paraId="419E13E1" w14:textId="571A26B4" w:rsidR="00D5729D" w:rsidRPr="004A129F" w:rsidRDefault="00D5729D" w:rsidP="002E5D3F">
            <w:pPr>
              <w:pStyle w:val="NormalWeb"/>
              <w:spacing w:line="360" w:lineRule="auto"/>
              <w:jc w:val="both"/>
              <w:rPr>
                <w:sz w:val="24"/>
                <w:szCs w:val="24"/>
              </w:rPr>
            </w:pPr>
            <w:r w:rsidRPr="004A129F">
              <w:rPr>
                <w:sz w:val="24"/>
                <w:szCs w:val="24"/>
              </w:rPr>
              <w:t>12</w:t>
            </w:r>
          </w:p>
        </w:tc>
        <w:tc>
          <w:tcPr>
            <w:tcW w:w="548" w:type="pct"/>
          </w:tcPr>
          <w:p w14:paraId="686D7880" w14:textId="6737DA96"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SFV-Based RNA Replicon Cancer Vaccine (Vvax001)</w:t>
            </w:r>
          </w:p>
        </w:tc>
        <w:tc>
          <w:tcPr>
            <w:tcW w:w="328" w:type="pct"/>
          </w:tcPr>
          <w:p w14:paraId="4AB4B791" w14:textId="1B4B407A" w:rsidR="00D5729D" w:rsidRPr="004A129F" w:rsidRDefault="00D5729D" w:rsidP="002E5D3F">
            <w:pPr>
              <w:spacing w:line="360" w:lineRule="auto"/>
              <w:jc w:val="both"/>
              <w:rPr>
                <w:rStyle w:val="fontstyle01"/>
                <w:rFonts w:ascii="Times New Roman" w:hAnsi="Times New Roman" w:cs="Times New Roman"/>
                <w:color w:val="auto"/>
                <w:sz w:val="24"/>
                <w:szCs w:val="24"/>
              </w:rPr>
            </w:pPr>
            <w:r w:rsidRPr="004A129F">
              <w:rPr>
                <w:rStyle w:val="fontstyle01"/>
                <w:rFonts w:ascii="Times New Roman" w:hAnsi="Times New Roman" w:cs="Times New Roman"/>
                <w:color w:val="auto"/>
                <w:sz w:val="24"/>
                <w:szCs w:val="24"/>
              </w:rPr>
              <w:t>Phase 1</w:t>
            </w:r>
          </w:p>
        </w:tc>
        <w:tc>
          <w:tcPr>
            <w:tcW w:w="2737" w:type="pct"/>
          </w:tcPr>
          <w:p w14:paraId="11F31330" w14:textId="77065410"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Immunization with Vvax001 resulted in both CD4+ and CD8+ T cell responses against E6 and E7 antigens. Even the lowest dose of 5×10</w:t>
            </w:r>
            <w:r w:rsidRPr="004A129F">
              <w:rPr>
                <w:rFonts w:ascii="Times New Roman" w:hAnsi="Times New Roman" w:cs="Times New Roman"/>
                <w:sz w:val="24"/>
                <w:szCs w:val="24"/>
                <w:vertAlign w:val="superscript"/>
              </w:rPr>
              <w:t>5</w:t>
            </w:r>
            <w:r w:rsidRPr="004A129F">
              <w:rPr>
                <w:rFonts w:ascii="Times New Roman" w:hAnsi="Times New Roman" w:cs="Times New Roman"/>
                <w:sz w:val="24"/>
                <w:szCs w:val="24"/>
              </w:rPr>
              <w:t xml:space="preserve"> infectious particles elicited E6/E7-specific interferon (IFN)-g responses in all participants. Overall, immunization resulted in positive vaccine-induced immune responses in 12 of 12 participants in one or more assays performed. </w:t>
            </w:r>
          </w:p>
        </w:tc>
        <w:tc>
          <w:tcPr>
            <w:tcW w:w="295" w:type="pct"/>
          </w:tcPr>
          <w:p w14:paraId="3533E64A" w14:textId="25808360"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&lt;EndNote&gt;&lt;Cite&gt;&lt;Author&gt;Komdeur&lt;/Author&gt;&lt;Year&gt;2021&lt;/Year&gt;&lt;RecNum&gt;15&lt;/RecNum&gt;&lt;DisplayText&gt;[9]&lt;/DisplayText&gt;&lt;record&gt;&lt;rec-number&gt;15&lt;/rec-number&gt;&lt;foreign-keys&gt;&lt;key app="EN" db-id="s2sttzetzetpave5s2e5tve655rraxdp02r5" timestamp="1723987002"&gt;15&lt;/key&gt;&lt;/foreign-keys&gt;&lt;ref-type name="Journal Article"&gt;17&lt;/ref-type&gt;&lt;contributors&gt;&lt;authors&gt;&lt;author&gt;Komdeur, Fenne L&lt;/author&gt;&lt;author&gt;Singh, Amrita&lt;/author&gt;&lt;author&gt;van de Wall, Stephanie&lt;/author&gt;&lt;author&gt;Meulenberg, Janneke JM&lt;/author&gt;&lt;author&gt;Boerma, Annemarie&lt;/author&gt;&lt;author&gt;Hoogeboom, Baukje Nynke&lt;/author&gt;&lt;author&gt;Paijens, Sterre T&lt;/author&gt;&lt;author&gt;Oyarce, Cesar&lt;/author&gt;&lt;author&gt;de Bruyn, Marco&lt;/author&gt;&lt;author&gt;Schuuring, Ed&lt;/author&gt;&lt;/authors&gt;&lt;/contributors&gt;&lt;titles&gt;&lt;title&gt;First-in-human phase I clinical trial of an SFV-based RNA replicon cancer vaccine against HPV-induced cancers&lt;/title&gt;&lt;secondary-title&gt;Molecular therapy&lt;/secondary-title&gt;&lt;/titles&gt;&lt;pages&gt;611-625&lt;/pages&gt;&lt;volume&gt;29&lt;/volume&gt;&lt;number&gt;2&lt;/number&gt;&lt;dates&gt;&lt;year&gt;2021&lt;/year&gt;&lt;/dates&gt;&lt;isbn&gt;1525-0016&lt;/isbn&gt;&lt;urls&gt;&lt;related-urls&gt;&lt;url&gt;https://www.ncbi.nlm.nih.gov/pmc/articles/PMC7854293/pdf/main.pdf&lt;/url&gt;&lt;/related-urls&gt;&lt;/urls&gt;&lt;/record&gt;&lt;/Cite&gt;&lt;/EndNote&gt;</w:instrText>
            </w:r>
            <w:r w:rsidRPr="004A129F">
              <w:fldChar w:fldCharType="separate"/>
            </w:r>
            <w:r w:rsidRPr="004A129F">
              <w:rPr>
                <w:noProof/>
                <w:sz w:val="24"/>
                <w:szCs w:val="24"/>
              </w:rPr>
              <w:t>[9]</w:t>
            </w:r>
            <w:r w:rsidRPr="004A129F">
              <w:fldChar w:fldCharType="end"/>
            </w:r>
          </w:p>
        </w:tc>
      </w:tr>
      <w:tr w:rsidR="004A129F" w:rsidRPr="004A129F" w14:paraId="444C62B3" w14:textId="77777777" w:rsidTr="00D5729D">
        <w:trPr>
          <w:jc w:val="center"/>
        </w:trPr>
        <w:tc>
          <w:tcPr>
            <w:tcW w:w="173" w:type="pct"/>
          </w:tcPr>
          <w:p w14:paraId="6B320BD9" w14:textId="5264A4FD" w:rsidR="00D5729D" w:rsidRPr="004A129F" w:rsidRDefault="00D5729D" w:rsidP="002E5D3F">
            <w:pPr>
              <w:pStyle w:val="NormalWeb"/>
              <w:spacing w:line="360" w:lineRule="auto"/>
              <w:jc w:val="both"/>
            </w:pPr>
            <w:r w:rsidRPr="004A129F">
              <w:t>12</w:t>
            </w:r>
          </w:p>
        </w:tc>
        <w:tc>
          <w:tcPr>
            <w:tcW w:w="591" w:type="pct"/>
          </w:tcPr>
          <w:p w14:paraId="78603B23" w14:textId="368A1AC7" w:rsidR="00D5729D" w:rsidRPr="004A129F" w:rsidRDefault="00D5729D" w:rsidP="002E5D3F">
            <w:pPr>
              <w:pStyle w:val="NormalWeb"/>
              <w:spacing w:line="360" w:lineRule="auto"/>
              <w:jc w:val="both"/>
              <w:rPr>
                <w:sz w:val="24"/>
                <w:szCs w:val="24"/>
              </w:rPr>
            </w:pPr>
            <w:r w:rsidRPr="004A129F">
              <w:rPr>
                <w:sz w:val="24"/>
                <w:szCs w:val="24"/>
              </w:rPr>
              <w:t xml:space="preserve">Jean-Luc </w:t>
            </w:r>
            <w:proofErr w:type="spellStart"/>
            <w:r w:rsidRPr="004A129F">
              <w:rPr>
                <w:sz w:val="24"/>
                <w:szCs w:val="24"/>
              </w:rPr>
              <w:t>Brun</w:t>
            </w:r>
            <w:proofErr w:type="spellEnd"/>
            <w:r w:rsidRPr="004A129F">
              <w:rPr>
                <w:sz w:val="24"/>
                <w:szCs w:val="24"/>
              </w:rPr>
              <w:t xml:space="preserve">, MD; </w:t>
            </w:r>
            <w:proofErr w:type="spellStart"/>
            <w:r w:rsidRPr="004A129F">
              <w:rPr>
                <w:sz w:val="24"/>
                <w:szCs w:val="24"/>
              </w:rPr>
              <w:t>Véronique</w:t>
            </w:r>
            <w:proofErr w:type="spellEnd"/>
            <w:r w:rsidRPr="004A129F">
              <w:rPr>
                <w:sz w:val="24"/>
                <w:szCs w:val="24"/>
              </w:rPr>
              <w:t xml:space="preserve"> </w:t>
            </w:r>
            <w:proofErr w:type="spellStart"/>
            <w:r w:rsidRPr="004A129F">
              <w:rPr>
                <w:sz w:val="24"/>
                <w:szCs w:val="24"/>
              </w:rPr>
              <w:t>Dalstein</w:t>
            </w:r>
            <w:proofErr w:type="spellEnd"/>
            <w:r w:rsidRPr="004A129F">
              <w:rPr>
                <w:sz w:val="24"/>
                <w:szCs w:val="24"/>
              </w:rPr>
              <w:t>, PhD, et al.</w:t>
            </w:r>
          </w:p>
        </w:tc>
        <w:tc>
          <w:tcPr>
            <w:tcW w:w="328" w:type="pct"/>
          </w:tcPr>
          <w:p w14:paraId="1EC9B483" w14:textId="6C5D0C22" w:rsidR="00D5729D" w:rsidRPr="004A129F" w:rsidRDefault="00D5729D" w:rsidP="002E5D3F">
            <w:pPr>
              <w:pStyle w:val="NormalWeb"/>
              <w:spacing w:line="360" w:lineRule="auto"/>
              <w:jc w:val="both"/>
              <w:rPr>
                <w:sz w:val="24"/>
                <w:szCs w:val="24"/>
              </w:rPr>
            </w:pPr>
            <w:r w:rsidRPr="004A129F">
              <w:rPr>
                <w:sz w:val="24"/>
                <w:szCs w:val="24"/>
              </w:rPr>
              <w:t>21</w:t>
            </w:r>
          </w:p>
        </w:tc>
        <w:tc>
          <w:tcPr>
            <w:tcW w:w="548" w:type="pct"/>
          </w:tcPr>
          <w:p w14:paraId="3B1ED6BD" w14:textId="324A7F16"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TG4001</w:t>
            </w:r>
          </w:p>
        </w:tc>
        <w:tc>
          <w:tcPr>
            <w:tcW w:w="328" w:type="pct"/>
          </w:tcPr>
          <w:p w14:paraId="2920DFA3" w14:textId="796CD44C" w:rsidR="00D5729D" w:rsidRPr="004A129F" w:rsidRDefault="00D5729D" w:rsidP="002E5D3F">
            <w:pPr>
              <w:spacing w:line="360" w:lineRule="auto"/>
              <w:jc w:val="both"/>
              <w:rPr>
                <w:rStyle w:val="fontstyle01"/>
                <w:rFonts w:ascii="Times New Roman" w:hAnsi="Times New Roman" w:cs="Times New Roman"/>
                <w:color w:val="auto"/>
                <w:sz w:val="24"/>
                <w:szCs w:val="24"/>
              </w:rPr>
            </w:pPr>
            <w:r w:rsidRPr="004A129F">
              <w:rPr>
                <w:rStyle w:val="fontstyle01"/>
                <w:rFonts w:ascii="Times New Roman" w:hAnsi="Times New Roman" w:cs="Times New Roman"/>
                <w:color w:val="auto"/>
                <w:sz w:val="24"/>
                <w:szCs w:val="24"/>
              </w:rPr>
              <w:t>Phase II</w:t>
            </w:r>
          </w:p>
        </w:tc>
        <w:tc>
          <w:tcPr>
            <w:tcW w:w="2737" w:type="pct"/>
          </w:tcPr>
          <w:p w14:paraId="6D3034EC" w14:textId="514B59D9"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 xml:space="preserve">Ten patients (48%) were evaluated as clinical responders at month 6. Nine patients experienced an improvement of their HPV 16 infection, by mRNA DNA eradication. HPV 16 mRNA clearance was associated with CIN 2/3 </w:t>
            </w:r>
            <w:proofErr w:type="spellStart"/>
            <w:r w:rsidRPr="004A129F">
              <w:rPr>
                <w:rFonts w:ascii="Times New Roman" w:hAnsi="Times New Roman" w:cs="Times New Roman"/>
                <w:sz w:val="24"/>
                <w:szCs w:val="24"/>
              </w:rPr>
              <w:t>cytologic</w:t>
            </w:r>
            <w:proofErr w:type="spellEnd"/>
            <w:r w:rsidRPr="004A129F">
              <w:rPr>
                <w:rFonts w:ascii="Times New Roman" w:hAnsi="Times New Roman" w:cs="Times New Roman"/>
                <w:sz w:val="24"/>
                <w:szCs w:val="24"/>
              </w:rPr>
              <w:t xml:space="preserve"> and </w:t>
            </w:r>
            <w:proofErr w:type="spellStart"/>
            <w:r w:rsidRPr="004A129F">
              <w:rPr>
                <w:rFonts w:ascii="Times New Roman" w:hAnsi="Times New Roman" w:cs="Times New Roman"/>
                <w:sz w:val="24"/>
                <w:szCs w:val="24"/>
              </w:rPr>
              <w:t>colposcopic</w:t>
            </w:r>
            <w:proofErr w:type="spellEnd"/>
            <w:r w:rsidRPr="004A129F">
              <w:rPr>
                <w:rFonts w:ascii="Times New Roman" w:hAnsi="Times New Roman" w:cs="Times New Roman"/>
                <w:sz w:val="24"/>
                <w:szCs w:val="24"/>
              </w:rPr>
              <w:t xml:space="preserve"> regression in 7 of 10 patients. At month 12, 7 of 8 patients without conization reported neither suspicion of CIN 2/3 relapse nor HPV 16 infection. The remaining patient was lost to follow-up.</w:t>
            </w:r>
          </w:p>
        </w:tc>
        <w:tc>
          <w:tcPr>
            <w:tcW w:w="295" w:type="pct"/>
          </w:tcPr>
          <w:p w14:paraId="6D6B313A" w14:textId="1B700D89"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&lt;EndNote&gt;&lt;Cite&gt;&lt;Author&gt;Brun&lt;/Author&gt;&lt;Year&gt;2011&lt;/Year&gt;&lt;RecNum&gt;17&lt;/RecNum&gt;&lt;DisplayText&gt;[10]&lt;/DisplayText&gt;&lt;record&gt;&lt;rec-number&gt;17&lt;/rec-number&gt;&lt;foreign-keys&gt;&lt;key app="EN" db-id="s2sttzetzetpave5s2e5tve655rraxdp02r5" timestamp="1723987070"&gt;17&lt;/key&gt;&lt;/foreign-keys&gt;&lt;ref-type name="Journal Article"&gt;17&lt;/ref-type&gt;&lt;contributors&gt;&lt;authors&gt;&lt;author&gt;Brun, Jean-Luc&lt;/author&gt;&lt;author&gt;Dalstein, Véronique&lt;/author&gt;&lt;author&gt;Leveque, Jean&lt;/author&gt;&lt;author&gt;Mathevet, Patrice&lt;/author&gt;&lt;author&gt;Raulic, Patrick&lt;/author&gt;&lt;author&gt;Baldauf, Jean-Jacques&lt;/author&gt;&lt;author&gt;Scholl, Suzy&lt;/author&gt;&lt;author&gt;Huynh, Bernard&lt;/author&gt;&lt;author&gt;Douvier, Serge&lt;/author&gt;&lt;author&gt;Riethmuller, Didier&lt;/author&gt;&lt;/authors&gt;&lt;/contributors&gt;&lt;titles&gt;&lt;title&gt;Regression of high-grade cervical intraepithelial neoplasia with TG4001 targeted immunotherapy&lt;/title&gt;&lt;secondary-title&gt;American journal of obstetrics and gynecology&lt;/secondary-title&gt;&lt;/titles&gt;&lt;pages&gt;169. e1-169. e8&lt;/pages&gt;&lt;volume&gt;204&lt;/volume&gt;&lt;number&gt;2&lt;/number&gt;&lt;dates&gt;&lt;year&gt;2011&lt;/year&gt;&lt;/dates&gt;&lt;isbn&gt;0002-9378&lt;/isbn&gt;&lt;urls&gt;&lt;/urls&gt;&lt;/record&gt;&lt;/Cite&gt;&lt;/EndNote&gt;</w:instrText>
            </w:r>
            <w:r w:rsidRPr="004A129F">
              <w:fldChar w:fldCharType="separate"/>
            </w:r>
            <w:r w:rsidRPr="004A129F">
              <w:rPr>
                <w:noProof/>
                <w:sz w:val="24"/>
                <w:szCs w:val="24"/>
              </w:rPr>
              <w:t>[10]</w:t>
            </w:r>
            <w:r w:rsidRPr="004A129F">
              <w:fldChar w:fldCharType="end"/>
            </w:r>
          </w:p>
        </w:tc>
      </w:tr>
      <w:tr w:rsidR="004A129F" w:rsidRPr="004A129F" w14:paraId="18597519" w14:textId="77777777" w:rsidTr="00D5729D">
        <w:trPr>
          <w:jc w:val="center"/>
        </w:trPr>
        <w:tc>
          <w:tcPr>
            <w:tcW w:w="173" w:type="pct"/>
          </w:tcPr>
          <w:p w14:paraId="0AAE6267" w14:textId="5FE46F93" w:rsidR="00D5729D" w:rsidRPr="004A129F" w:rsidRDefault="00D5729D" w:rsidP="002E5D3F">
            <w:pPr>
              <w:pStyle w:val="NormalWeb"/>
              <w:spacing w:line="360" w:lineRule="auto"/>
              <w:jc w:val="both"/>
            </w:pPr>
            <w:r w:rsidRPr="004A129F">
              <w:t>13</w:t>
            </w:r>
          </w:p>
        </w:tc>
        <w:tc>
          <w:tcPr>
            <w:tcW w:w="591" w:type="pct"/>
          </w:tcPr>
          <w:p w14:paraId="02F7BE55" w14:textId="79FD6F93" w:rsidR="00D5729D" w:rsidRPr="004A129F" w:rsidRDefault="00D5729D" w:rsidP="002E5D3F">
            <w:pPr>
              <w:pStyle w:val="NormalWeb"/>
              <w:spacing w:line="360" w:lineRule="auto"/>
              <w:jc w:val="both"/>
              <w:rPr>
                <w:sz w:val="24"/>
                <w:szCs w:val="24"/>
              </w:rPr>
            </w:pPr>
            <w:r w:rsidRPr="004A129F">
              <w:rPr>
                <w:sz w:val="24"/>
                <w:szCs w:val="24"/>
              </w:rPr>
              <w:t xml:space="preserve">C. L. Trimble, M. P. Morrow, K. A. </w:t>
            </w:r>
            <w:proofErr w:type="spellStart"/>
            <w:r w:rsidRPr="004A129F">
              <w:rPr>
                <w:sz w:val="24"/>
                <w:szCs w:val="24"/>
              </w:rPr>
              <w:t>Kraynyak</w:t>
            </w:r>
            <w:proofErr w:type="spellEnd"/>
            <w:r w:rsidRPr="004A129F">
              <w:rPr>
                <w:sz w:val="24"/>
                <w:szCs w:val="24"/>
              </w:rPr>
              <w:t>, et al</w:t>
            </w:r>
          </w:p>
        </w:tc>
        <w:tc>
          <w:tcPr>
            <w:tcW w:w="328" w:type="pct"/>
          </w:tcPr>
          <w:p w14:paraId="754D777A" w14:textId="75AE066D" w:rsidR="00D5729D" w:rsidRPr="004A129F" w:rsidRDefault="00D5729D" w:rsidP="002E5D3F">
            <w:pPr>
              <w:pStyle w:val="NormalWeb"/>
              <w:spacing w:line="360" w:lineRule="auto"/>
              <w:jc w:val="both"/>
              <w:rPr>
                <w:sz w:val="24"/>
                <w:szCs w:val="24"/>
              </w:rPr>
            </w:pPr>
            <w:r w:rsidRPr="004A129F">
              <w:rPr>
                <w:sz w:val="24"/>
                <w:szCs w:val="24"/>
              </w:rPr>
              <w:t>107</w:t>
            </w:r>
          </w:p>
        </w:tc>
        <w:tc>
          <w:tcPr>
            <w:tcW w:w="548" w:type="pct"/>
          </w:tcPr>
          <w:p w14:paraId="37ED70CB" w14:textId="3B2DE5E6"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VGX-3100</w:t>
            </w:r>
          </w:p>
        </w:tc>
        <w:tc>
          <w:tcPr>
            <w:tcW w:w="328" w:type="pct"/>
          </w:tcPr>
          <w:p w14:paraId="2B0CF4B0" w14:textId="06475316" w:rsidR="00D5729D" w:rsidRPr="004A129F" w:rsidRDefault="00D5729D" w:rsidP="002E5D3F">
            <w:pPr>
              <w:spacing w:line="360" w:lineRule="auto"/>
              <w:jc w:val="both"/>
              <w:rPr>
                <w:rStyle w:val="fontstyle01"/>
                <w:rFonts w:ascii="Times New Roman" w:hAnsi="Times New Roman" w:cs="Times New Roman"/>
                <w:color w:val="auto"/>
                <w:sz w:val="24"/>
                <w:szCs w:val="24"/>
              </w:rPr>
            </w:pPr>
            <w:r w:rsidRPr="004A129F">
              <w:rPr>
                <w:rFonts w:ascii="Times New Roman" w:hAnsi="Times New Roman" w:cs="Times New Roman"/>
                <w:sz w:val="24"/>
                <w:szCs w:val="24"/>
              </w:rPr>
              <w:t>Phase 2b</w:t>
            </w:r>
          </w:p>
        </w:tc>
        <w:tc>
          <w:tcPr>
            <w:tcW w:w="2737" w:type="pct"/>
          </w:tcPr>
          <w:p w14:paraId="06CE5316" w14:textId="5BF3AFA5"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 xml:space="preserve">In post-hoc efficacy analyses, histopathological regression to normal occurred in 43 (40.2%) of 107 VGX-3100 recipients. Viral clearance occurred in 56 (52.3%) of 107 VGX-3100 recipients. VGX-3100 recipients with histopathological regression were more likely to regress to normal (43/53, 81.1%). </w:t>
            </w:r>
          </w:p>
          <w:p w14:paraId="67E37D34" w14:textId="6E459753"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 xml:space="preserve">In post-hoc immunological analyses, T-cell responses to HPV-16 and HPV-18 E6 and E7 peaked at week 14 for VGX-3100 recipients. </w:t>
            </w:r>
          </w:p>
          <w:p w14:paraId="1D4724BC" w14:textId="53567DBB"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 xml:space="preserve">VGX-3100 elicited significantly increased frequencies of antigen-specific, activated CD8+ T cells. </w:t>
            </w:r>
          </w:p>
          <w:p w14:paraId="2B13CEB8" w14:textId="27A05321"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 xml:space="preserve">Humoral responses were also greater in VGX-3100 recipients VGX-3100 recipients with histopathological regression and viral clearance developed antibody responses to both HPV-16 and HPV-18 E7 that were significantly higher. </w:t>
            </w:r>
          </w:p>
        </w:tc>
        <w:tc>
          <w:tcPr>
            <w:tcW w:w="295" w:type="pct"/>
          </w:tcPr>
          <w:p w14:paraId="31EE26F6" w14:textId="1EEB8DF1"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&lt;EndNote&gt;&lt;Cite&gt;&lt;Author&gt;Trimble&lt;/Author&gt;&lt;Year&gt;2015&lt;/Year&gt;&lt;RecNum&gt;2&lt;/RecNum&gt;&lt;DisplayText&gt;[11]&lt;/DisplayText&gt;&lt;record&gt;&lt;rec-number&gt;2&lt;/rec-number&gt;&lt;foreign-keys&gt;&lt;key app="EN" db-id="s2sttzetzetpave5s2e5tve655rraxdp02r5" timestamp="1723985885"&gt;2&lt;/key&gt;&lt;/foreign-keys&gt;&lt;ref-type name="Journal Article"&gt;17&lt;/ref-type&gt;&lt;contributors&gt;&lt;authors&gt;&lt;author&gt;Trimble, Cornelia L&lt;/author&gt;&lt;author&gt;Morrow, Matthew P&lt;/author&gt;&lt;author&gt;Kraynyak, Kimberly A&lt;/author&gt;&lt;author&gt;Shen, Xuefei&lt;/author&gt;&lt;author&gt;Dallas, Michael&lt;/author&gt;&lt;author&gt;Yan, Jian&lt;/author&gt;&lt;author&gt;Edwards, Lance&lt;/author&gt;&lt;author&gt;Parker, R Lamar&lt;/author&gt;&lt;author&gt;Denny, Lynette&lt;/author&gt;&lt;author&gt;Giffear, Mary&lt;/author&gt;&lt;/authors&gt;&lt;/contributors&gt;&lt;titles&gt;&lt;title&gt;Safety, efficacy, and immunogenicity of VGX-3100, a therapeutic synthetic DNA vaccine targeting human papillomavirus 16 and 18 E6 and E7 proteins for cervical intraepithelial neoplasia 2/3: a randomised, double-blind, placebo-controlled phase 2b trial&lt;/title&gt;&lt;secondary-title&gt;The Lancet&lt;/secondary-title&gt;&lt;/titles&gt;&lt;pages&gt;2078-2088&lt;/pages&gt;&lt;volume&gt;386&lt;/volume&gt;&lt;number&gt;10008&lt;/number&gt;&lt;dates&gt;&lt;year&gt;2015&lt;/year&gt;&lt;/dates&gt;&lt;isbn&gt;0140-6736&lt;/isbn&gt;&lt;urls&gt;&lt;related-urls&gt;&lt;url&gt;https://www.ncbi.nlm.nih.gov/pmc/articles/PMC4888059/pdf/nihms787944.pdf&lt;/url&gt;&lt;/related-urls&gt;&lt;/urls&gt;&lt;/record&gt;&lt;/Cite&gt;&lt;/EndNote&gt;</w:instrText>
            </w:r>
            <w:r w:rsidRPr="004A129F">
              <w:fldChar w:fldCharType="separate"/>
            </w:r>
            <w:r w:rsidRPr="004A129F">
              <w:rPr>
                <w:noProof/>
                <w:sz w:val="24"/>
                <w:szCs w:val="24"/>
              </w:rPr>
              <w:t>[11]</w:t>
            </w:r>
            <w:r w:rsidRPr="004A129F">
              <w:fldChar w:fldCharType="end"/>
            </w:r>
          </w:p>
        </w:tc>
      </w:tr>
      <w:tr w:rsidR="004A129F" w:rsidRPr="004A129F" w14:paraId="0F6E7D6D" w14:textId="77777777" w:rsidTr="00D5729D">
        <w:trPr>
          <w:jc w:val="center"/>
        </w:trPr>
        <w:tc>
          <w:tcPr>
            <w:tcW w:w="173" w:type="pct"/>
          </w:tcPr>
          <w:p w14:paraId="5EE10412" w14:textId="690DD6CF" w:rsidR="00D5729D" w:rsidRPr="004A129F" w:rsidRDefault="00D5729D" w:rsidP="002E5D3F">
            <w:pPr>
              <w:pStyle w:val="NormalWeb"/>
              <w:spacing w:line="360" w:lineRule="auto"/>
              <w:jc w:val="both"/>
            </w:pPr>
            <w:r w:rsidRPr="004A129F">
              <w:t>14</w:t>
            </w:r>
          </w:p>
        </w:tc>
        <w:tc>
          <w:tcPr>
            <w:tcW w:w="591" w:type="pct"/>
          </w:tcPr>
          <w:p w14:paraId="7073AC16" w14:textId="5F01B09B" w:rsidR="00D5729D" w:rsidRPr="004A129F" w:rsidRDefault="00D5729D" w:rsidP="002E5D3F">
            <w:pPr>
              <w:pStyle w:val="NormalWeb"/>
              <w:spacing w:line="360" w:lineRule="auto"/>
              <w:jc w:val="both"/>
              <w:rPr>
                <w:sz w:val="24"/>
                <w:szCs w:val="24"/>
              </w:rPr>
            </w:pPr>
            <w:proofErr w:type="spellStart"/>
            <w:r w:rsidRPr="004A129F">
              <w:rPr>
                <w:sz w:val="24"/>
                <w:szCs w:val="24"/>
              </w:rPr>
              <w:t>Sanja</w:t>
            </w:r>
            <w:proofErr w:type="spellEnd"/>
            <w:r w:rsidRPr="004A129F">
              <w:rPr>
                <w:sz w:val="24"/>
                <w:szCs w:val="24"/>
              </w:rPr>
              <w:t xml:space="preserve"> </w:t>
            </w:r>
            <w:proofErr w:type="spellStart"/>
            <w:r w:rsidRPr="004A129F">
              <w:rPr>
                <w:sz w:val="24"/>
                <w:szCs w:val="24"/>
              </w:rPr>
              <w:t>Stevanovi´c</w:t>
            </w:r>
            <w:proofErr w:type="spellEnd"/>
            <w:r w:rsidRPr="004A129F">
              <w:rPr>
                <w:sz w:val="24"/>
                <w:szCs w:val="24"/>
              </w:rPr>
              <w:t>, Lindsey M. Draper, Michelle M. Langhan, et al.</w:t>
            </w:r>
          </w:p>
        </w:tc>
        <w:tc>
          <w:tcPr>
            <w:tcW w:w="328" w:type="pct"/>
          </w:tcPr>
          <w:p w14:paraId="209DCC65" w14:textId="52540BCD" w:rsidR="00D5729D" w:rsidRPr="004A129F" w:rsidRDefault="00D5729D" w:rsidP="002E5D3F">
            <w:pPr>
              <w:pStyle w:val="NormalWeb"/>
              <w:spacing w:line="360" w:lineRule="auto"/>
              <w:jc w:val="both"/>
              <w:rPr>
                <w:sz w:val="24"/>
                <w:szCs w:val="24"/>
              </w:rPr>
            </w:pPr>
            <w:r w:rsidRPr="004A129F">
              <w:rPr>
                <w:sz w:val="24"/>
                <w:szCs w:val="24"/>
              </w:rPr>
              <w:t>9</w:t>
            </w:r>
          </w:p>
        </w:tc>
        <w:tc>
          <w:tcPr>
            <w:tcW w:w="548" w:type="pct"/>
          </w:tcPr>
          <w:p w14:paraId="60B6F0AB" w14:textId="7B073D38"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Adoptive T-cell therapy (ACT)</w:t>
            </w:r>
          </w:p>
        </w:tc>
        <w:tc>
          <w:tcPr>
            <w:tcW w:w="328" w:type="pct"/>
          </w:tcPr>
          <w:p w14:paraId="653BAFE1" w14:textId="54514BB3"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Phase II</w:t>
            </w:r>
          </w:p>
        </w:tc>
        <w:tc>
          <w:tcPr>
            <w:tcW w:w="2737" w:type="pct"/>
          </w:tcPr>
          <w:p w14:paraId="3DD729D3" w14:textId="31CCC137"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 xml:space="preserve">Three of nine patients experienced objective tumor responses (two complete responses and one partial response). The two complete responses were ongoing 22 and 15 months after treatment, respectively. One partial response was 3 months in duration. The HPV reactivity of T cells in the infusion product (as measured by interferon gamma production, enzyme-linked </w:t>
            </w:r>
            <w:proofErr w:type="spellStart"/>
            <w:r w:rsidRPr="004A129F">
              <w:rPr>
                <w:rFonts w:ascii="Times New Roman" w:hAnsi="Times New Roman" w:cs="Times New Roman"/>
                <w:sz w:val="24"/>
                <w:szCs w:val="24"/>
              </w:rPr>
              <w:t>immunospot</w:t>
            </w:r>
            <w:proofErr w:type="spellEnd"/>
            <w:r w:rsidRPr="004A129F">
              <w:rPr>
                <w:rFonts w:ascii="Times New Roman" w:hAnsi="Times New Roman" w:cs="Times New Roman"/>
                <w:sz w:val="24"/>
                <w:szCs w:val="24"/>
              </w:rPr>
              <w:t>, and CD137 upregulation assays) correlated positively with clinical response (</w:t>
            </w:r>
            <w:r w:rsidRPr="004A129F">
              <w:rPr>
                <w:rFonts w:ascii="Times New Roman" w:hAnsi="Times New Roman" w:cs="Times New Roman"/>
                <w:i/>
                <w:iCs/>
                <w:sz w:val="24"/>
                <w:szCs w:val="24"/>
              </w:rPr>
              <w:t xml:space="preserve">P </w:t>
            </w:r>
            <w:r w:rsidRPr="004A129F">
              <w:rPr>
                <w:rFonts w:ascii="Times New Roman" w:hAnsi="Times New Roman" w:cs="Times New Roman"/>
                <w:sz w:val="24"/>
                <w:szCs w:val="24"/>
              </w:rPr>
              <w:t>5 .0238 for all three assays). In addition, the frequency of HPV-reactive T cells in peripheral blood 1 month after treatment was positively associated with clinical response (</w:t>
            </w:r>
            <w:r w:rsidRPr="004A129F">
              <w:rPr>
                <w:rFonts w:ascii="Times New Roman" w:hAnsi="Times New Roman" w:cs="Times New Roman"/>
                <w:i/>
                <w:iCs/>
                <w:sz w:val="24"/>
                <w:szCs w:val="24"/>
              </w:rPr>
              <w:t xml:space="preserve">P </w:t>
            </w:r>
            <w:r w:rsidRPr="004A129F">
              <w:rPr>
                <w:rFonts w:ascii="Times New Roman" w:hAnsi="Times New Roman" w:cs="Times New Roman"/>
                <w:sz w:val="24"/>
                <w:szCs w:val="24"/>
              </w:rPr>
              <w:t>5 .0238)</w:t>
            </w:r>
          </w:p>
        </w:tc>
        <w:tc>
          <w:tcPr>
            <w:tcW w:w="295" w:type="pct"/>
          </w:tcPr>
          <w:p w14:paraId="026C4A64" w14:textId="212EBCF6"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&lt;EndNote&gt;&lt;Cite&gt;&lt;Author&gt;Stevanović&lt;/Author&gt;&lt;Year&gt;2015&lt;/Year&gt;&lt;RecNum&gt;18&lt;/RecNum&gt;&lt;DisplayText&gt;[12]&lt;/DisplayText&gt;&lt;record&gt;&lt;rec-number&gt;18&lt;/rec-number&gt;&lt;foreign-keys&gt;&lt;key app="EN" db-id="s2sttzetzetpave5s2e5tve655rraxdp02r5" timestamp="1723987109"&gt;18&lt;/key&gt;&lt;/foreign-keys&gt;&lt;ref-type name="Journal Article"&gt;17&lt;/ref-type&gt;&lt;contributors&gt;&lt;authors&gt;&lt;author&gt;Stevanović, Sanja&lt;/author&gt;&lt;author&gt;Draper, Lindsey M&lt;/author&gt;&lt;author&gt;Langhan, Michelle M&lt;/author&gt;&lt;author&gt;Campbell, Tracy E&lt;/author&gt;&lt;author&gt;Kwong, Mei Li&lt;/author&gt;&lt;author&gt;Wunderlich, John R&lt;/author&gt;&lt;author&gt;Dudley, Mark E&lt;/author&gt;&lt;author&gt;Yang, James C&lt;/author&gt;&lt;author&gt;Sherry, Richard M&lt;/author&gt;&lt;author&gt;Kammula, Udai S&lt;/author&gt;&lt;/authors&gt;&lt;/contributors&gt;&lt;titles&gt;&lt;title&gt;Complete regression of metastatic cervical cancer after treatment with human papillomavirus–targeted tumor-infiltrating T cells&lt;/title&gt;&lt;secondary-title&gt;Journal of Clinical Oncology&lt;/secondary-title&gt;&lt;/titles&gt;&lt;pages&gt;1543-1550&lt;/pages&gt;&lt;volume&gt;33&lt;/volume&gt;&lt;number&gt;14&lt;/number&gt;&lt;dates&gt;&lt;year&gt;2015&lt;/year&gt;&lt;/dates&gt;&lt;isbn&gt;0732-183X&lt;/isbn&gt;&lt;urls&gt;&lt;/urls&gt;&lt;/record&gt;&lt;/Cite&gt;&lt;/EndNote&gt;</w:instrText>
            </w:r>
            <w:r w:rsidRPr="004A129F">
              <w:fldChar w:fldCharType="separate"/>
            </w:r>
            <w:r w:rsidRPr="004A129F">
              <w:rPr>
                <w:noProof/>
                <w:sz w:val="24"/>
                <w:szCs w:val="24"/>
              </w:rPr>
              <w:t>[12]</w:t>
            </w:r>
            <w:r w:rsidRPr="004A129F">
              <w:fldChar w:fldCharType="end"/>
            </w:r>
          </w:p>
        </w:tc>
      </w:tr>
      <w:tr w:rsidR="004A129F" w:rsidRPr="004A129F" w14:paraId="0F944CBE" w14:textId="77777777" w:rsidTr="00D5729D">
        <w:trPr>
          <w:jc w:val="center"/>
        </w:trPr>
        <w:tc>
          <w:tcPr>
            <w:tcW w:w="173" w:type="pct"/>
          </w:tcPr>
          <w:p w14:paraId="5CA472D1" w14:textId="5D79F1B2" w:rsidR="00D5729D" w:rsidRPr="004A129F" w:rsidRDefault="00D5729D" w:rsidP="002E5D3F">
            <w:pPr>
              <w:pStyle w:val="NormalWeb"/>
              <w:spacing w:line="360" w:lineRule="auto"/>
              <w:jc w:val="both"/>
            </w:pPr>
            <w:r w:rsidRPr="004A129F">
              <w:t>15</w:t>
            </w:r>
          </w:p>
        </w:tc>
        <w:tc>
          <w:tcPr>
            <w:tcW w:w="591" w:type="pct"/>
          </w:tcPr>
          <w:p w14:paraId="6D4C9C8D" w14:textId="7966179A" w:rsidR="00D5729D" w:rsidRPr="004A129F" w:rsidRDefault="00D5729D" w:rsidP="002E5D3F">
            <w:pPr>
              <w:pStyle w:val="NormalWeb"/>
              <w:spacing w:line="360" w:lineRule="auto"/>
              <w:jc w:val="both"/>
              <w:rPr>
                <w:sz w:val="24"/>
                <w:szCs w:val="24"/>
              </w:rPr>
            </w:pPr>
            <w:r w:rsidRPr="004A129F">
              <w:rPr>
                <w:sz w:val="24"/>
                <w:szCs w:val="24"/>
              </w:rPr>
              <w:t xml:space="preserve">Marij J. P. Welters </w:t>
            </w:r>
            <w:r w:rsidRPr="004A129F">
              <w:rPr>
                <w:sz w:val="24"/>
                <w:szCs w:val="24"/>
                <w:vertAlign w:val="superscript"/>
              </w:rPr>
              <w:t>a,1</w:t>
            </w:r>
            <w:r w:rsidRPr="004A129F">
              <w:rPr>
                <w:sz w:val="24"/>
                <w:szCs w:val="24"/>
              </w:rPr>
              <w:t>, Gemma G. Kenter</w:t>
            </w:r>
            <w:r w:rsidRPr="004A129F">
              <w:rPr>
                <w:sz w:val="24"/>
                <w:szCs w:val="24"/>
                <w:vertAlign w:val="superscript"/>
              </w:rPr>
              <w:t>b,1</w:t>
            </w:r>
            <w:r w:rsidRPr="004A129F">
              <w:rPr>
                <w:sz w:val="24"/>
                <w:szCs w:val="24"/>
              </w:rPr>
              <w:t>,</w:t>
            </w:r>
            <w:r w:rsidRPr="004A129F">
              <w:rPr>
                <w:rFonts w:eastAsiaTheme="minorHAnsi"/>
                <w:kern w:val="2"/>
                <w:sz w:val="24"/>
                <w:szCs w:val="24"/>
              </w:rPr>
              <w:t xml:space="preserve"> </w:t>
            </w:r>
            <w:r w:rsidRPr="004A129F">
              <w:rPr>
                <w:sz w:val="24"/>
                <w:szCs w:val="24"/>
              </w:rPr>
              <w:t xml:space="preserve">Peggy J. de </w:t>
            </w:r>
            <w:proofErr w:type="spellStart"/>
            <w:r w:rsidRPr="004A129F">
              <w:rPr>
                <w:sz w:val="24"/>
                <w:szCs w:val="24"/>
              </w:rPr>
              <w:t>Vos</w:t>
            </w:r>
            <w:proofErr w:type="spellEnd"/>
            <w:r w:rsidRPr="004A129F">
              <w:rPr>
                <w:sz w:val="24"/>
                <w:szCs w:val="24"/>
              </w:rPr>
              <w:t xml:space="preserve"> van </w:t>
            </w:r>
            <w:proofErr w:type="spellStart"/>
            <w:r w:rsidRPr="004A129F">
              <w:rPr>
                <w:sz w:val="24"/>
                <w:szCs w:val="24"/>
              </w:rPr>
              <w:t>Steenwijk</w:t>
            </w:r>
            <w:r w:rsidRPr="004A129F">
              <w:rPr>
                <w:sz w:val="24"/>
                <w:szCs w:val="24"/>
                <w:vertAlign w:val="superscript"/>
              </w:rPr>
              <w:t>b</w:t>
            </w:r>
            <w:proofErr w:type="spellEnd"/>
            <w:r w:rsidRPr="004A129F">
              <w:rPr>
                <w:sz w:val="24"/>
                <w:szCs w:val="24"/>
              </w:rPr>
              <w:t>, et al.</w:t>
            </w:r>
          </w:p>
        </w:tc>
        <w:tc>
          <w:tcPr>
            <w:tcW w:w="328" w:type="pct"/>
          </w:tcPr>
          <w:p w14:paraId="2F1EBB72" w14:textId="61E6E50A" w:rsidR="00D5729D" w:rsidRPr="004A129F" w:rsidRDefault="00D5729D" w:rsidP="002E5D3F">
            <w:pPr>
              <w:pStyle w:val="NormalWeb"/>
              <w:spacing w:line="360" w:lineRule="auto"/>
              <w:jc w:val="both"/>
              <w:rPr>
                <w:sz w:val="24"/>
                <w:szCs w:val="24"/>
              </w:rPr>
            </w:pPr>
            <w:r w:rsidRPr="004A129F">
              <w:rPr>
                <w:sz w:val="24"/>
                <w:szCs w:val="24"/>
              </w:rPr>
              <w:t>20</w:t>
            </w:r>
          </w:p>
        </w:tc>
        <w:tc>
          <w:tcPr>
            <w:tcW w:w="548" w:type="pct"/>
          </w:tcPr>
          <w:p w14:paraId="4909BF62" w14:textId="7BA27A31"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HPV16 E6/E7 SLP</w:t>
            </w:r>
          </w:p>
        </w:tc>
        <w:tc>
          <w:tcPr>
            <w:tcW w:w="328" w:type="pct"/>
          </w:tcPr>
          <w:p w14:paraId="15FFEA92" w14:textId="7F65EC23"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Phase II</w:t>
            </w:r>
          </w:p>
        </w:tc>
        <w:tc>
          <w:tcPr>
            <w:tcW w:w="2737" w:type="pct"/>
          </w:tcPr>
          <w:p w14:paraId="36ABCEFA" w14:textId="77777777"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HPV16-SLP Vaccine Induces Broad and Durable T-Cell Responses to HPV16 E6 and E7.</w:t>
            </w:r>
          </w:p>
          <w:p w14:paraId="7483B9A0" w14:textId="77777777"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Vaccine-Induced HPV16-Specific T Cells Can Home to Vaccination Sites and to the Lesion.</w:t>
            </w:r>
          </w:p>
          <w:p w14:paraId="60FF92B0" w14:textId="77777777"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Peak in theHPV16-Specificcytokineproduction after the first vaccination is associated with lesion size at study entry and segregates clinical CR from non-CR patients.</w:t>
            </w:r>
          </w:p>
          <w:p w14:paraId="15D69FF5" w14:textId="799D42B6"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Ratio of HPV16-Specific CD4+CD25+Foxp3+ and Foxp3- T Cells Is Associated with Lesion Size and Disease Duration at Study Entry.</w:t>
            </w:r>
          </w:p>
        </w:tc>
        <w:tc>
          <w:tcPr>
            <w:tcW w:w="295" w:type="pct"/>
          </w:tcPr>
          <w:p w14:paraId="65C34754" w14:textId="7B719B5E"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&lt;EndNote&gt;&lt;Cite&gt;&lt;Author&gt;Welters&lt;/Author&gt;&lt;Year&gt;2010&lt;/Year&gt;&lt;RecNum&gt;3&lt;/RecNum&gt;&lt;DisplayText&gt;[13]&lt;/DisplayText&gt;&lt;record&gt;&lt;rec-number&gt;3&lt;/rec-number&gt;&lt;foreign-keys&gt;&lt;key app="EN" db-id="s2sttzetzetpave5s2e5tve655rraxdp02r5" timestamp="1723986168"&gt;3&lt;/key&gt;&lt;/foreign-keys&gt;&lt;ref-type name="Journal Article"&gt;17&lt;/ref-type&gt;&lt;contributors&gt;&lt;authors&gt;&lt;author&gt;Welters, Marij JP&lt;/author&gt;&lt;author&gt;Kenter, Gemma G&lt;/author&gt;&lt;author&gt;de Vos van Steenwijk, Peggy J&lt;/author&gt;&lt;author&gt;Löwik, Margriet JG&lt;/author&gt;&lt;author&gt;Berends-van Der Meer, Dorien MA&lt;/author&gt;&lt;author&gt;Essahsah, Farah&lt;/author&gt;&lt;author&gt;Stynenbosch, Linda FM&lt;/author&gt;&lt;author&gt;Vloon, Annelies PG&lt;/author&gt;&lt;author&gt;Ramwadhdoebe, Tamara H&lt;/author&gt;&lt;author&gt;Piersma, Sytse J&lt;/author&gt;&lt;/authors&gt;&lt;/contributors&gt;&lt;titles&gt;&lt;title&gt;Success or failure of vaccination for HPV16-positive vulvar lesions correlates with kinetics and phenotype of induced T-cell responses&lt;/title&gt;&lt;secondary-title&gt;Proceedings of the National Academy of Sciences&lt;/secondary-title&gt;&lt;/titles&gt;&lt;pages&gt;11895-11899&lt;/pages&gt;&lt;volume&gt;107&lt;/volume&gt;&lt;number&gt;26&lt;/number&gt;&lt;dates&gt;&lt;year&gt;2010&lt;/year&gt;&lt;/dates&gt;&lt;isbn&gt;0027-8424&lt;/isbn&gt;&lt;urls&gt;&lt;related-urls&gt;&lt;url&gt;https://www.ncbi.nlm.nih.gov/pmc/articles/PMC2900675/pdf/pnas.201006500.pdf&lt;/url&gt;&lt;/related-urls&gt;&lt;/urls&gt;&lt;/record&gt;&lt;/Cite&gt;&lt;/EndNote&gt;</w:instrText>
            </w:r>
            <w:r w:rsidRPr="004A129F">
              <w:fldChar w:fldCharType="separate"/>
            </w:r>
            <w:r w:rsidRPr="004A129F">
              <w:rPr>
                <w:noProof/>
                <w:sz w:val="24"/>
                <w:szCs w:val="24"/>
              </w:rPr>
              <w:t>[13]</w:t>
            </w:r>
            <w:r w:rsidRPr="004A129F">
              <w:fldChar w:fldCharType="end"/>
            </w:r>
          </w:p>
        </w:tc>
      </w:tr>
      <w:tr w:rsidR="004A129F" w:rsidRPr="004A129F" w14:paraId="01B038AB" w14:textId="77777777" w:rsidTr="00D5729D">
        <w:trPr>
          <w:jc w:val="center"/>
        </w:trPr>
        <w:tc>
          <w:tcPr>
            <w:tcW w:w="173" w:type="pct"/>
          </w:tcPr>
          <w:p w14:paraId="3FD3245A" w14:textId="12867C78" w:rsidR="00D5729D" w:rsidRPr="004A129F" w:rsidRDefault="00D5729D" w:rsidP="002E5D3F">
            <w:pPr>
              <w:pStyle w:val="NormalWeb"/>
              <w:spacing w:line="360" w:lineRule="auto"/>
              <w:jc w:val="both"/>
            </w:pPr>
            <w:r w:rsidRPr="004A129F">
              <w:t>16</w:t>
            </w:r>
          </w:p>
        </w:tc>
        <w:tc>
          <w:tcPr>
            <w:tcW w:w="591" w:type="pct"/>
          </w:tcPr>
          <w:p w14:paraId="6EC34578" w14:textId="2BD5B024" w:rsidR="00D5729D" w:rsidRPr="004A129F" w:rsidRDefault="00D5729D" w:rsidP="002E5D3F">
            <w:pPr>
              <w:pStyle w:val="NormalWeb"/>
              <w:spacing w:line="360" w:lineRule="auto"/>
              <w:jc w:val="both"/>
              <w:rPr>
                <w:sz w:val="24"/>
                <w:szCs w:val="24"/>
              </w:rPr>
            </w:pPr>
            <w:r w:rsidRPr="004A129F">
              <w:rPr>
                <w:sz w:val="24"/>
                <w:szCs w:val="24"/>
              </w:rPr>
              <w:t xml:space="preserve">Diane M. Harper </w:t>
            </w:r>
            <w:r w:rsidRPr="004A129F">
              <w:rPr>
                <w:sz w:val="24"/>
                <w:szCs w:val="24"/>
                <w:vertAlign w:val="superscript"/>
              </w:rPr>
              <w:t>a, ⁎,1</w:t>
            </w:r>
            <w:r w:rsidRPr="004A129F">
              <w:rPr>
                <w:sz w:val="24"/>
                <w:szCs w:val="24"/>
              </w:rPr>
              <w:t xml:space="preserve">, Pekka Nieminen </w:t>
            </w:r>
            <w:r w:rsidRPr="004A129F">
              <w:rPr>
                <w:sz w:val="24"/>
                <w:szCs w:val="24"/>
                <w:vertAlign w:val="superscript"/>
              </w:rPr>
              <w:t>b</w:t>
            </w:r>
            <w:r w:rsidRPr="004A129F">
              <w:rPr>
                <w:sz w:val="24"/>
                <w:szCs w:val="24"/>
              </w:rPr>
              <w:t xml:space="preserve">, Gilbert Donders </w:t>
            </w:r>
            <w:r w:rsidRPr="004A129F">
              <w:rPr>
                <w:sz w:val="24"/>
                <w:szCs w:val="24"/>
                <w:vertAlign w:val="superscript"/>
              </w:rPr>
              <w:t xml:space="preserve">c </w:t>
            </w:r>
            <w:r w:rsidRPr="004A129F">
              <w:rPr>
                <w:sz w:val="24"/>
                <w:szCs w:val="24"/>
              </w:rPr>
              <w:t>et al.</w:t>
            </w:r>
          </w:p>
        </w:tc>
        <w:tc>
          <w:tcPr>
            <w:tcW w:w="328" w:type="pct"/>
          </w:tcPr>
          <w:p w14:paraId="544D00BB" w14:textId="418C1526" w:rsidR="00D5729D" w:rsidRPr="004A129F" w:rsidRDefault="00D5729D" w:rsidP="002E5D3F">
            <w:pPr>
              <w:pStyle w:val="NormalWeb"/>
              <w:spacing w:line="360" w:lineRule="auto"/>
              <w:jc w:val="both"/>
              <w:rPr>
                <w:sz w:val="24"/>
                <w:szCs w:val="24"/>
              </w:rPr>
            </w:pPr>
            <w:r w:rsidRPr="004A129F">
              <w:rPr>
                <w:sz w:val="24"/>
                <w:szCs w:val="24"/>
              </w:rPr>
              <w:t>129</w:t>
            </w:r>
          </w:p>
        </w:tc>
        <w:tc>
          <w:tcPr>
            <w:tcW w:w="548" w:type="pct"/>
          </w:tcPr>
          <w:p w14:paraId="2921F4C1" w14:textId="78B21698" w:rsidR="00D5729D" w:rsidRPr="004A129F" w:rsidRDefault="00D5729D" w:rsidP="002E5D3F">
            <w:pPr>
              <w:spacing w:line="360" w:lineRule="auto"/>
              <w:jc w:val="both"/>
              <w:rPr>
                <w:rFonts w:ascii="Times New Roman" w:hAnsi="Times New Roman" w:cs="Times New Roman"/>
                <w:sz w:val="24"/>
                <w:szCs w:val="24"/>
              </w:rPr>
            </w:pPr>
            <w:proofErr w:type="spellStart"/>
            <w:r w:rsidRPr="004A129F">
              <w:rPr>
                <w:rFonts w:ascii="Times New Roman" w:hAnsi="Times New Roman" w:cs="Times New Roman"/>
                <w:sz w:val="24"/>
                <w:szCs w:val="24"/>
              </w:rPr>
              <w:t>Tipapkinogen</w:t>
            </w:r>
            <w:proofErr w:type="spellEnd"/>
            <w:r w:rsidRPr="004A129F">
              <w:rPr>
                <w:rFonts w:ascii="Times New Roman" w:hAnsi="Times New Roman" w:cs="Times New Roman"/>
                <w:sz w:val="24"/>
                <w:szCs w:val="24"/>
              </w:rPr>
              <w:t xml:space="preserve"> </w:t>
            </w:r>
            <w:proofErr w:type="spellStart"/>
            <w:r w:rsidRPr="004A129F">
              <w:rPr>
                <w:rFonts w:ascii="Times New Roman" w:hAnsi="Times New Roman" w:cs="Times New Roman"/>
                <w:sz w:val="24"/>
                <w:szCs w:val="24"/>
              </w:rPr>
              <w:t>Sovacivec</w:t>
            </w:r>
            <w:proofErr w:type="spellEnd"/>
            <w:r w:rsidRPr="004A129F">
              <w:rPr>
                <w:rFonts w:ascii="Times New Roman" w:hAnsi="Times New Roman" w:cs="Times New Roman"/>
                <w:sz w:val="24"/>
                <w:szCs w:val="24"/>
              </w:rPr>
              <w:t xml:space="preserve"> therapeutic HPV vaccine</w:t>
            </w:r>
          </w:p>
        </w:tc>
        <w:tc>
          <w:tcPr>
            <w:tcW w:w="328" w:type="pct"/>
          </w:tcPr>
          <w:p w14:paraId="16B75C65" w14:textId="03CACBA4"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Phase II</w:t>
            </w:r>
          </w:p>
        </w:tc>
        <w:tc>
          <w:tcPr>
            <w:tcW w:w="2737" w:type="pct"/>
          </w:tcPr>
          <w:p w14:paraId="0794B771" w14:textId="77FF9DF8"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 xml:space="preserve">24 % and 21% of the 129 women randomized to showed complete resolution against CIN 2 and CIN 3, respectively. </w:t>
            </w:r>
          </w:p>
          <w:p w14:paraId="13603EB9" w14:textId="0AB6BD51" w:rsidR="00D5729D" w:rsidRPr="004A129F" w:rsidRDefault="00D5729D" w:rsidP="002E5D3F">
            <w:pPr>
              <w:spacing w:line="360" w:lineRule="auto"/>
              <w:jc w:val="both"/>
              <w:rPr>
                <w:rFonts w:ascii="Times New Roman" w:hAnsi="Times New Roman" w:cs="Times New Roman"/>
                <w:sz w:val="24"/>
                <w:szCs w:val="24"/>
              </w:rPr>
            </w:pPr>
          </w:p>
        </w:tc>
        <w:tc>
          <w:tcPr>
            <w:tcW w:w="295" w:type="pct"/>
          </w:tcPr>
          <w:p w14:paraId="6E53033D" w14:textId="5C628CF9"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&lt;EndNote&gt;&lt;Cite&gt;&lt;Author&gt;Harper&lt;/Author&gt;&lt;Year&gt;2019&lt;/Year&gt;&lt;RecNum&gt;23&lt;/RecNum&gt;&lt;DisplayText&gt;[14]&lt;/DisplayText&gt;&lt;record&gt;&lt;rec-number&gt;23&lt;/rec-number&gt;&lt;foreign-keys&gt;&lt;key app="EN" db-id="s2sttzetzetpave5s2e5tve655rraxdp02r5" timestamp="1723987277"&gt;23&lt;/key&gt;&lt;/foreign-keys&gt;&lt;ref-type name="Journal Article"&gt;17&lt;/ref-type&gt;&lt;contributors&gt;&lt;authors&gt;&lt;author&gt;Harper, Diane M&lt;/author&gt;&lt;author&gt;Nieminen, Pekka&lt;/author&gt;&lt;author&gt;Donders, Gilbert&lt;/author&gt;&lt;author&gt;Einstein, Mark H&lt;/author&gt;&lt;author&gt;Garcia, Francisco&lt;/author&gt;&lt;author&gt;Huh, Warner K&lt;/author&gt;&lt;author&gt;Stoler, Mark H&lt;/author&gt;&lt;author&gt;Glavini, Katerina&lt;/author&gt;&lt;author&gt;Attley, Gemma&lt;/author&gt;&lt;author&gt;Limacher, Jean-Marc&lt;/author&gt;&lt;/authors&gt;&lt;/contributors&gt;&lt;titles&gt;&lt;title&gt;The efficacy and safety of Tipapkinogen Sovacivec therapeutic HPV vaccine in cervical intraepithelial neoplasia grades 2 and 3: Randomized controlled phase II trial with 2.5 years of follow-up&lt;/title&gt;&lt;secondary-title&gt;Gynecologic oncology&lt;/secondary-title&gt;&lt;/titles&gt;&lt;pages&gt;521-529&lt;/pages&gt;&lt;volume&gt;153&lt;/volume&gt;&lt;number&gt;3&lt;/number&gt;&lt;dates&gt;&lt;year&gt;2019&lt;/year&gt;&lt;/dates&gt;&lt;isbn&gt;0090-8258&lt;/isbn&gt;&lt;urls&gt;&lt;/urls&gt;&lt;/record&gt;&lt;/Cite&gt;&lt;/EndNote&gt;</w:instrText>
            </w:r>
            <w:r w:rsidRPr="004A129F">
              <w:fldChar w:fldCharType="separate"/>
            </w:r>
            <w:r w:rsidRPr="004A129F">
              <w:rPr>
                <w:noProof/>
                <w:sz w:val="24"/>
                <w:szCs w:val="24"/>
              </w:rPr>
              <w:t>[14]</w:t>
            </w:r>
            <w:r w:rsidRPr="004A129F">
              <w:fldChar w:fldCharType="end"/>
            </w:r>
          </w:p>
        </w:tc>
      </w:tr>
      <w:tr w:rsidR="004A129F" w:rsidRPr="004A129F" w14:paraId="6D668E8B" w14:textId="77777777" w:rsidTr="00D5729D">
        <w:trPr>
          <w:jc w:val="center"/>
        </w:trPr>
        <w:tc>
          <w:tcPr>
            <w:tcW w:w="173" w:type="pct"/>
          </w:tcPr>
          <w:p w14:paraId="37D48FCE" w14:textId="5B38BFE2" w:rsidR="00D5729D" w:rsidRPr="004A129F" w:rsidRDefault="00D5729D" w:rsidP="002E5D3F">
            <w:pPr>
              <w:pStyle w:val="NormalWeb"/>
              <w:spacing w:line="360" w:lineRule="auto"/>
              <w:jc w:val="both"/>
              <w:rPr>
                <w:rFonts w:eastAsiaTheme="minorHAnsi"/>
                <w:kern w:val="2"/>
              </w:rPr>
            </w:pPr>
            <w:r w:rsidRPr="004A129F">
              <w:rPr>
                <w:rFonts w:eastAsiaTheme="minorHAnsi"/>
                <w:kern w:val="2"/>
              </w:rPr>
              <w:t>17</w:t>
            </w:r>
          </w:p>
        </w:tc>
        <w:tc>
          <w:tcPr>
            <w:tcW w:w="591" w:type="pct"/>
          </w:tcPr>
          <w:p w14:paraId="70F7D259" w14:textId="22267148" w:rsidR="00D5729D" w:rsidRPr="004A129F" w:rsidRDefault="00D5729D" w:rsidP="002E5D3F">
            <w:pPr>
              <w:pStyle w:val="NormalWeb"/>
              <w:spacing w:line="360" w:lineRule="auto"/>
              <w:jc w:val="both"/>
              <w:rPr>
                <w:sz w:val="24"/>
                <w:szCs w:val="24"/>
              </w:rPr>
            </w:pPr>
            <w:r w:rsidRPr="004A129F">
              <w:rPr>
                <w:rFonts w:eastAsiaTheme="minorHAnsi"/>
                <w:kern w:val="2"/>
                <w:sz w:val="24"/>
                <w:szCs w:val="24"/>
              </w:rPr>
              <w:t>Paulo Cesar Maciag</w:t>
            </w:r>
            <w:r w:rsidRPr="004A129F">
              <w:rPr>
                <w:rFonts w:eastAsiaTheme="minorHAnsi"/>
                <w:kern w:val="2"/>
                <w:sz w:val="24"/>
                <w:szCs w:val="24"/>
                <w:vertAlign w:val="superscript"/>
              </w:rPr>
              <w:t>a,1</w:t>
            </w:r>
            <w:r w:rsidRPr="004A129F">
              <w:rPr>
                <w:rFonts w:eastAsiaTheme="minorHAnsi"/>
                <w:kern w:val="2"/>
                <w:sz w:val="24"/>
                <w:szCs w:val="24"/>
              </w:rPr>
              <w:t xml:space="preserve">, Sinisa </w:t>
            </w:r>
            <w:proofErr w:type="spellStart"/>
            <w:r w:rsidRPr="004A129F">
              <w:rPr>
                <w:rFonts w:eastAsiaTheme="minorHAnsi"/>
                <w:kern w:val="2"/>
                <w:sz w:val="24"/>
                <w:szCs w:val="24"/>
              </w:rPr>
              <w:t>Radulovic</w:t>
            </w:r>
            <w:proofErr w:type="spellEnd"/>
            <w:r w:rsidRPr="004A129F">
              <w:rPr>
                <w:rFonts w:eastAsiaTheme="minorHAnsi"/>
                <w:kern w:val="2"/>
                <w:sz w:val="24"/>
                <w:szCs w:val="24"/>
              </w:rPr>
              <w:t xml:space="preserve"> </w:t>
            </w:r>
            <w:r w:rsidRPr="004A129F">
              <w:rPr>
                <w:rFonts w:eastAsiaTheme="minorHAnsi"/>
                <w:kern w:val="2"/>
                <w:sz w:val="24"/>
                <w:szCs w:val="24"/>
                <w:vertAlign w:val="superscript"/>
              </w:rPr>
              <w:t>b,2</w:t>
            </w:r>
            <w:r w:rsidRPr="004A129F">
              <w:rPr>
                <w:rFonts w:eastAsiaTheme="minorHAnsi"/>
                <w:kern w:val="2"/>
                <w:sz w:val="24"/>
                <w:szCs w:val="24"/>
              </w:rPr>
              <w:t xml:space="preserve">, John </w:t>
            </w:r>
            <w:proofErr w:type="spellStart"/>
            <w:r w:rsidRPr="004A129F">
              <w:rPr>
                <w:rFonts w:eastAsiaTheme="minorHAnsi"/>
                <w:kern w:val="2"/>
                <w:sz w:val="24"/>
                <w:szCs w:val="24"/>
              </w:rPr>
              <w:t>Rothman</w:t>
            </w:r>
            <w:r w:rsidRPr="004A129F">
              <w:rPr>
                <w:rFonts w:eastAsiaTheme="minorHAnsi"/>
                <w:kern w:val="2"/>
                <w:sz w:val="24"/>
                <w:szCs w:val="24"/>
                <w:vertAlign w:val="superscript"/>
              </w:rPr>
              <w:t>a</w:t>
            </w:r>
            <w:proofErr w:type="spellEnd"/>
            <w:r w:rsidRPr="004A129F">
              <w:rPr>
                <w:rFonts w:eastAsiaTheme="minorHAnsi"/>
                <w:kern w:val="2"/>
                <w:sz w:val="24"/>
                <w:szCs w:val="24"/>
                <w:vertAlign w:val="superscript"/>
              </w:rPr>
              <w:t xml:space="preserve">, </w:t>
            </w:r>
            <w:r w:rsidRPr="004A129F">
              <w:rPr>
                <w:rFonts w:ascii="Cambria Math" w:eastAsiaTheme="minorHAnsi" w:hAnsi="Cambria Math" w:cs="Cambria Math"/>
                <w:kern w:val="2"/>
                <w:sz w:val="24"/>
                <w:szCs w:val="24"/>
                <w:vertAlign w:val="superscript"/>
              </w:rPr>
              <w:t>∗</w:t>
            </w:r>
          </w:p>
        </w:tc>
        <w:tc>
          <w:tcPr>
            <w:tcW w:w="328" w:type="pct"/>
          </w:tcPr>
          <w:p w14:paraId="6E4D9A50" w14:textId="7256D935" w:rsidR="00D5729D" w:rsidRPr="004A129F" w:rsidRDefault="00D5729D" w:rsidP="002E5D3F">
            <w:pPr>
              <w:pStyle w:val="NormalWeb"/>
              <w:spacing w:line="360" w:lineRule="auto"/>
              <w:jc w:val="both"/>
              <w:rPr>
                <w:sz w:val="24"/>
                <w:szCs w:val="24"/>
              </w:rPr>
            </w:pPr>
            <w:r w:rsidRPr="004A129F">
              <w:rPr>
                <w:sz w:val="24"/>
                <w:szCs w:val="24"/>
              </w:rPr>
              <w:t>15</w:t>
            </w:r>
          </w:p>
        </w:tc>
        <w:tc>
          <w:tcPr>
            <w:tcW w:w="548" w:type="pct"/>
          </w:tcPr>
          <w:p w14:paraId="3225E42D" w14:textId="1993FB86"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i/>
                <w:iCs/>
                <w:sz w:val="24"/>
                <w:szCs w:val="24"/>
              </w:rPr>
              <w:t>Lm</w:t>
            </w:r>
            <w:r w:rsidRPr="004A129F">
              <w:rPr>
                <w:rFonts w:ascii="Times New Roman" w:hAnsi="Times New Roman" w:cs="Times New Roman"/>
                <w:sz w:val="24"/>
                <w:szCs w:val="24"/>
              </w:rPr>
              <w:t>-LLO-E7</w:t>
            </w:r>
          </w:p>
        </w:tc>
        <w:tc>
          <w:tcPr>
            <w:tcW w:w="328" w:type="pct"/>
          </w:tcPr>
          <w:p w14:paraId="72AF6896" w14:textId="401EE833"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Phase I</w:t>
            </w:r>
          </w:p>
        </w:tc>
        <w:tc>
          <w:tcPr>
            <w:tcW w:w="2737" w:type="pct"/>
          </w:tcPr>
          <w:p w14:paraId="4E4C4551" w14:textId="0BB62933"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2 patients had died, 5 had progressed, 7 had stable disease and 1 qualified as a partial responder.</w:t>
            </w:r>
          </w:p>
        </w:tc>
        <w:tc>
          <w:tcPr>
            <w:tcW w:w="295" w:type="pct"/>
          </w:tcPr>
          <w:p w14:paraId="5F0C13F5" w14:textId="68782F89"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&lt;EndNote&gt;&lt;Cite&gt;&lt;Author&gt;Maciag&lt;/Author&gt;&lt;Year&gt;2009&lt;/Year&gt;&lt;RecNum&gt;5&lt;/RecNum&gt;&lt;DisplayText&gt;[15]&lt;/DisplayText&gt;&lt;record&gt;&lt;rec-number&gt;5&lt;/rec-number&gt;&lt;foreign-keys&gt;&lt;key app="EN" db-id="s2sttzetzetpave5s2e5tve655rraxdp02r5" timestamp="1723986311"&gt;5&lt;/key&gt;&lt;/foreign-keys&gt;&lt;ref-type name="Journal Article"&gt;17&lt;/ref-type&gt;&lt;contributors&gt;&lt;authors&gt;&lt;author&gt;Maciag, Paulo Cesar&lt;/author&gt;&lt;author&gt;Radulovic, Siniša&lt;/author&gt;&lt;author&gt;Rothman, John&lt;/author&gt;&lt;/authors&gt;&lt;/contributors&gt;&lt;titles&gt;&lt;title&gt;The first clinical use of a live-attenuated Listeria monocytogenes vaccine: a Phase I safety study of Lm-LLO-E7 in patients with advanced carcinoma of the cervix&lt;/title&gt;&lt;secondary-title&gt;Vaccine&lt;/secondary-title&gt;&lt;/titles&gt;&lt;pages&gt;3975-3983&lt;/pages&gt;&lt;volume&gt;27&lt;/volume&gt;&lt;number&gt;30&lt;/number&gt;&lt;dates&gt;&lt;year&gt;2009&lt;/year&gt;&lt;/dates&gt;&lt;isbn&gt;0264-410X&lt;/isbn&gt;&lt;urls&gt;&lt;/urls&gt;&lt;/record&gt;&lt;/Cite&gt;&lt;/EndNote&gt;</w:instrText>
            </w:r>
            <w:r w:rsidRPr="004A129F">
              <w:fldChar w:fldCharType="separate"/>
            </w:r>
            <w:r w:rsidRPr="004A129F">
              <w:rPr>
                <w:noProof/>
                <w:sz w:val="24"/>
                <w:szCs w:val="24"/>
              </w:rPr>
              <w:t>[15]</w:t>
            </w:r>
            <w:r w:rsidRPr="004A129F">
              <w:fldChar w:fldCharType="end"/>
            </w:r>
          </w:p>
        </w:tc>
      </w:tr>
      <w:tr w:rsidR="004A129F" w:rsidRPr="004A129F" w14:paraId="18210F35" w14:textId="77777777" w:rsidTr="00D5729D">
        <w:trPr>
          <w:jc w:val="center"/>
        </w:trPr>
        <w:tc>
          <w:tcPr>
            <w:tcW w:w="173" w:type="pct"/>
          </w:tcPr>
          <w:p w14:paraId="67E78A86" w14:textId="72DB3F14" w:rsidR="00D5729D" w:rsidRPr="004A129F" w:rsidRDefault="00D5729D" w:rsidP="002E5D3F">
            <w:pPr>
              <w:pStyle w:val="NormalWeb"/>
              <w:spacing w:line="360" w:lineRule="auto"/>
              <w:jc w:val="both"/>
              <w:rPr>
                <w:rFonts w:eastAsiaTheme="minorHAnsi"/>
                <w:kern w:val="2"/>
              </w:rPr>
            </w:pPr>
            <w:r w:rsidRPr="004A129F">
              <w:rPr>
                <w:rFonts w:eastAsiaTheme="minorHAnsi"/>
                <w:kern w:val="2"/>
              </w:rPr>
              <w:t>18</w:t>
            </w:r>
          </w:p>
        </w:tc>
        <w:tc>
          <w:tcPr>
            <w:tcW w:w="591" w:type="pct"/>
          </w:tcPr>
          <w:p w14:paraId="3F76AF0E" w14:textId="709D9199" w:rsidR="00D5729D" w:rsidRPr="004A129F" w:rsidRDefault="00D5729D" w:rsidP="002E5D3F">
            <w:pPr>
              <w:pStyle w:val="NormalWeb"/>
              <w:spacing w:line="360" w:lineRule="auto"/>
              <w:jc w:val="both"/>
              <w:rPr>
                <w:rFonts w:eastAsiaTheme="minorHAnsi"/>
                <w:kern w:val="2"/>
                <w:sz w:val="24"/>
                <w:szCs w:val="24"/>
              </w:rPr>
            </w:pPr>
            <w:r w:rsidRPr="004A129F">
              <w:rPr>
                <w:rFonts w:eastAsiaTheme="minorHAnsi"/>
                <w:kern w:val="2"/>
                <w:sz w:val="24"/>
                <w:szCs w:val="24"/>
              </w:rPr>
              <w:t xml:space="preserve">Cornelis J. M. </w:t>
            </w:r>
            <w:proofErr w:type="spellStart"/>
            <w:r w:rsidRPr="004A129F">
              <w:rPr>
                <w:rFonts w:eastAsiaTheme="minorHAnsi"/>
                <w:kern w:val="2"/>
                <w:sz w:val="24"/>
                <w:szCs w:val="24"/>
              </w:rPr>
              <w:t>Melief</w:t>
            </w:r>
            <w:proofErr w:type="spellEnd"/>
            <w:r w:rsidRPr="004A129F">
              <w:rPr>
                <w:rFonts w:eastAsiaTheme="minorHAnsi"/>
                <w:kern w:val="2"/>
                <w:sz w:val="24"/>
                <w:szCs w:val="24"/>
              </w:rPr>
              <w:t xml:space="preserve"> *</w:t>
            </w:r>
          </w:p>
        </w:tc>
        <w:tc>
          <w:tcPr>
            <w:tcW w:w="328" w:type="pct"/>
          </w:tcPr>
          <w:p w14:paraId="47267C7C" w14:textId="3DDE38E0" w:rsidR="00D5729D" w:rsidRPr="004A129F" w:rsidRDefault="00D5729D" w:rsidP="002E5D3F">
            <w:pPr>
              <w:pStyle w:val="NormalWeb"/>
              <w:spacing w:line="360" w:lineRule="auto"/>
              <w:jc w:val="both"/>
              <w:rPr>
                <w:sz w:val="24"/>
                <w:szCs w:val="24"/>
              </w:rPr>
            </w:pPr>
            <w:r w:rsidRPr="004A129F">
              <w:rPr>
                <w:sz w:val="24"/>
                <w:szCs w:val="24"/>
              </w:rPr>
              <w:t>20</w:t>
            </w:r>
          </w:p>
        </w:tc>
        <w:tc>
          <w:tcPr>
            <w:tcW w:w="548" w:type="pct"/>
          </w:tcPr>
          <w:p w14:paraId="2A827711" w14:textId="20D31C78"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 xml:space="preserve">SLP with </w:t>
            </w:r>
            <w:proofErr w:type="spellStart"/>
            <w:r w:rsidRPr="004A129F">
              <w:rPr>
                <w:rFonts w:ascii="Times New Roman" w:hAnsi="Times New Roman" w:cs="Times New Roman"/>
                <w:sz w:val="24"/>
                <w:szCs w:val="24"/>
              </w:rPr>
              <w:t>Montanide</w:t>
            </w:r>
            <w:proofErr w:type="spellEnd"/>
            <w:r w:rsidRPr="004A129F">
              <w:rPr>
                <w:rFonts w:ascii="Times New Roman" w:hAnsi="Times New Roman" w:cs="Times New Roman"/>
                <w:sz w:val="24"/>
                <w:szCs w:val="24"/>
              </w:rPr>
              <w:t xml:space="preserve"> ISA-51adjuvant </w:t>
            </w:r>
          </w:p>
        </w:tc>
        <w:tc>
          <w:tcPr>
            <w:tcW w:w="328" w:type="pct"/>
          </w:tcPr>
          <w:p w14:paraId="6A1E8EBB" w14:textId="41E8A750"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 xml:space="preserve">Phase II </w:t>
            </w:r>
          </w:p>
        </w:tc>
        <w:tc>
          <w:tcPr>
            <w:tcW w:w="2737" w:type="pct"/>
          </w:tcPr>
          <w:p w14:paraId="315687AF" w14:textId="554938F1"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A reduction of at least 50% in lesion size (partial response) or complete regressions, and HPV16-specific T-cell responses were observed. 9/20 showed a complete and durable regression of the lesions at 12 and 24 months and, 5/20 patients revealed disappearance of the HPV16 virus from the sites of the original lesions. The strength of the vaccine-induced HPV16- specific T-cell response was significantly higher in patients with a complete regression of their lesions. Patients with large lesions were less likely to experience a complete clinical response than were patients with small lesions.</w:t>
            </w:r>
          </w:p>
        </w:tc>
        <w:tc>
          <w:tcPr>
            <w:tcW w:w="295" w:type="pct"/>
          </w:tcPr>
          <w:p w14:paraId="5F9FFFB1" w14:textId="45A993BC"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&lt;EndNote&gt;&lt;Cite&gt;&lt;Author&gt;Melief&lt;/Author&gt;&lt;Year&gt;2012&lt;/Year&gt;&lt;RecNum&gt;24&lt;/RecNum&gt;&lt;DisplayText&gt;[16]&lt;/DisplayText&gt;&lt;record&gt;&lt;rec-number&gt;24&lt;/rec-number&gt;&lt;foreign-keys&gt;&lt;key app="EN" db-id="s2sttzetzetpave5s2e5tve655rraxdp02r5" timestamp="1723987318"&gt;24&lt;/key&gt;&lt;/foreign-keys&gt;&lt;ref-type name="Journal Article"&gt;17&lt;/ref-type&gt;&lt;contributors&gt;&lt;authors&gt;&lt;author&gt;Melief, Cornelis JM&lt;/author&gt;&lt;/authors&gt;&lt;/contributors&gt;&lt;titles&gt;&lt;title&gt;Treatment of established lesions caused by high-risk human papilloma virus using a synthetic vaccine&lt;/title&gt;&lt;secondary-title&gt;Journal of immunotherapy&lt;/secondary-title&gt;&lt;/titles&gt;&lt;pages&gt;215-216&lt;/pages&gt;&lt;volume&gt;35&lt;/volume&gt;&lt;number&gt;3&lt;/number&gt;&lt;dates&gt;&lt;year&gt;2012&lt;/year&gt;&lt;/dates&gt;&lt;isbn&gt;1524-9557&lt;/isbn&gt;&lt;urls&gt;&lt;/urls&gt;&lt;/record&gt;&lt;/Cite&gt;&lt;/EndNote&gt;</w:instrText>
            </w:r>
            <w:r w:rsidRPr="004A129F">
              <w:fldChar w:fldCharType="separate"/>
            </w:r>
            <w:r w:rsidRPr="004A129F">
              <w:rPr>
                <w:noProof/>
                <w:sz w:val="24"/>
                <w:szCs w:val="24"/>
              </w:rPr>
              <w:t>[16]</w:t>
            </w:r>
            <w:r w:rsidRPr="004A129F">
              <w:fldChar w:fldCharType="end"/>
            </w:r>
          </w:p>
        </w:tc>
      </w:tr>
      <w:tr w:rsidR="004A129F" w:rsidRPr="004A129F" w14:paraId="62D35D91" w14:textId="77777777" w:rsidTr="00D5729D">
        <w:trPr>
          <w:jc w:val="center"/>
        </w:trPr>
        <w:tc>
          <w:tcPr>
            <w:tcW w:w="173" w:type="pct"/>
          </w:tcPr>
          <w:p w14:paraId="57407728" w14:textId="5A4DBFE9" w:rsidR="00D5729D" w:rsidRPr="004A129F" w:rsidRDefault="00D5729D" w:rsidP="002E5D3F">
            <w:pPr>
              <w:pStyle w:val="NormalWeb"/>
              <w:spacing w:line="360" w:lineRule="auto"/>
              <w:jc w:val="both"/>
              <w:rPr>
                <w:rFonts w:eastAsiaTheme="minorHAnsi"/>
                <w:kern w:val="2"/>
              </w:rPr>
            </w:pPr>
            <w:r w:rsidRPr="004A129F">
              <w:rPr>
                <w:rFonts w:eastAsiaTheme="minorHAnsi"/>
                <w:kern w:val="2"/>
              </w:rPr>
              <w:t>19</w:t>
            </w:r>
          </w:p>
        </w:tc>
        <w:tc>
          <w:tcPr>
            <w:tcW w:w="591" w:type="pct"/>
          </w:tcPr>
          <w:p w14:paraId="646EB85D" w14:textId="38BA1EE8" w:rsidR="00D5729D" w:rsidRPr="004A129F" w:rsidRDefault="00D5729D" w:rsidP="002E5D3F">
            <w:pPr>
              <w:pStyle w:val="NormalWeb"/>
              <w:spacing w:line="360" w:lineRule="auto"/>
              <w:jc w:val="both"/>
              <w:rPr>
                <w:rFonts w:eastAsiaTheme="minorHAnsi"/>
                <w:kern w:val="2"/>
                <w:sz w:val="24"/>
                <w:szCs w:val="24"/>
              </w:rPr>
            </w:pPr>
            <w:r w:rsidRPr="004A129F">
              <w:rPr>
                <w:rFonts w:eastAsiaTheme="minorHAnsi"/>
                <w:kern w:val="2"/>
                <w:sz w:val="24"/>
                <w:szCs w:val="24"/>
              </w:rPr>
              <w:t xml:space="preserve">Gemma G. Kenter, M.D., Ph.D., Marij J.P, et al. </w:t>
            </w:r>
          </w:p>
        </w:tc>
        <w:tc>
          <w:tcPr>
            <w:tcW w:w="328" w:type="pct"/>
          </w:tcPr>
          <w:p w14:paraId="06A3C61E" w14:textId="0C2711E6" w:rsidR="00D5729D" w:rsidRPr="004A129F" w:rsidRDefault="00D5729D" w:rsidP="002E5D3F">
            <w:pPr>
              <w:pStyle w:val="NormalWeb"/>
              <w:spacing w:line="360" w:lineRule="auto"/>
              <w:jc w:val="both"/>
              <w:rPr>
                <w:sz w:val="24"/>
                <w:szCs w:val="24"/>
              </w:rPr>
            </w:pPr>
            <w:r w:rsidRPr="004A129F">
              <w:rPr>
                <w:sz w:val="24"/>
                <w:szCs w:val="24"/>
              </w:rPr>
              <w:t>19</w:t>
            </w:r>
          </w:p>
        </w:tc>
        <w:tc>
          <w:tcPr>
            <w:tcW w:w="548" w:type="pct"/>
          </w:tcPr>
          <w:p w14:paraId="53F429D0" w14:textId="257E8C8E"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SLP with E7 in incomplete Freund’s adjuvant</w:t>
            </w:r>
          </w:p>
        </w:tc>
        <w:tc>
          <w:tcPr>
            <w:tcW w:w="328" w:type="pct"/>
          </w:tcPr>
          <w:p w14:paraId="58F50440" w14:textId="0729BCA2"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Phase II</w:t>
            </w:r>
          </w:p>
        </w:tc>
        <w:tc>
          <w:tcPr>
            <w:tcW w:w="2737" w:type="pct"/>
          </w:tcPr>
          <w:p w14:paraId="4AB0F679" w14:textId="791C90D0"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Five women had complete regression of the lesions, and HPV-16 was no longer detectable in four of them. At 12 months of follow-up, 15 of 19 patients had clinical responses (79%; 95% CI, 54 to 94), with a complete response in 9 of 19 patients (47%; 95% CI, 24 to 71). The complete-response rate was maintained at 24 months of follow-up. All patients had vaccine-induced T-cell responses, and post hoc analyses suggested that patients with a complete response at 3 months had a significantly stronger interferon- γ–associated proliferative CD4+ T-cell response and a broad response of CD8+ interferon-γ T cells than did patients without a complete response.</w:t>
            </w:r>
          </w:p>
        </w:tc>
        <w:tc>
          <w:tcPr>
            <w:tcW w:w="295" w:type="pct"/>
          </w:tcPr>
          <w:p w14:paraId="01EC5707" w14:textId="42DB410A"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&lt;EndNote&gt;&lt;Cite&gt;&lt;Author&gt;Kenter&lt;/Author&gt;&lt;Year&gt;2009&lt;/Year&gt;&lt;RecNum&gt;4&lt;/RecNum&gt;&lt;DisplayText&gt;[17]&lt;/DisplayText&gt;&lt;record&gt;&lt;rec-number&gt;4&lt;/rec-number&gt;&lt;foreign-keys&gt;&lt;key app="EN" db-id="s2sttzetzetpave5s2e5tve655rraxdp02r5" timestamp="1723986251"&gt;4&lt;/key&gt;&lt;/foreign-keys&gt;&lt;ref-type name="Journal Article"&gt;17&lt;/ref-type&gt;&lt;contributors&gt;&lt;authors&gt;&lt;author&gt;Kenter, Gemma G&lt;/author&gt;&lt;author&gt;Welters, Marij JP&lt;/author&gt;&lt;author&gt;Valentijn, A Rob PM&lt;/author&gt;&lt;author&gt;Lowik, Margriet JG&lt;/author&gt;&lt;author&gt;Berends-van der Meer, Dorien MA&lt;/author&gt;&lt;author&gt;Vloon, Annelies PG&lt;/author&gt;&lt;author&gt;Essahsah, Farah&lt;/author&gt;&lt;author&gt;Fathers, Lorraine M&lt;/author&gt;&lt;author&gt;Offringa, Rienk&lt;/author&gt;&lt;author&gt;Drijfhout, Jan Wouter&lt;/author&gt;&lt;/authors&gt;&lt;/contributors&gt;&lt;titles&gt;&lt;title&gt;Vaccination against HPV-16 oncoproteins for vulvar intraepithelial neoplasia&lt;/title&gt;&lt;secondary-title&gt;New England Journal of Medicine&lt;/secondary-title&gt;&lt;/titles&gt;&lt;pages&gt;1838-1847&lt;/pages&gt;&lt;volume&gt;361&lt;/volume&gt;&lt;number&gt;19&lt;/number&gt;&lt;dates&gt;&lt;year&gt;2009&lt;/year&gt;&lt;/dates&gt;&lt;isbn&gt;0028-4793&lt;/isbn&gt;&lt;urls&gt;&lt;/urls&gt;&lt;/record&gt;&lt;/Cite&gt;&lt;/EndNote&gt;</w:instrText>
            </w:r>
            <w:r w:rsidRPr="004A129F">
              <w:fldChar w:fldCharType="separate"/>
            </w:r>
            <w:r w:rsidRPr="004A129F">
              <w:rPr>
                <w:noProof/>
                <w:sz w:val="24"/>
                <w:szCs w:val="24"/>
              </w:rPr>
              <w:t>[17]</w:t>
            </w:r>
            <w:r w:rsidRPr="004A129F">
              <w:fldChar w:fldCharType="end"/>
            </w:r>
          </w:p>
        </w:tc>
      </w:tr>
      <w:tr w:rsidR="004A129F" w:rsidRPr="004A129F" w14:paraId="7CE47978" w14:textId="77777777" w:rsidTr="00D5729D">
        <w:trPr>
          <w:jc w:val="center"/>
        </w:trPr>
        <w:tc>
          <w:tcPr>
            <w:tcW w:w="173" w:type="pct"/>
          </w:tcPr>
          <w:p w14:paraId="21929D22" w14:textId="63F54B4F" w:rsidR="00D5729D" w:rsidRPr="004A129F" w:rsidRDefault="00D5729D" w:rsidP="002E5D3F">
            <w:pPr>
              <w:pStyle w:val="NormalWeb"/>
              <w:spacing w:line="360" w:lineRule="auto"/>
              <w:jc w:val="both"/>
              <w:rPr>
                <w:rFonts w:eastAsiaTheme="minorHAnsi"/>
                <w:kern w:val="2"/>
              </w:rPr>
            </w:pPr>
            <w:r w:rsidRPr="004A129F">
              <w:rPr>
                <w:rFonts w:eastAsiaTheme="minorHAnsi"/>
                <w:kern w:val="2"/>
              </w:rPr>
              <w:t>20</w:t>
            </w:r>
          </w:p>
        </w:tc>
        <w:tc>
          <w:tcPr>
            <w:tcW w:w="591" w:type="pct"/>
          </w:tcPr>
          <w:p w14:paraId="60756985" w14:textId="5F28214E" w:rsidR="00D5729D" w:rsidRPr="004A129F" w:rsidRDefault="00D5729D" w:rsidP="002E5D3F">
            <w:pPr>
              <w:pStyle w:val="NormalWeb"/>
              <w:spacing w:line="360" w:lineRule="auto"/>
              <w:jc w:val="both"/>
              <w:rPr>
                <w:rFonts w:eastAsiaTheme="minorHAnsi"/>
                <w:kern w:val="2"/>
                <w:sz w:val="24"/>
                <w:szCs w:val="24"/>
              </w:rPr>
            </w:pPr>
            <w:r w:rsidRPr="004A129F">
              <w:rPr>
                <w:rFonts w:eastAsiaTheme="minorHAnsi"/>
                <w:kern w:val="2"/>
                <w:sz w:val="24"/>
                <w:szCs w:val="24"/>
              </w:rPr>
              <w:t>Sjoerd H van der Burg</w:t>
            </w:r>
            <w:r w:rsidRPr="004A129F">
              <w:rPr>
                <w:rFonts w:eastAsiaTheme="minorHAnsi"/>
                <w:kern w:val="2"/>
                <w:sz w:val="24"/>
                <w:szCs w:val="24"/>
                <w:vertAlign w:val="superscript"/>
              </w:rPr>
              <w:t>2*,</w:t>
            </w:r>
            <w:r w:rsidRPr="004A129F">
              <w:rPr>
                <w:rFonts w:eastAsiaTheme="minorHAnsi"/>
                <w:kern w:val="2"/>
                <w:sz w:val="24"/>
                <w:szCs w:val="24"/>
              </w:rPr>
              <w:t xml:space="preserve"> Mariette I E van Poelgeest</w:t>
            </w:r>
            <w:r w:rsidRPr="004A129F">
              <w:rPr>
                <w:rFonts w:eastAsiaTheme="minorHAnsi"/>
                <w:kern w:val="2"/>
                <w:sz w:val="24"/>
                <w:szCs w:val="24"/>
                <w:vertAlign w:val="superscript"/>
              </w:rPr>
              <w:t>1</w:t>
            </w:r>
            <w:r w:rsidRPr="004A129F">
              <w:rPr>
                <w:rFonts w:eastAsiaTheme="minorHAnsi"/>
                <w:kern w:val="2"/>
                <w:sz w:val="24"/>
                <w:szCs w:val="24"/>
              </w:rPr>
              <w:t>, Marij J P Welters</w:t>
            </w:r>
            <w:r w:rsidRPr="004A129F">
              <w:rPr>
                <w:rFonts w:eastAsiaTheme="minorHAnsi"/>
                <w:kern w:val="2"/>
                <w:sz w:val="24"/>
                <w:szCs w:val="24"/>
                <w:vertAlign w:val="superscript"/>
              </w:rPr>
              <w:t>2</w:t>
            </w:r>
            <w:r w:rsidRPr="004A129F">
              <w:rPr>
                <w:rFonts w:eastAsiaTheme="minorHAnsi"/>
                <w:kern w:val="2"/>
                <w:sz w:val="24"/>
                <w:szCs w:val="24"/>
              </w:rPr>
              <w:t>, et al.</w:t>
            </w:r>
          </w:p>
        </w:tc>
        <w:tc>
          <w:tcPr>
            <w:tcW w:w="328" w:type="pct"/>
          </w:tcPr>
          <w:p w14:paraId="135E04D6" w14:textId="75B8C9EE" w:rsidR="00D5729D" w:rsidRPr="004A129F" w:rsidRDefault="00D5729D" w:rsidP="002E5D3F">
            <w:pPr>
              <w:pStyle w:val="NormalWeb"/>
              <w:spacing w:line="360" w:lineRule="auto"/>
              <w:jc w:val="both"/>
              <w:rPr>
                <w:sz w:val="24"/>
                <w:szCs w:val="24"/>
              </w:rPr>
            </w:pPr>
            <w:r w:rsidRPr="004A129F">
              <w:rPr>
                <w:sz w:val="24"/>
                <w:szCs w:val="24"/>
              </w:rPr>
              <w:t>20</w:t>
            </w:r>
          </w:p>
        </w:tc>
        <w:tc>
          <w:tcPr>
            <w:tcW w:w="548" w:type="pct"/>
          </w:tcPr>
          <w:p w14:paraId="18EC4057" w14:textId="4C10C882"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 xml:space="preserve">HPV16-SLP in </w:t>
            </w:r>
            <w:proofErr w:type="spellStart"/>
            <w:r w:rsidRPr="004A129F">
              <w:rPr>
                <w:rFonts w:ascii="Times New Roman" w:hAnsi="Times New Roman" w:cs="Times New Roman"/>
                <w:sz w:val="24"/>
                <w:szCs w:val="24"/>
              </w:rPr>
              <w:t>Montanide</w:t>
            </w:r>
            <w:proofErr w:type="spellEnd"/>
            <w:r w:rsidRPr="004A129F">
              <w:rPr>
                <w:rFonts w:ascii="Times New Roman" w:hAnsi="Times New Roman" w:cs="Times New Roman"/>
                <w:sz w:val="24"/>
                <w:szCs w:val="24"/>
              </w:rPr>
              <w:t xml:space="preserve"> ISA-51 adjuvant</w:t>
            </w:r>
          </w:p>
        </w:tc>
        <w:tc>
          <w:tcPr>
            <w:tcW w:w="328" w:type="pct"/>
          </w:tcPr>
          <w:p w14:paraId="3A6CFEBB" w14:textId="6667BFCA"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Phase II</w:t>
            </w:r>
          </w:p>
        </w:tc>
        <w:tc>
          <w:tcPr>
            <w:tcW w:w="2737" w:type="pct"/>
          </w:tcPr>
          <w:p w14:paraId="02751D76" w14:textId="1D84AE66"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 xml:space="preserve">In 9 out of 16 tested patients’ vaccine-induced HPV16-specific proliferative responses were detected which were associated with the production of </w:t>
            </w:r>
            <w:proofErr w:type="spellStart"/>
            <w:r w:rsidRPr="004A129F">
              <w:rPr>
                <w:rFonts w:ascii="Times New Roman" w:hAnsi="Times New Roman" w:cs="Times New Roman"/>
                <w:sz w:val="24"/>
                <w:szCs w:val="24"/>
              </w:rPr>
              <w:t>IFNγ</w:t>
            </w:r>
            <w:proofErr w:type="spellEnd"/>
            <w:r w:rsidRPr="004A129F">
              <w:rPr>
                <w:rFonts w:ascii="Times New Roman" w:hAnsi="Times New Roman" w:cs="Times New Roman"/>
                <w:sz w:val="24"/>
                <w:szCs w:val="24"/>
              </w:rPr>
              <w:t>, TNFα, IL-5 and/or IL-10. ELISPOT analysis revealed a vaccine induced immune response in 11 of the 13 tested patients. No regression of tumors was observed among the 12 evaluable patients. Nineteen patients died of progressive disease</w:t>
            </w:r>
          </w:p>
        </w:tc>
        <w:tc>
          <w:tcPr>
            <w:tcW w:w="295" w:type="pct"/>
          </w:tcPr>
          <w:p w14:paraId="61F7DCF4" w14:textId="733230FE"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&lt;EndNote&gt;&lt;Cite&gt;&lt;Author&gt;van Poelgeest&lt;/Author&gt;&lt;Year&gt;2013&lt;/Year&gt;&lt;RecNum&gt;28&lt;/RecNum&gt;&lt;DisplayText&gt;[18]&lt;/DisplayText&gt;&lt;record&gt;&lt;rec-number&gt;28&lt;/rec-number&gt;&lt;foreign-keys&gt;&lt;key app="EN" db-id="s2sttzetzetpave5s2e5tve655rraxdp02r5" timestamp="1745410378"&gt;28&lt;/key&gt;&lt;/foreign-keys&gt;&lt;ref-type name="Journal Article"&gt;17&lt;/ref-type&gt;&lt;contributors&gt;&lt;authors&gt;&lt;author&gt;van Poelgeest, Mariette IE&lt;/author&gt;&lt;author&gt;Welters, Marij JP&lt;/author&gt;&lt;author&gt;van Esch, Edith MG&lt;/author&gt;&lt;author&gt;Stynenbosch, Linda FM&lt;/author&gt;&lt;author&gt;Kerpershoek, Gijs&lt;/author&gt;&lt;author&gt;van Persijn van Meerten, Els L&lt;/author&gt;&lt;author&gt;van den Hende, Muriel&lt;/author&gt;&lt;author&gt;Löwik, Margriet JG&lt;/author&gt;&lt;author&gt;Berends-van der Meer, Dorien MA&lt;/author&gt;&lt;author&gt;Fathers, Lorraine M&lt;/author&gt;&lt;/authors&gt;&lt;/contributors&gt;&lt;titles&gt;&lt;title&gt;HPV16 synthetic long peptide (HPV16-SLP) vaccination therapy of patients with advanced or recurrent HPV16-induced gynecological carcinoma, a phase II trial&lt;/title&gt;&lt;secondary-title&gt;Journal of translational medicine&lt;/secondary-title&gt;&lt;/titles&gt;&lt;periodical&gt;&lt;full-title&gt;Journal of translational medicine&lt;/full-title&gt;&lt;/periodical&gt;&lt;pages&gt;1-14&lt;/pages&gt;&lt;volume&gt;11&lt;/volume&gt;&lt;dates&gt;&lt;year&gt;2013&lt;/year&gt;&lt;/dates&gt;&lt;urls&gt;&lt;/urls&gt;&lt;/record&gt;&lt;/Cite&gt;&lt;/EndNote&gt;</w:instrText>
            </w:r>
            <w:r w:rsidRPr="004A129F">
              <w:fldChar w:fldCharType="separate"/>
            </w:r>
            <w:r w:rsidRPr="004A129F">
              <w:rPr>
                <w:noProof/>
                <w:sz w:val="24"/>
                <w:szCs w:val="24"/>
              </w:rPr>
              <w:t>[18]</w:t>
            </w:r>
            <w:r w:rsidRPr="004A129F">
              <w:fldChar w:fldCharType="end"/>
            </w:r>
          </w:p>
        </w:tc>
      </w:tr>
      <w:tr w:rsidR="004A129F" w:rsidRPr="004A129F" w14:paraId="0F0FB2D8" w14:textId="77777777" w:rsidTr="00D5729D">
        <w:trPr>
          <w:jc w:val="center"/>
        </w:trPr>
        <w:tc>
          <w:tcPr>
            <w:tcW w:w="173" w:type="pct"/>
          </w:tcPr>
          <w:p w14:paraId="51D71A2B" w14:textId="26AECD1E" w:rsidR="00D5729D" w:rsidRPr="004A129F" w:rsidRDefault="00D5729D" w:rsidP="002E5D3F">
            <w:pPr>
              <w:pStyle w:val="NormalWeb"/>
              <w:spacing w:line="360" w:lineRule="auto"/>
              <w:jc w:val="both"/>
              <w:rPr>
                <w:rFonts w:eastAsiaTheme="minorHAnsi"/>
                <w:kern w:val="2"/>
              </w:rPr>
            </w:pPr>
            <w:r w:rsidRPr="004A129F">
              <w:rPr>
                <w:rFonts w:eastAsiaTheme="minorHAnsi"/>
                <w:kern w:val="2"/>
              </w:rPr>
              <w:t>21</w:t>
            </w:r>
          </w:p>
        </w:tc>
        <w:tc>
          <w:tcPr>
            <w:tcW w:w="591" w:type="pct"/>
          </w:tcPr>
          <w:p w14:paraId="2B3EB623" w14:textId="10A2D521" w:rsidR="00D5729D" w:rsidRPr="004A129F" w:rsidRDefault="00D5729D" w:rsidP="002E5D3F">
            <w:pPr>
              <w:pStyle w:val="NormalWeb"/>
              <w:spacing w:line="360" w:lineRule="auto"/>
              <w:jc w:val="both"/>
              <w:rPr>
                <w:rFonts w:eastAsiaTheme="minorHAnsi"/>
                <w:kern w:val="2"/>
                <w:sz w:val="24"/>
                <w:szCs w:val="24"/>
              </w:rPr>
            </w:pPr>
            <w:r w:rsidRPr="004A129F">
              <w:rPr>
                <w:rFonts w:eastAsiaTheme="minorHAnsi"/>
                <w:kern w:val="2"/>
                <w:sz w:val="24"/>
                <w:szCs w:val="24"/>
              </w:rPr>
              <w:t xml:space="preserve">Peggy J. de </w:t>
            </w:r>
            <w:proofErr w:type="spellStart"/>
            <w:r w:rsidRPr="004A129F">
              <w:rPr>
                <w:rFonts w:eastAsiaTheme="minorHAnsi"/>
                <w:kern w:val="2"/>
                <w:sz w:val="24"/>
                <w:szCs w:val="24"/>
              </w:rPr>
              <w:t>Vos</w:t>
            </w:r>
            <w:proofErr w:type="spellEnd"/>
            <w:r w:rsidRPr="004A129F">
              <w:rPr>
                <w:rFonts w:eastAsiaTheme="minorHAnsi"/>
                <w:kern w:val="2"/>
                <w:sz w:val="24"/>
                <w:szCs w:val="24"/>
              </w:rPr>
              <w:t xml:space="preserve"> van </w:t>
            </w:r>
            <w:proofErr w:type="spellStart"/>
            <w:r w:rsidRPr="004A129F">
              <w:rPr>
                <w:rFonts w:eastAsiaTheme="minorHAnsi"/>
                <w:kern w:val="2"/>
                <w:sz w:val="24"/>
                <w:szCs w:val="24"/>
              </w:rPr>
              <w:t>Steenwijk</w:t>
            </w:r>
            <w:proofErr w:type="spellEnd"/>
            <w:r w:rsidRPr="004A129F">
              <w:rPr>
                <w:rFonts w:eastAsiaTheme="minorHAnsi"/>
                <w:kern w:val="2"/>
                <w:sz w:val="24"/>
                <w:szCs w:val="24"/>
              </w:rPr>
              <w:t xml:space="preserve"> • Tamara H. </w:t>
            </w:r>
            <w:proofErr w:type="spellStart"/>
            <w:r w:rsidRPr="004A129F">
              <w:rPr>
                <w:rFonts w:eastAsiaTheme="minorHAnsi"/>
                <w:kern w:val="2"/>
                <w:sz w:val="24"/>
                <w:szCs w:val="24"/>
              </w:rPr>
              <w:t>Ramwadhdoebe</w:t>
            </w:r>
            <w:proofErr w:type="spellEnd"/>
            <w:r w:rsidRPr="004A129F">
              <w:rPr>
                <w:rFonts w:eastAsiaTheme="minorHAnsi"/>
                <w:kern w:val="2"/>
                <w:sz w:val="24"/>
                <w:szCs w:val="24"/>
              </w:rPr>
              <w:t>, et al.</w:t>
            </w:r>
          </w:p>
        </w:tc>
        <w:tc>
          <w:tcPr>
            <w:tcW w:w="328" w:type="pct"/>
          </w:tcPr>
          <w:p w14:paraId="1FDE3642" w14:textId="446352EE" w:rsidR="00D5729D" w:rsidRPr="004A129F" w:rsidRDefault="00D5729D" w:rsidP="002E5D3F">
            <w:pPr>
              <w:pStyle w:val="NormalWeb"/>
              <w:spacing w:line="360" w:lineRule="auto"/>
              <w:jc w:val="both"/>
              <w:rPr>
                <w:sz w:val="24"/>
                <w:szCs w:val="24"/>
              </w:rPr>
            </w:pPr>
            <w:r w:rsidRPr="004A129F">
              <w:rPr>
                <w:sz w:val="24"/>
                <w:szCs w:val="24"/>
              </w:rPr>
              <w:t>5</w:t>
            </w:r>
          </w:p>
        </w:tc>
        <w:tc>
          <w:tcPr>
            <w:tcW w:w="548" w:type="pct"/>
          </w:tcPr>
          <w:p w14:paraId="2AD437C7" w14:textId="373C8A6A"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(HPV16-SLP</w:t>
            </w:r>
          </w:p>
        </w:tc>
        <w:tc>
          <w:tcPr>
            <w:tcW w:w="328" w:type="pct"/>
          </w:tcPr>
          <w:p w14:paraId="2A6C90CE" w14:textId="47575FE2"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Phase II</w:t>
            </w:r>
          </w:p>
        </w:tc>
        <w:tc>
          <w:tcPr>
            <w:tcW w:w="2737" w:type="pct"/>
          </w:tcPr>
          <w:p w14:paraId="21FBFB91" w14:textId="752D9CF2"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 xml:space="preserve">A strong HPV-specific IFN-associated T-cell response was detected in all vaccinated patients. The cytokine profile associated with HPV16-specific proliferation varied from robust type 1 to dominant type 2 responses. No conclusions could be drawn on vaccine-enhanced T-cell infiltration of the lesion, and there was no HPV clearance at the time of LEEP excision. Thus, vaccination of HSIL patients results in increased HPV16-specific T-cell immunity. </w:t>
            </w:r>
          </w:p>
        </w:tc>
        <w:tc>
          <w:tcPr>
            <w:tcW w:w="295" w:type="pct"/>
          </w:tcPr>
          <w:p w14:paraId="5AEE9D26" w14:textId="4BAE00BF"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&lt;EndNote&gt;&lt;Cite&gt;&lt;Author&gt;de Vos van Steenwijk&lt;/Author&gt;&lt;Year&gt;2012&lt;/Year&gt;&lt;RecNum&gt;29&lt;/RecNum&gt;&lt;DisplayText&gt;[19]&lt;/DisplayText&gt;&lt;record&gt;&lt;rec-number&gt;29&lt;/rec-number&gt;&lt;foreign-keys&gt;&lt;key app="EN" db-id="s2sttzetzetpave5s2e5tve655rraxdp02r5" timestamp="1745411631"&gt;29&lt;/key&gt;&lt;/foreign-keys&gt;&lt;ref-type name="Journal Article"&gt;17&lt;/ref-type&gt;&lt;contributors&gt;&lt;authors&gt;&lt;author&gt;de Vos van Steenwijk, Peggy J.&lt;/author&gt;&lt;author&gt;Ramwadhdoebe, Tamara H.&lt;/author&gt;&lt;author&gt;Löwik, Margriet J. G.&lt;/author&gt;&lt;author&gt;van der Minne, Caroline E.&lt;/author&gt;&lt;author&gt;Berends-van der Meer, Dorien M. A.&lt;/author&gt;&lt;author&gt;Fathers, Lorraine M.&lt;/author&gt;&lt;author&gt;Valentijn, A. Rob P. M.&lt;/author&gt;&lt;author&gt;Oostendorp, Jaap&lt;/author&gt;&lt;author&gt;Fleuren, Gert Jan&lt;/author&gt;&lt;author&gt;Hellebrekers, Bart W. J.&lt;/author&gt;&lt;author&gt;Welters, Marij J. P.&lt;/author&gt;&lt;author&gt;van Poelgeest, Mariette I.&lt;/author&gt;&lt;author&gt;Melief, Cornelis J. M.&lt;/author&gt;&lt;author&gt;Kenter, Gemma G.&lt;/author&gt;&lt;author&gt;van der Burg, Sjoerd H.&lt;/author&gt;&lt;/authors&gt;&lt;/contributors&gt;&lt;titles&gt;&lt;title&gt;A placebo-controlled randomized HPV16 synthetic long-peptide vaccination study in women with high-grade cervical squamous intraepithelial lesions&lt;/title&gt;&lt;secondary-title&gt;Cancer Immunology, Immunotherapy&lt;/secondary-title&gt;&lt;/titles&gt;&lt;periodical&gt;&lt;full-title&gt;Cancer Immunology, Immunotherapy&lt;/full-title&gt;&lt;/periodical&gt;&lt;pages&gt;1485-1492&lt;/pages&gt;&lt;volume&gt;61&lt;/volume&gt;&lt;number&gt;9&lt;/number&gt;&lt;dates&gt;&lt;year&gt;2012&lt;/year&gt;&lt;pub-dates&gt;&lt;date&gt;2012/09/01&lt;/date&gt;&lt;/pub-dates&gt;&lt;/dates&gt;&lt;isbn&gt;1432-0851&lt;/isbn&gt;&lt;urls&gt;&lt;related-urls&gt;&lt;url&gt;https://doi.org/10.1007/s00262-012-1292-7&lt;/url&gt;&lt;/related-urls&gt;&lt;/urls&gt;&lt;electronic-resource-num&gt;10.1007/s00262-012-1292-7&lt;/electronic-resource-num&gt;&lt;/record&gt;&lt;/Cite&gt;&lt;/EndNote&gt;</w:instrText>
            </w:r>
            <w:r w:rsidRPr="004A129F">
              <w:fldChar w:fldCharType="separate"/>
            </w:r>
            <w:r w:rsidRPr="004A129F">
              <w:rPr>
                <w:noProof/>
                <w:sz w:val="24"/>
                <w:szCs w:val="24"/>
              </w:rPr>
              <w:t>[19]</w:t>
            </w:r>
            <w:r w:rsidRPr="004A129F">
              <w:fldChar w:fldCharType="end"/>
            </w:r>
          </w:p>
        </w:tc>
      </w:tr>
      <w:tr w:rsidR="004A129F" w:rsidRPr="004A129F" w14:paraId="1E4E0A7A" w14:textId="77777777" w:rsidTr="00D5729D">
        <w:trPr>
          <w:jc w:val="center"/>
        </w:trPr>
        <w:tc>
          <w:tcPr>
            <w:tcW w:w="173" w:type="pct"/>
          </w:tcPr>
          <w:p w14:paraId="478E448D" w14:textId="5EDF8237" w:rsidR="00D5729D" w:rsidRPr="004A129F" w:rsidRDefault="00D5729D" w:rsidP="002E5D3F">
            <w:pPr>
              <w:pStyle w:val="NormalWeb"/>
              <w:spacing w:line="360" w:lineRule="auto"/>
              <w:jc w:val="both"/>
            </w:pPr>
            <w:r w:rsidRPr="004A129F">
              <w:t>22</w:t>
            </w:r>
          </w:p>
        </w:tc>
        <w:tc>
          <w:tcPr>
            <w:tcW w:w="591" w:type="pct"/>
          </w:tcPr>
          <w:p w14:paraId="2E0BC9DC" w14:textId="4413D2E4" w:rsidR="00D5729D" w:rsidRPr="004A129F" w:rsidRDefault="004A129F" w:rsidP="002E5D3F">
            <w:pPr>
              <w:pStyle w:val="NormalWeb"/>
              <w:spacing w:line="360" w:lineRule="auto"/>
              <w:jc w:val="both"/>
              <w:rPr>
                <w:rFonts w:eastAsiaTheme="minorHAnsi"/>
                <w:kern w:val="2"/>
                <w:sz w:val="24"/>
                <w:szCs w:val="24"/>
              </w:rPr>
            </w:pPr>
            <w:hyperlink r:id="rId5" w:anchor="con1" w:history="1">
              <w:r w:rsidR="00D5729D" w:rsidRPr="004A129F">
                <w:rPr>
                  <w:rStyle w:val="Hyperlink"/>
                  <w:rFonts w:eastAsiaTheme="minorHAnsi"/>
                  <w:color w:val="auto"/>
                  <w:kern w:val="2"/>
                  <w:sz w:val="24"/>
                  <w:szCs w:val="24"/>
                  <w:u w:val="none"/>
                </w:rPr>
                <w:t>Alessandro D. </w:t>
              </w:r>
              <w:proofErr w:type="spellStart"/>
              <w:r w:rsidR="00D5729D" w:rsidRPr="004A129F">
                <w:rPr>
                  <w:rStyle w:val="Hyperlink"/>
                  <w:rFonts w:eastAsiaTheme="minorHAnsi"/>
                  <w:color w:val="auto"/>
                  <w:kern w:val="2"/>
                  <w:sz w:val="24"/>
                  <w:szCs w:val="24"/>
                  <w:u w:val="none"/>
                </w:rPr>
                <w:t>Santin</w:t>
              </w:r>
              <w:proofErr w:type="spellEnd"/>
            </w:hyperlink>
            <w:r w:rsidR="00D5729D" w:rsidRPr="004A129F">
              <w:rPr>
                <w:rFonts w:eastAsiaTheme="minorHAnsi"/>
                <w:kern w:val="2"/>
                <w:sz w:val="24"/>
                <w:szCs w:val="24"/>
              </w:rPr>
              <w:t> </w:t>
            </w:r>
            <w:proofErr w:type="spellStart"/>
            <w:r w:rsidR="00D5729D" w:rsidRPr="004A129F">
              <w:rPr>
                <w:rFonts w:eastAsiaTheme="minorHAnsi"/>
                <w:kern w:val="2"/>
              </w:rPr>
              <w:fldChar w:fldCharType="begin"/>
            </w:r>
            <w:r w:rsidR="00D5729D" w:rsidRPr="004A129F">
              <w:rPr>
                <w:rFonts w:eastAsiaTheme="minorHAnsi"/>
                <w:kern w:val="2"/>
                <w:sz w:val="24"/>
                <w:szCs w:val="24"/>
              </w:rPr>
              <w:instrText>HYPERLINK "mailto:santinalessandrod@uams.edu"</w:instrText>
            </w:r>
            <w:r w:rsidR="00D5729D" w:rsidRPr="004A129F">
              <w:rPr>
                <w:rFonts w:eastAsiaTheme="minorHAnsi"/>
                <w:kern w:val="2"/>
              </w:rPr>
              <w:fldChar w:fldCharType="separate"/>
            </w:r>
            <w:r w:rsidR="00D5729D" w:rsidRPr="004A129F">
              <w:rPr>
                <w:rStyle w:val="Hyperlink"/>
                <w:rFonts w:eastAsiaTheme="minorHAnsi"/>
                <w:color w:val="auto"/>
                <w:kern w:val="2"/>
                <w:sz w:val="24"/>
                <w:szCs w:val="24"/>
                <w:u w:val="none"/>
              </w:rPr>
              <w:t>santinales</w:t>
            </w:r>
            <w:proofErr w:type="spellEnd"/>
            <w:r w:rsidR="00D5729D" w:rsidRPr="004A129F">
              <w:rPr>
                <w:rStyle w:val="Hyperlink"/>
                <w:rFonts w:eastAsiaTheme="minorHAnsi"/>
                <w:color w:val="auto"/>
                <w:kern w:val="2"/>
                <w:sz w:val="24"/>
                <w:szCs w:val="24"/>
                <w:u w:val="none"/>
              </w:rPr>
              <w:t>,</w:t>
            </w:r>
            <w:r w:rsidR="00D5729D" w:rsidRPr="004A129F">
              <w:rPr>
                <w:rFonts w:eastAsiaTheme="minorHAnsi"/>
                <w:kern w:val="2"/>
              </w:rPr>
              <w:fldChar w:fldCharType="end"/>
            </w:r>
            <w:r w:rsidR="00D5729D" w:rsidRPr="004A129F">
              <w:rPr>
                <w:rFonts w:eastAsiaTheme="minorHAnsi"/>
                <w:kern w:val="2"/>
                <w:sz w:val="24"/>
                <w:szCs w:val="24"/>
              </w:rPr>
              <w:t xml:space="preserve"> </w:t>
            </w:r>
            <w:hyperlink r:id="rId6" w:anchor="con2" w:history="1">
              <w:r w:rsidR="00D5729D" w:rsidRPr="004A129F">
                <w:rPr>
                  <w:rStyle w:val="Hyperlink"/>
                  <w:rFonts w:eastAsiaTheme="minorHAnsi"/>
                  <w:color w:val="auto"/>
                  <w:kern w:val="2"/>
                  <w:sz w:val="24"/>
                  <w:szCs w:val="24"/>
                  <w:u w:val="none"/>
                </w:rPr>
                <w:t>Stefania </w:t>
              </w:r>
              <w:proofErr w:type="spellStart"/>
              <w:r w:rsidR="00D5729D" w:rsidRPr="004A129F">
                <w:rPr>
                  <w:rStyle w:val="Hyperlink"/>
                  <w:rFonts w:eastAsiaTheme="minorHAnsi"/>
                  <w:color w:val="auto"/>
                  <w:kern w:val="2"/>
                  <w:sz w:val="24"/>
                  <w:szCs w:val="24"/>
                  <w:u w:val="none"/>
                </w:rPr>
                <w:t>Bellone</w:t>
              </w:r>
              <w:proofErr w:type="spellEnd"/>
            </w:hyperlink>
            <w:r w:rsidR="00D5729D" w:rsidRPr="004A129F">
              <w:rPr>
                <w:rFonts w:eastAsiaTheme="minorHAnsi"/>
                <w:kern w:val="2"/>
                <w:sz w:val="24"/>
                <w:szCs w:val="24"/>
              </w:rPr>
              <w:t>, </w:t>
            </w:r>
            <w:hyperlink r:id="rId7" w:anchor="con3" w:history="1">
              <w:r w:rsidR="00D5729D" w:rsidRPr="004A129F">
                <w:rPr>
                  <w:rStyle w:val="Hyperlink"/>
                  <w:rFonts w:eastAsiaTheme="minorHAnsi"/>
                  <w:color w:val="auto"/>
                  <w:kern w:val="2"/>
                  <w:sz w:val="24"/>
                  <w:szCs w:val="24"/>
                  <w:u w:val="none"/>
                </w:rPr>
                <w:t>Michela Palmieri</w:t>
              </w:r>
            </w:hyperlink>
            <w:r w:rsidR="00D5729D" w:rsidRPr="004A129F">
              <w:rPr>
                <w:rFonts w:eastAsiaTheme="minorHAnsi"/>
                <w:kern w:val="2"/>
                <w:sz w:val="24"/>
                <w:szCs w:val="24"/>
              </w:rPr>
              <w:t>, et al.</w:t>
            </w:r>
          </w:p>
        </w:tc>
        <w:tc>
          <w:tcPr>
            <w:tcW w:w="328" w:type="pct"/>
          </w:tcPr>
          <w:p w14:paraId="154BCB99" w14:textId="285043DC" w:rsidR="00D5729D" w:rsidRPr="004A129F" w:rsidRDefault="00D5729D" w:rsidP="002E5D3F">
            <w:pPr>
              <w:pStyle w:val="NormalWeb"/>
              <w:spacing w:line="360" w:lineRule="auto"/>
              <w:jc w:val="both"/>
              <w:rPr>
                <w:sz w:val="24"/>
                <w:szCs w:val="24"/>
              </w:rPr>
            </w:pPr>
            <w:r w:rsidRPr="004A129F">
              <w:rPr>
                <w:sz w:val="24"/>
                <w:szCs w:val="24"/>
              </w:rPr>
              <w:t>10</w:t>
            </w:r>
          </w:p>
        </w:tc>
        <w:tc>
          <w:tcPr>
            <w:tcW w:w="548" w:type="pct"/>
          </w:tcPr>
          <w:p w14:paraId="73085CD2" w14:textId="789CDC29"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HPV Type 16 and 18 E7-Pulsed Dendritic Cell Vaccine</w:t>
            </w:r>
          </w:p>
          <w:p w14:paraId="17CE7BC9" w14:textId="59D55722" w:rsidR="00D5729D" w:rsidRPr="004A129F" w:rsidRDefault="00D5729D" w:rsidP="002E5D3F">
            <w:pPr>
              <w:spacing w:line="360" w:lineRule="auto"/>
              <w:jc w:val="both"/>
              <w:rPr>
                <w:rFonts w:ascii="Times New Roman" w:hAnsi="Times New Roman" w:cs="Times New Roman"/>
                <w:sz w:val="24"/>
                <w:szCs w:val="24"/>
              </w:rPr>
            </w:pPr>
          </w:p>
        </w:tc>
        <w:tc>
          <w:tcPr>
            <w:tcW w:w="328" w:type="pct"/>
          </w:tcPr>
          <w:p w14:paraId="676F8145" w14:textId="146DC14F"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Phase II</w:t>
            </w:r>
          </w:p>
        </w:tc>
        <w:tc>
          <w:tcPr>
            <w:tcW w:w="2737" w:type="pct"/>
          </w:tcPr>
          <w:p w14:paraId="3BBF1732" w14:textId="27D855AE" w:rsidR="00D5729D" w:rsidRPr="004A129F" w:rsidRDefault="00D5729D" w:rsidP="002E5D3F">
            <w:pPr>
              <w:spacing w:line="360" w:lineRule="auto"/>
              <w:jc w:val="both"/>
              <w:rPr>
                <w:rFonts w:ascii="Times New Roman" w:hAnsi="Times New Roman" w:cs="Times New Roman"/>
                <w:sz w:val="24"/>
                <w:szCs w:val="24"/>
              </w:rPr>
            </w:pPr>
            <w:r w:rsidRPr="004A129F">
              <w:rPr>
                <w:rFonts w:ascii="Times New Roman" w:hAnsi="Times New Roman" w:cs="Times New Roman"/>
                <w:sz w:val="24"/>
                <w:szCs w:val="24"/>
              </w:rPr>
              <w:t>8 out of 10 patients demonstrated levels of E7-specific CD8</w:t>
            </w:r>
            <w:r w:rsidRPr="004A129F">
              <w:rPr>
                <w:rFonts w:ascii="Times New Roman" w:hAnsi="Times New Roman" w:cs="Times New Roman"/>
                <w:sz w:val="24"/>
                <w:szCs w:val="24"/>
                <w:vertAlign w:val="superscript"/>
              </w:rPr>
              <w:t>+</w:t>
            </w:r>
            <w:r w:rsidRPr="004A129F">
              <w:rPr>
                <w:rFonts w:ascii="Times New Roman" w:hAnsi="Times New Roman" w:cs="Times New Roman"/>
                <w:sz w:val="24"/>
                <w:szCs w:val="24"/>
              </w:rPr>
              <w:t> T-cell counts. HPV E7-loaded DC vaccination is safe and immunogenic for stage IB or IIA cervical cancer patients. Phase II E7-pulsed DC-based vaccination trials with cervical cancer patients harboring a limited tumor burden, or who are at significant risk of tumor recurrence, are warranted.</w:t>
            </w:r>
          </w:p>
        </w:tc>
        <w:tc>
          <w:tcPr>
            <w:tcW w:w="295" w:type="pct"/>
          </w:tcPr>
          <w:p w14:paraId="2CE9BEEB" w14:textId="3250495C" w:rsidR="00D5729D" w:rsidRPr="004A129F" w:rsidRDefault="00D5729D" w:rsidP="002E5D3F">
            <w:pPr>
              <w:pStyle w:val="NormalWeb"/>
              <w:spacing w:line="360" w:lineRule="auto"/>
              <w:jc w:val="both"/>
              <w:rPr>
                <w:sz w:val="24"/>
                <w:szCs w:val="24"/>
              </w:rPr>
            </w:pPr>
            <w:r w:rsidRPr="004A129F">
              <w:fldChar w:fldCharType="begin"/>
            </w:r>
            <w:r w:rsidRPr="004A129F">
              <w:rPr>
                <w:sz w:val="24"/>
                <w:szCs w:val="24"/>
              </w:rPr>
              <w:instrText xml:space="preserve"> ADDIN EN.CITE &lt;EndNote&gt;&lt;Cite&gt;&lt;Author&gt;Santin Alessandro&lt;/Author&gt;&lt;Year&gt;2008&lt;/Year&gt;&lt;RecNum&gt;30&lt;/RecNum&gt;&lt;DisplayText&gt;[20]&lt;/DisplayText&gt;&lt;record&gt;&lt;rec-number&gt;30&lt;/rec-number&gt;&lt;foreign-keys&gt;&lt;key app="EN" db-id="s2sttzetzetpave5s2e5tve655rraxdp02r5" timestamp="1745413293"&gt;30&lt;/key&gt;&lt;/foreign-keys&gt;&lt;ref-type name="Journal Article"&gt;17&lt;/ref-type&gt;&lt;contributors&gt;&lt;authors&gt;&lt;author&gt;Santin Alessandro, D.&lt;/author&gt;&lt;author&gt;Bellone, Stefania&lt;/author&gt;&lt;author&gt;Palmieri, Michela&lt;/author&gt;&lt;author&gt;Zanolini, Alessandro&lt;/author&gt;&lt;author&gt;Ravaggi, Antonella&lt;/author&gt;&lt;author&gt;Siegel Eric, R.&lt;/author&gt;&lt;author&gt;Roman Juan, J.&lt;/author&gt;&lt;author&gt;Pecorelli, Sergio&lt;/author&gt;&lt;author&gt;Cannon Martin, J.&lt;/author&gt;&lt;/authors&gt;&lt;/contributors&gt;&lt;titles&gt;&lt;title&gt;Human Papillomavirus Type 16 and 18 E7-Pulsed Dendritic Cell Vaccination of Stage IB or IIA Cervical Cancer Patients: a Phase I Escalating-Dose Trial&lt;/title&gt;&lt;secondary-title&gt;Journal of Virology&lt;/secondary-title&gt;&lt;/titles&gt;&lt;periodical&gt;&lt;full-title&gt;Journal of Virology&lt;/full-title&gt;&lt;/periodical&gt;&lt;pages&gt;1968-1979&lt;/pages&gt;&lt;volume&gt;82&lt;/volume&gt;&lt;number&gt;4&lt;/number&gt;&lt;dates&gt;&lt;year&gt;2008&lt;/year&gt;&lt;/dates&gt;&lt;publisher&gt;American Society for Microbiology&lt;/publisher&gt;&lt;urls&gt;&lt;related-urls&gt;&lt;url&gt;https://doi.org/10.1128/jvi.02343-07&lt;/url&gt;&lt;/related-urls&gt;&lt;/urls&gt;&lt;electronic-resource-num&gt;10.1128/jvi.02343-07&lt;/electronic-resource-num&gt;&lt;access-date&gt;2025/04/23&lt;/access-date&gt;&lt;/record&gt;&lt;/Cite&gt;&lt;/EndNote&gt;</w:instrText>
            </w:r>
            <w:r w:rsidRPr="004A129F">
              <w:fldChar w:fldCharType="separate"/>
            </w:r>
            <w:r w:rsidRPr="004A129F">
              <w:rPr>
                <w:noProof/>
                <w:sz w:val="24"/>
                <w:szCs w:val="24"/>
              </w:rPr>
              <w:t>[20]</w:t>
            </w:r>
            <w:r w:rsidRPr="004A129F">
              <w:fldChar w:fldCharType="end"/>
            </w:r>
          </w:p>
        </w:tc>
      </w:tr>
    </w:tbl>
    <w:p w14:paraId="4AA5262B" w14:textId="77777777" w:rsidR="002E5D3F" w:rsidRPr="004A129F" w:rsidRDefault="002E5D3F" w:rsidP="002E5D3F">
      <w:pPr>
        <w:tabs>
          <w:tab w:val="num" w:pos="720"/>
        </w:tabs>
        <w:spacing w:after="0" w:line="360" w:lineRule="auto"/>
        <w:ind w:left="720"/>
        <w:rPr>
          <w:rFonts w:ascii="Times New Roman" w:eastAsia="Times New Roman" w:hAnsi="Times New Roman" w:cs="Times New Roman"/>
          <w:kern w:val="0"/>
          <w14:ligatures w14:val="none"/>
        </w:rPr>
      </w:pPr>
      <w:r w:rsidRPr="004A129F">
        <w:rPr>
          <w:rFonts w:ascii="Times New Roman" w:eastAsia="Times New Roman" w:hAnsi="Times New Roman" w:cs="Times New Roman"/>
          <w:kern w:val="0"/>
          <w14:ligatures w14:val="none"/>
        </w:rPr>
        <w:t>BVAC-C – B Cell-Based and Monocyte-Based Immunotherapeutic Vaccine</w:t>
      </w:r>
    </w:p>
    <w:p w14:paraId="4FE1CA34" w14:textId="77777777" w:rsidR="002E5D3F" w:rsidRPr="004A129F" w:rsidRDefault="002E5D3F" w:rsidP="002E5D3F">
      <w:pPr>
        <w:tabs>
          <w:tab w:val="num" w:pos="720"/>
        </w:tabs>
        <w:spacing w:after="0" w:line="360" w:lineRule="auto"/>
        <w:ind w:left="720"/>
        <w:rPr>
          <w:rFonts w:ascii="Times New Roman" w:eastAsia="Times New Roman" w:hAnsi="Times New Roman" w:cs="Times New Roman"/>
          <w:kern w:val="0"/>
          <w14:ligatures w14:val="none"/>
        </w:rPr>
      </w:pPr>
      <w:r w:rsidRPr="004A129F">
        <w:rPr>
          <w:rFonts w:ascii="Times New Roman" w:eastAsia="Times New Roman" w:hAnsi="Times New Roman" w:cs="Times New Roman"/>
          <w:kern w:val="0"/>
          <w14:ligatures w14:val="none"/>
        </w:rPr>
        <w:t>CR – Complete Regression</w:t>
      </w:r>
    </w:p>
    <w:p w14:paraId="504DE004" w14:textId="77777777" w:rsidR="002E5D3F" w:rsidRPr="004A129F" w:rsidRDefault="002E5D3F" w:rsidP="002E5D3F">
      <w:pPr>
        <w:tabs>
          <w:tab w:val="num" w:pos="720"/>
        </w:tabs>
        <w:spacing w:after="0" w:line="360" w:lineRule="auto"/>
        <w:ind w:left="720"/>
        <w:rPr>
          <w:rFonts w:ascii="Times New Roman" w:eastAsia="Times New Roman" w:hAnsi="Times New Roman" w:cs="Times New Roman"/>
          <w:kern w:val="0"/>
          <w14:ligatures w14:val="none"/>
        </w:rPr>
      </w:pPr>
      <w:r w:rsidRPr="004A129F">
        <w:rPr>
          <w:rFonts w:ascii="Times New Roman" w:eastAsia="Times New Roman" w:hAnsi="Times New Roman" w:cs="Times New Roman"/>
          <w:kern w:val="0"/>
          <w14:ligatures w14:val="none"/>
        </w:rPr>
        <w:t>CTL – Cytotoxic T Lymphocyte</w:t>
      </w:r>
    </w:p>
    <w:p w14:paraId="0C0ED547" w14:textId="77777777" w:rsidR="002E5D3F" w:rsidRPr="004A129F" w:rsidRDefault="002E5D3F" w:rsidP="002E5D3F">
      <w:pPr>
        <w:tabs>
          <w:tab w:val="num" w:pos="720"/>
        </w:tabs>
        <w:spacing w:after="0" w:line="360" w:lineRule="auto"/>
        <w:ind w:left="720"/>
        <w:rPr>
          <w:rFonts w:ascii="Times New Roman" w:eastAsia="Times New Roman" w:hAnsi="Times New Roman" w:cs="Times New Roman"/>
          <w:kern w:val="0"/>
          <w14:ligatures w14:val="none"/>
        </w:rPr>
      </w:pPr>
      <w:r w:rsidRPr="004A129F">
        <w:rPr>
          <w:rFonts w:ascii="Times New Roman" w:eastAsia="Times New Roman" w:hAnsi="Times New Roman" w:cs="Times New Roman"/>
          <w:kern w:val="0"/>
          <w14:ligatures w14:val="none"/>
        </w:rPr>
        <w:t>EP – Electroporation</w:t>
      </w:r>
    </w:p>
    <w:p w14:paraId="404ED62E" w14:textId="77777777" w:rsidR="002E5D3F" w:rsidRPr="004A129F" w:rsidRDefault="002E5D3F" w:rsidP="002E5D3F">
      <w:pPr>
        <w:tabs>
          <w:tab w:val="num" w:pos="720"/>
        </w:tabs>
        <w:spacing w:after="0" w:line="360" w:lineRule="auto"/>
        <w:ind w:left="720"/>
        <w:rPr>
          <w:rFonts w:ascii="Times New Roman" w:eastAsia="Times New Roman" w:hAnsi="Times New Roman" w:cs="Times New Roman"/>
          <w:kern w:val="0"/>
          <w14:ligatures w14:val="none"/>
        </w:rPr>
      </w:pPr>
      <w:r w:rsidRPr="004A129F">
        <w:rPr>
          <w:rFonts w:ascii="Times New Roman" w:eastAsia="Times New Roman" w:hAnsi="Times New Roman" w:cs="Times New Roman"/>
          <w:kern w:val="0"/>
          <w14:ligatures w14:val="none"/>
        </w:rPr>
        <w:t>SIL – High-Grade Cervical Squamous Intraepithelial Lesion</w:t>
      </w:r>
    </w:p>
    <w:p w14:paraId="07BFDB98" w14:textId="77777777" w:rsidR="002E5D3F" w:rsidRPr="004A129F" w:rsidRDefault="002E5D3F" w:rsidP="002E5D3F">
      <w:pPr>
        <w:tabs>
          <w:tab w:val="num" w:pos="720"/>
        </w:tabs>
        <w:spacing w:after="0" w:line="360" w:lineRule="auto"/>
        <w:ind w:left="720"/>
        <w:rPr>
          <w:rFonts w:ascii="Times New Roman" w:eastAsia="Times New Roman" w:hAnsi="Times New Roman" w:cs="Times New Roman"/>
          <w:kern w:val="0"/>
          <w14:ligatures w14:val="none"/>
        </w:rPr>
      </w:pPr>
      <w:r w:rsidRPr="004A129F">
        <w:rPr>
          <w:rFonts w:ascii="Times New Roman" w:eastAsia="Times New Roman" w:hAnsi="Times New Roman" w:cs="Times New Roman"/>
          <w:kern w:val="0"/>
          <w14:ligatures w14:val="none"/>
        </w:rPr>
        <w:t>IL – Interleukin</w:t>
      </w:r>
    </w:p>
    <w:p w14:paraId="0FADFD94" w14:textId="77777777" w:rsidR="002E5D3F" w:rsidRPr="004A129F" w:rsidRDefault="002E5D3F" w:rsidP="002E5D3F">
      <w:pPr>
        <w:tabs>
          <w:tab w:val="num" w:pos="720"/>
        </w:tabs>
        <w:spacing w:after="0" w:line="360" w:lineRule="auto"/>
        <w:ind w:left="720"/>
        <w:rPr>
          <w:rFonts w:ascii="Times New Roman" w:eastAsia="Times New Roman" w:hAnsi="Times New Roman" w:cs="Times New Roman"/>
          <w:kern w:val="0"/>
          <w14:ligatures w14:val="none"/>
        </w:rPr>
      </w:pPr>
      <w:r w:rsidRPr="004A129F">
        <w:rPr>
          <w:rFonts w:ascii="Times New Roman" w:eastAsia="Times New Roman" w:hAnsi="Times New Roman" w:cs="Times New Roman"/>
          <w:kern w:val="0"/>
          <w14:ligatures w14:val="none"/>
        </w:rPr>
        <w:t>LEEP – Loop Electrosurgical Excision Procedure</w:t>
      </w:r>
    </w:p>
    <w:p w14:paraId="1D7C6A49" w14:textId="77777777" w:rsidR="002E5D3F" w:rsidRPr="004A129F" w:rsidRDefault="002E5D3F" w:rsidP="002E5D3F">
      <w:pPr>
        <w:tabs>
          <w:tab w:val="num" w:pos="720"/>
        </w:tabs>
        <w:spacing w:after="0" w:line="360" w:lineRule="auto"/>
        <w:ind w:left="720"/>
        <w:rPr>
          <w:rFonts w:ascii="Times New Roman" w:eastAsia="Times New Roman" w:hAnsi="Times New Roman" w:cs="Times New Roman"/>
          <w:kern w:val="0"/>
          <w14:ligatures w14:val="none"/>
        </w:rPr>
      </w:pPr>
      <w:r w:rsidRPr="004A129F">
        <w:rPr>
          <w:rFonts w:ascii="Times New Roman" w:eastAsia="Times New Roman" w:hAnsi="Times New Roman" w:cs="Times New Roman"/>
          <w:kern w:val="0"/>
          <w14:ligatures w14:val="none"/>
        </w:rPr>
        <w:t>SFV – Semliki Forest Virus</w:t>
      </w:r>
    </w:p>
    <w:p w14:paraId="290077A6" w14:textId="77777777" w:rsidR="002E5D3F" w:rsidRPr="004A129F" w:rsidRDefault="002E5D3F" w:rsidP="002E5D3F">
      <w:pPr>
        <w:tabs>
          <w:tab w:val="num" w:pos="720"/>
        </w:tabs>
        <w:spacing w:after="0" w:line="360" w:lineRule="auto"/>
        <w:ind w:left="720"/>
        <w:rPr>
          <w:rFonts w:ascii="Times New Roman" w:eastAsia="Times New Roman" w:hAnsi="Times New Roman" w:cs="Times New Roman"/>
          <w:kern w:val="0"/>
          <w14:ligatures w14:val="none"/>
        </w:rPr>
      </w:pPr>
      <w:r w:rsidRPr="004A129F">
        <w:rPr>
          <w:rFonts w:ascii="Times New Roman" w:eastAsia="Times New Roman" w:hAnsi="Times New Roman" w:cs="Times New Roman"/>
          <w:kern w:val="0"/>
          <w14:ligatures w14:val="none"/>
        </w:rPr>
        <w:t>SLP – Synthetic Long Peptides</w:t>
      </w:r>
    </w:p>
    <w:p w14:paraId="0D67A564" w14:textId="77777777" w:rsidR="002E5D3F" w:rsidRPr="004A129F" w:rsidRDefault="002E5D3F" w:rsidP="002E5D3F">
      <w:pPr>
        <w:tabs>
          <w:tab w:val="num" w:pos="720"/>
        </w:tabs>
        <w:spacing w:after="0" w:line="360" w:lineRule="auto"/>
        <w:ind w:left="720"/>
        <w:rPr>
          <w:rFonts w:ascii="Times New Roman" w:eastAsia="Times New Roman" w:hAnsi="Times New Roman" w:cs="Times New Roman"/>
          <w:kern w:val="0"/>
          <w14:ligatures w14:val="none"/>
        </w:rPr>
      </w:pPr>
      <w:r w:rsidRPr="004A129F">
        <w:rPr>
          <w:rFonts w:ascii="Times New Roman" w:eastAsia="Times New Roman" w:hAnsi="Times New Roman" w:cs="Times New Roman"/>
          <w:kern w:val="0"/>
          <w14:ligatures w14:val="none"/>
        </w:rPr>
        <w:t>TA-HPV – Trojan Antigen–Human Papillomavirus</w:t>
      </w:r>
    </w:p>
    <w:p w14:paraId="4149FE3E" w14:textId="04B42121" w:rsidR="002E5D3F" w:rsidRPr="004A129F" w:rsidRDefault="002E5D3F" w:rsidP="002E5D3F">
      <w:pPr>
        <w:tabs>
          <w:tab w:val="num" w:pos="720"/>
        </w:tabs>
        <w:spacing w:after="0" w:line="360" w:lineRule="auto"/>
        <w:ind w:left="720"/>
        <w:rPr>
          <w:rFonts w:ascii="Times New Roman" w:eastAsia="Times New Roman" w:hAnsi="Times New Roman" w:cs="Times New Roman"/>
          <w:kern w:val="0"/>
          <w14:ligatures w14:val="none"/>
        </w:rPr>
      </w:pPr>
      <w:r w:rsidRPr="004A129F">
        <w:rPr>
          <w:rFonts w:ascii="Times New Roman" w:eastAsia="Times New Roman" w:hAnsi="Times New Roman" w:cs="Times New Roman"/>
          <w:kern w:val="0"/>
          <w14:ligatures w14:val="none"/>
        </w:rPr>
        <w:t>V8 – Visit 8, equivalent to 36 weeks</w:t>
      </w:r>
    </w:p>
    <w:p w14:paraId="4BEBC8AF" w14:textId="77777777" w:rsidR="00E50A6A" w:rsidRPr="004A129F" w:rsidRDefault="00E50A6A" w:rsidP="002E5D3F">
      <w:pPr>
        <w:spacing w:line="360" w:lineRule="auto"/>
        <w:rPr>
          <w:rFonts w:ascii="Times New Roman" w:hAnsi="Times New Roman" w:cs="Times New Roman"/>
          <w:b/>
          <w:bCs/>
        </w:rPr>
      </w:pPr>
    </w:p>
    <w:p w14:paraId="21062779" w14:textId="77777777" w:rsidR="00C213A5" w:rsidRPr="004A129F" w:rsidRDefault="00D038DD" w:rsidP="00C213A5">
      <w:pPr>
        <w:pStyle w:val="EndNoteBibliography"/>
        <w:spacing w:after="0"/>
        <w:ind w:left="720" w:hanging="720"/>
      </w:pPr>
      <w:r w:rsidRPr="004A129F">
        <w:rPr>
          <w:rFonts w:ascii="Times New Roman" w:hAnsi="Times New Roman" w:cs="Times New Roman"/>
          <w:b/>
          <w:bCs/>
        </w:rPr>
        <w:fldChar w:fldCharType="begin"/>
      </w:r>
      <w:r w:rsidRPr="004A129F">
        <w:rPr>
          <w:rFonts w:ascii="Times New Roman" w:hAnsi="Times New Roman" w:cs="Times New Roman"/>
          <w:b/>
          <w:bCs/>
        </w:rPr>
        <w:instrText xml:space="preserve"> ADDIN EN.REFLIST </w:instrText>
      </w:r>
      <w:r w:rsidRPr="004A129F">
        <w:rPr>
          <w:rFonts w:ascii="Times New Roman" w:hAnsi="Times New Roman" w:cs="Times New Roman"/>
          <w:b/>
          <w:bCs/>
        </w:rPr>
        <w:fldChar w:fldCharType="separate"/>
      </w:r>
      <w:r w:rsidR="00C213A5" w:rsidRPr="004A129F">
        <w:t>1.</w:t>
      </w:r>
      <w:r w:rsidR="00C213A5" w:rsidRPr="004A129F">
        <w:tab/>
        <w:t xml:space="preserve">Roman, L., et al., </w:t>
      </w:r>
      <w:r w:rsidR="00C213A5" w:rsidRPr="004A129F">
        <w:rPr>
          <w:i/>
        </w:rPr>
        <w:t>A phase II study of Hsp-7 (SGN-00101) in women with high-grade cervical intraepithelial neoplasia.</w:t>
      </w:r>
      <w:r w:rsidR="00C213A5" w:rsidRPr="004A129F">
        <w:t xml:space="preserve"> Gynecologic oncology, 2007. </w:t>
      </w:r>
      <w:r w:rsidR="00C213A5" w:rsidRPr="004A129F">
        <w:rPr>
          <w:b/>
        </w:rPr>
        <w:t>106</w:t>
      </w:r>
      <w:r w:rsidR="00C213A5" w:rsidRPr="004A129F">
        <w:t>(3): p. 558-566.</w:t>
      </w:r>
    </w:p>
    <w:p w14:paraId="2EB2F66C" w14:textId="77777777" w:rsidR="00C213A5" w:rsidRPr="004A129F" w:rsidRDefault="00C213A5" w:rsidP="00C213A5">
      <w:pPr>
        <w:pStyle w:val="EndNoteBibliography"/>
        <w:spacing w:after="0"/>
        <w:ind w:left="720" w:hanging="720"/>
      </w:pPr>
      <w:r w:rsidRPr="004A129F">
        <w:t>2.</w:t>
      </w:r>
      <w:r w:rsidRPr="004A129F">
        <w:tab/>
        <w:t xml:space="preserve">Santin, A.D., et al., </w:t>
      </w:r>
      <w:r w:rsidRPr="004A129F">
        <w:rPr>
          <w:i/>
        </w:rPr>
        <w:t>HPV16/18 E7-pulsed dendritic cell vaccination in cervical cancer patients with recurrent disease refractory to standard treatment modalities.</w:t>
      </w:r>
      <w:r w:rsidRPr="004A129F">
        <w:t xml:space="preserve"> Gynecologic oncology, 2006. </w:t>
      </w:r>
      <w:r w:rsidRPr="004A129F">
        <w:rPr>
          <w:b/>
        </w:rPr>
        <w:t>100</w:t>
      </w:r>
      <w:r w:rsidRPr="004A129F">
        <w:t>(3): p. 469-478.</w:t>
      </w:r>
    </w:p>
    <w:p w14:paraId="492039B1" w14:textId="77777777" w:rsidR="00C213A5" w:rsidRPr="004A129F" w:rsidRDefault="00C213A5" w:rsidP="00C213A5">
      <w:pPr>
        <w:pStyle w:val="EndNoteBibliography"/>
        <w:spacing w:after="0"/>
        <w:ind w:left="720" w:hanging="720"/>
      </w:pPr>
      <w:r w:rsidRPr="004A129F">
        <w:t>3.</w:t>
      </w:r>
      <w:r w:rsidRPr="004A129F">
        <w:tab/>
        <w:t xml:space="preserve">Borysiewicz, L., et al., </w:t>
      </w:r>
      <w:r w:rsidRPr="004A129F">
        <w:rPr>
          <w:i/>
        </w:rPr>
        <w:t>A recombinant vaccinia virus encoding human papillomavirus types 16 and 18, E6 and E7 proteins as immunotherapy for cervical cancer.</w:t>
      </w:r>
      <w:r w:rsidRPr="004A129F">
        <w:t xml:space="preserve"> The Lancet, 1996. </w:t>
      </w:r>
      <w:r w:rsidRPr="004A129F">
        <w:rPr>
          <w:b/>
        </w:rPr>
        <w:t>347</w:t>
      </w:r>
      <w:r w:rsidRPr="004A129F">
        <w:t>(9014): p. 1523-1527.</w:t>
      </w:r>
    </w:p>
    <w:p w14:paraId="1477C4B3" w14:textId="77777777" w:rsidR="00C213A5" w:rsidRPr="004A129F" w:rsidRDefault="00C213A5" w:rsidP="00C213A5">
      <w:pPr>
        <w:pStyle w:val="EndNoteBibliography"/>
        <w:spacing w:after="0"/>
        <w:ind w:left="720" w:hanging="720"/>
      </w:pPr>
      <w:r w:rsidRPr="004A129F">
        <w:t>4.</w:t>
      </w:r>
      <w:r w:rsidRPr="004A129F">
        <w:tab/>
        <w:t xml:space="preserve">Bagarazzi, M.L., et al., </w:t>
      </w:r>
      <w:r w:rsidRPr="004A129F">
        <w:rPr>
          <w:i/>
        </w:rPr>
        <w:t>Immunotherapy against HPV16/18 generates potent TH1 and cytotoxic cellular immune responses.</w:t>
      </w:r>
      <w:r w:rsidRPr="004A129F">
        <w:t xml:space="preserve"> Science translational medicine, 2012. </w:t>
      </w:r>
      <w:r w:rsidRPr="004A129F">
        <w:rPr>
          <w:b/>
        </w:rPr>
        <w:t>4</w:t>
      </w:r>
      <w:r w:rsidRPr="004A129F">
        <w:t>(155): p. 155ra138-155ra138.</w:t>
      </w:r>
    </w:p>
    <w:p w14:paraId="12DCF8DA" w14:textId="77777777" w:rsidR="00C213A5" w:rsidRPr="004A129F" w:rsidRDefault="00C213A5" w:rsidP="00C213A5">
      <w:pPr>
        <w:pStyle w:val="EndNoteBibliography"/>
        <w:spacing w:after="0"/>
        <w:ind w:left="720" w:hanging="720"/>
      </w:pPr>
      <w:r w:rsidRPr="004A129F">
        <w:t>5.</w:t>
      </w:r>
      <w:r w:rsidRPr="004A129F">
        <w:tab/>
        <w:t xml:space="preserve">Choi, Y.J., et al., </w:t>
      </w:r>
      <w:r w:rsidRPr="004A129F">
        <w:rPr>
          <w:i/>
        </w:rPr>
        <w:t>A phase II, prospective, randomized, multicenter, open-label study of GX-188E, an HPV DNA vaccine, in patients with cervical intraepithelial neoplasia 3.</w:t>
      </w:r>
      <w:r w:rsidRPr="004A129F">
        <w:t xml:space="preserve"> Clinical Cancer Research, 2020. </w:t>
      </w:r>
      <w:r w:rsidRPr="004A129F">
        <w:rPr>
          <w:b/>
        </w:rPr>
        <w:t>26</w:t>
      </w:r>
      <w:r w:rsidRPr="004A129F">
        <w:t>(7): p. 1616-1623.</w:t>
      </w:r>
    </w:p>
    <w:p w14:paraId="5215966B" w14:textId="77777777" w:rsidR="00C213A5" w:rsidRPr="004A129F" w:rsidRDefault="00C213A5" w:rsidP="00C213A5">
      <w:pPr>
        <w:pStyle w:val="EndNoteBibliography"/>
        <w:spacing w:after="0"/>
        <w:ind w:left="720" w:hanging="720"/>
      </w:pPr>
      <w:r w:rsidRPr="004A129F">
        <w:t>6.</w:t>
      </w:r>
      <w:r w:rsidRPr="004A129F">
        <w:tab/>
        <w:t xml:space="preserve">Choi, C.H., et al., </w:t>
      </w:r>
      <w:r w:rsidRPr="004A129F">
        <w:rPr>
          <w:i/>
        </w:rPr>
        <w:t>Phase I study of a B cell-based and monocyte-based immunotherapeutic vaccine, BVAC-C in human papillomavirus type 16-or 18-positive recurrent cervical cancer.</w:t>
      </w:r>
      <w:r w:rsidRPr="004A129F">
        <w:t xml:space="preserve"> Journal of Clinical Medicine, 2020. </w:t>
      </w:r>
      <w:r w:rsidRPr="004A129F">
        <w:rPr>
          <w:b/>
        </w:rPr>
        <w:t>9</w:t>
      </w:r>
      <w:r w:rsidRPr="004A129F">
        <w:t>(1): p. 147.</w:t>
      </w:r>
    </w:p>
    <w:p w14:paraId="16E2C727" w14:textId="77777777" w:rsidR="00C213A5" w:rsidRPr="004A129F" w:rsidRDefault="00C213A5" w:rsidP="00C213A5">
      <w:pPr>
        <w:pStyle w:val="EndNoteBibliography"/>
        <w:spacing w:after="0"/>
        <w:ind w:left="720" w:hanging="720"/>
      </w:pPr>
      <w:r w:rsidRPr="004A129F">
        <w:t>7.</w:t>
      </w:r>
      <w:r w:rsidRPr="004A129F">
        <w:tab/>
        <w:t xml:space="preserve">Daayana, S., et al., </w:t>
      </w:r>
      <w:r w:rsidRPr="004A129F">
        <w:rPr>
          <w:i/>
        </w:rPr>
        <w:t>Phase II trial of imiquimod and HPV therapeutic vaccination in patients with vulval intraepithelial neoplasia.</w:t>
      </w:r>
      <w:r w:rsidRPr="004A129F">
        <w:t xml:space="preserve"> British journal of cancer, 2010. </w:t>
      </w:r>
      <w:r w:rsidRPr="004A129F">
        <w:rPr>
          <w:b/>
        </w:rPr>
        <w:t>102</w:t>
      </w:r>
      <w:r w:rsidRPr="004A129F">
        <w:t>(7): p. 1129-1136.</w:t>
      </w:r>
    </w:p>
    <w:p w14:paraId="40DD6B40" w14:textId="77777777" w:rsidR="00C213A5" w:rsidRPr="004A129F" w:rsidRDefault="00C213A5" w:rsidP="00C213A5">
      <w:pPr>
        <w:pStyle w:val="EndNoteBibliography"/>
        <w:spacing w:after="0"/>
        <w:ind w:left="720" w:hanging="720"/>
      </w:pPr>
      <w:r w:rsidRPr="004A129F">
        <w:t>8.</w:t>
      </w:r>
      <w:r w:rsidRPr="004A129F">
        <w:tab/>
        <w:t xml:space="preserve">Speetjens, F.M., et al., </w:t>
      </w:r>
      <w:r w:rsidRPr="004A129F">
        <w:rPr>
          <w:i/>
        </w:rPr>
        <w:t>Intradermal vaccination of HPV-16 E6 synthetic peptides conjugated to an optimized Toll-like receptor 2 ligand shows safety and potent T cell immunogenicity in patients with HPV-16 positive (pre-) malignant lesions.</w:t>
      </w:r>
      <w:r w:rsidRPr="004A129F">
        <w:t xml:space="preserve"> Journal for ImmunoTherapy of Cancer, 2022. </w:t>
      </w:r>
      <w:r w:rsidRPr="004A129F">
        <w:rPr>
          <w:b/>
        </w:rPr>
        <w:t>10</w:t>
      </w:r>
      <w:r w:rsidRPr="004A129F">
        <w:t>(10).</w:t>
      </w:r>
    </w:p>
    <w:p w14:paraId="5614B208" w14:textId="77777777" w:rsidR="00C213A5" w:rsidRPr="004A129F" w:rsidRDefault="00C213A5" w:rsidP="00C213A5">
      <w:pPr>
        <w:pStyle w:val="EndNoteBibliography"/>
        <w:spacing w:after="0"/>
        <w:ind w:left="720" w:hanging="720"/>
      </w:pPr>
      <w:r w:rsidRPr="004A129F">
        <w:t>9.</w:t>
      </w:r>
      <w:r w:rsidRPr="004A129F">
        <w:tab/>
        <w:t xml:space="preserve">Komdeur, F.L., et al., </w:t>
      </w:r>
      <w:r w:rsidRPr="004A129F">
        <w:rPr>
          <w:i/>
        </w:rPr>
        <w:t>First-in-human phase I clinical trial of an SFV-based RNA replicon cancer vaccine against HPV-induced cancers.</w:t>
      </w:r>
      <w:r w:rsidRPr="004A129F">
        <w:t xml:space="preserve"> Molecular therapy, 2021. </w:t>
      </w:r>
      <w:r w:rsidRPr="004A129F">
        <w:rPr>
          <w:b/>
        </w:rPr>
        <w:t>29</w:t>
      </w:r>
      <w:r w:rsidRPr="004A129F">
        <w:t>(2): p. 611-625.</w:t>
      </w:r>
    </w:p>
    <w:p w14:paraId="6D148F58" w14:textId="77777777" w:rsidR="00C213A5" w:rsidRPr="004A129F" w:rsidRDefault="00C213A5" w:rsidP="00C213A5">
      <w:pPr>
        <w:pStyle w:val="EndNoteBibliography"/>
        <w:spacing w:after="0"/>
        <w:ind w:left="720" w:hanging="720"/>
      </w:pPr>
      <w:r w:rsidRPr="004A129F">
        <w:t>10.</w:t>
      </w:r>
      <w:r w:rsidRPr="004A129F">
        <w:tab/>
        <w:t xml:space="preserve">Brun, J.-L., et al., </w:t>
      </w:r>
      <w:r w:rsidRPr="004A129F">
        <w:rPr>
          <w:i/>
        </w:rPr>
        <w:t>Regression of high-grade cervical intraepithelial neoplasia with TG4001 targeted immunotherapy.</w:t>
      </w:r>
      <w:r w:rsidRPr="004A129F">
        <w:t xml:space="preserve"> American journal of obstetrics and gynecology, 2011. </w:t>
      </w:r>
      <w:r w:rsidRPr="004A129F">
        <w:rPr>
          <w:b/>
        </w:rPr>
        <w:t>204</w:t>
      </w:r>
      <w:r w:rsidRPr="004A129F">
        <w:t>(2): p. 169. e1-169. e8.</w:t>
      </w:r>
    </w:p>
    <w:p w14:paraId="528F3A4C" w14:textId="77777777" w:rsidR="00C213A5" w:rsidRPr="004A129F" w:rsidRDefault="00C213A5" w:rsidP="00C213A5">
      <w:pPr>
        <w:pStyle w:val="EndNoteBibliography"/>
        <w:spacing w:after="0"/>
        <w:ind w:left="720" w:hanging="720"/>
      </w:pPr>
      <w:r w:rsidRPr="004A129F">
        <w:t>11.</w:t>
      </w:r>
      <w:r w:rsidRPr="004A129F">
        <w:tab/>
        <w:t xml:space="preserve">Trimble, C.L., et al., </w:t>
      </w:r>
      <w:r w:rsidRPr="004A129F">
        <w:rPr>
          <w:i/>
        </w:rPr>
        <w:t>Safety, efficacy, and immunogenicity of VGX-3100, a therapeutic synthetic DNA vaccine targeting human papillomavirus 16 and 18 E6 and E7 proteins for cervical intraepithelial neoplasia 2/3: a randomised, double-blind, placebo-controlled phase 2b trial.</w:t>
      </w:r>
      <w:r w:rsidRPr="004A129F">
        <w:t xml:space="preserve"> The Lancet, 2015. </w:t>
      </w:r>
      <w:r w:rsidRPr="004A129F">
        <w:rPr>
          <w:b/>
        </w:rPr>
        <w:t>386</w:t>
      </w:r>
      <w:r w:rsidRPr="004A129F">
        <w:t>(10008): p. 2078-2088.</w:t>
      </w:r>
    </w:p>
    <w:p w14:paraId="6F16BB92" w14:textId="77777777" w:rsidR="00C213A5" w:rsidRPr="004A129F" w:rsidRDefault="00C213A5" w:rsidP="00C213A5">
      <w:pPr>
        <w:pStyle w:val="EndNoteBibliography"/>
        <w:spacing w:after="0"/>
        <w:ind w:left="720" w:hanging="720"/>
      </w:pPr>
      <w:r w:rsidRPr="004A129F">
        <w:t>12.</w:t>
      </w:r>
      <w:r w:rsidRPr="004A129F">
        <w:tab/>
        <w:t xml:space="preserve">Stevanović, S., et al., </w:t>
      </w:r>
      <w:r w:rsidRPr="004A129F">
        <w:rPr>
          <w:i/>
        </w:rPr>
        <w:t>Complete regression of metastatic cervical cancer after treatment with human papillomavirus–targeted tumor-infiltrating T cells.</w:t>
      </w:r>
      <w:r w:rsidRPr="004A129F">
        <w:t xml:space="preserve"> Journal of Clinical Oncology, 2015. </w:t>
      </w:r>
      <w:r w:rsidRPr="004A129F">
        <w:rPr>
          <w:b/>
        </w:rPr>
        <w:t>33</w:t>
      </w:r>
      <w:r w:rsidRPr="004A129F">
        <w:t>(14): p. 1543-1550.</w:t>
      </w:r>
    </w:p>
    <w:p w14:paraId="0F6FF646" w14:textId="77777777" w:rsidR="00C213A5" w:rsidRPr="004A129F" w:rsidRDefault="00C213A5" w:rsidP="00C213A5">
      <w:pPr>
        <w:pStyle w:val="EndNoteBibliography"/>
        <w:spacing w:after="0"/>
        <w:ind w:left="720" w:hanging="720"/>
      </w:pPr>
      <w:r w:rsidRPr="004A129F">
        <w:t>13.</w:t>
      </w:r>
      <w:r w:rsidRPr="004A129F">
        <w:tab/>
        <w:t xml:space="preserve">Welters, M.J., et al., </w:t>
      </w:r>
      <w:r w:rsidRPr="004A129F">
        <w:rPr>
          <w:i/>
        </w:rPr>
        <w:t>Success or failure of vaccination for HPV16-positive vulvar lesions correlates with kinetics and phenotype of induced T-cell responses.</w:t>
      </w:r>
      <w:r w:rsidRPr="004A129F">
        <w:t xml:space="preserve"> Proceedings of the National Academy of Sciences, 2010. </w:t>
      </w:r>
      <w:r w:rsidRPr="004A129F">
        <w:rPr>
          <w:b/>
        </w:rPr>
        <w:t>107</w:t>
      </w:r>
      <w:r w:rsidRPr="004A129F">
        <w:t>(26): p. 11895-11899.</w:t>
      </w:r>
    </w:p>
    <w:p w14:paraId="03C2B2F0" w14:textId="77777777" w:rsidR="00C213A5" w:rsidRPr="004A129F" w:rsidRDefault="00C213A5" w:rsidP="00C213A5">
      <w:pPr>
        <w:pStyle w:val="EndNoteBibliography"/>
        <w:spacing w:after="0"/>
        <w:ind w:left="720" w:hanging="720"/>
      </w:pPr>
      <w:r w:rsidRPr="004A129F">
        <w:t>14.</w:t>
      </w:r>
      <w:r w:rsidRPr="004A129F">
        <w:tab/>
        <w:t xml:space="preserve">Harper, D.M., et al., </w:t>
      </w:r>
      <w:r w:rsidRPr="004A129F">
        <w:rPr>
          <w:i/>
        </w:rPr>
        <w:t>The efficacy and safety of Tipapkinogen Sovacivec therapeutic HPV vaccine in cervical intraepithelial neoplasia grades 2 and 3: Randomized controlled phase II trial with 2.5 years of follow-up.</w:t>
      </w:r>
      <w:r w:rsidRPr="004A129F">
        <w:t xml:space="preserve"> Gynecologic oncology, 2019. </w:t>
      </w:r>
      <w:r w:rsidRPr="004A129F">
        <w:rPr>
          <w:b/>
        </w:rPr>
        <w:t>153</w:t>
      </w:r>
      <w:r w:rsidRPr="004A129F">
        <w:t>(3): p. 521-529.</w:t>
      </w:r>
    </w:p>
    <w:p w14:paraId="21AB84D7" w14:textId="77777777" w:rsidR="00C213A5" w:rsidRPr="004A129F" w:rsidRDefault="00C213A5" w:rsidP="00C213A5">
      <w:pPr>
        <w:pStyle w:val="EndNoteBibliography"/>
        <w:spacing w:after="0"/>
        <w:ind w:left="720" w:hanging="720"/>
      </w:pPr>
      <w:r w:rsidRPr="004A129F">
        <w:t>15.</w:t>
      </w:r>
      <w:r w:rsidRPr="004A129F">
        <w:tab/>
        <w:t xml:space="preserve">Maciag, P.C., S. Radulovic, and J. Rothman, </w:t>
      </w:r>
      <w:r w:rsidRPr="004A129F">
        <w:rPr>
          <w:i/>
        </w:rPr>
        <w:t>The first clinical use of a live-attenuated Listeria monocytogenes vaccine: a Phase I safety study of Lm-LLO-E7 in patients with advanced carcinoma of the cervix.</w:t>
      </w:r>
      <w:r w:rsidRPr="004A129F">
        <w:t xml:space="preserve"> Vaccine, 2009. </w:t>
      </w:r>
      <w:r w:rsidRPr="004A129F">
        <w:rPr>
          <w:b/>
        </w:rPr>
        <w:t>27</w:t>
      </w:r>
      <w:r w:rsidRPr="004A129F">
        <w:t>(30): p. 3975-3983.</w:t>
      </w:r>
    </w:p>
    <w:p w14:paraId="13AEEB40" w14:textId="77777777" w:rsidR="00C213A5" w:rsidRPr="004A129F" w:rsidRDefault="00C213A5" w:rsidP="00C213A5">
      <w:pPr>
        <w:pStyle w:val="EndNoteBibliography"/>
        <w:spacing w:after="0"/>
        <w:ind w:left="720" w:hanging="720"/>
      </w:pPr>
      <w:r w:rsidRPr="004A129F">
        <w:t>16.</w:t>
      </w:r>
      <w:r w:rsidRPr="004A129F">
        <w:tab/>
        <w:t xml:space="preserve">Melief, C.J., </w:t>
      </w:r>
      <w:r w:rsidRPr="004A129F">
        <w:rPr>
          <w:i/>
        </w:rPr>
        <w:t>Treatment of established lesions caused by high-risk human papilloma virus using a synthetic vaccine.</w:t>
      </w:r>
      <w:r w:rsidRPr="004A129F">
        <w:t xml:space="preserve"> Journal of immunotherapy, 2012. </w:t>
      </w:r>
      <w:r w:rsidRPr="004A129F">
        <w:rPr>
          <w:b/>
        </w:rPr>
        <w:t>35</w:t>
      </w:r>
      <w:r w:rsidRPr="004A129F">
        <w:t>(3): p. 215-216.</w:t>
      </w:r>
    </w:p>
    <w:p w14:paraId="308E59AA" w14:textId="77777777" w:rsidR="00C213A5" w:rsidRPr="004A129F" w:rsidRDefault="00C213A5" w:rsidP="00C213A5">
      <w:pPr>
        <w:pStyle w:val="EndNoteBibliography"/>
        <w:spacing w:after="0"/>
        <w:ind w:left="720" w:hanging="720"/>
      </w:pPr>
      <w:r w:rsidRPr="004A129F">
        <w:t>17.</w:t>
      </w:r>
      <w:r w:rsidRPr="004A129F">
        <w:tab/>
        <w:t xml:space="preserve">Kenter, G.G., et al., </w:t>
      </w:r>
      <w:r w:rsidRPr="004A129F">
        <w:rPr>
          <w:i/>
        </w:rPr>
        <w:t>Vaccination against HPV-16 oncoproteins for vulvar intraepithelial neoplasia.</w:t>
      </w:r>
      <w:r w:rsidRPr="004A129F">
        <w:t xml:space="preserve"> New England Journal of Medicine, 2009. </w:t>
      </w:r>
      <w:r w:rsidRPr="004A129F">
        <w:rPr>
          <w:b/>
        </w:rPr>
        <w:t>361</w:t>
      </w:r>
      <w:r w:rsidRPr="004A129F">
        <w:t>(19): p. 1838-1847.</w:t>
      </w:r>
    </w:p>
    <w:p w14:paraId="7A35A218" w14:textId="77777777" w:rsidR="00C213A5" w:rsidRPr="004A129F" w:rsidRDefault="00C213A5" w:rsidP="00C213A5">
      <w:pPr>
        <w:pStyle w:val="EndNoteBibliography"/>
        <w:spacing w:after="0"/>
        <w:ind w:left="720" w:hanging="720"/>
      </w:pPr>
      <w:r w:rsidRPr="004A129F">
        <w:t>18.</w:t>
      </w:r>
      <w:r w:rsidRPr="004A129F">
        <w:tab/>
        <w:t xml:space="preserve">van Poelgeest, M.I., et al., </w:t>
      </w:r>
      <w:r w:rsidRPr="004A129F">
        <w:rPr>
          <w:i/>
        </w:rPr>
        <w:t>HPV16 synthetic long peptide (HPV16-SLP) vaccination therapy of patients with advanced or recurrent HPV16-induced gynecological carcinoma, a phase II trial.</w:t>
      </w:r>
      <w:r w:rsidRPr="004A129F">
        <w:t xml:space="preserve"> Journal of translational medicine, 2013. </w:t>
      </w:r>
      <w:r w:rsidRPr="004A129F">
        <w:rPr>
          <w:b/>
        </w:rPr>
        <w:t>11</w:t>
      </w:r>
      <w:r w:rsidRPr="004A129F">
        <w:t>: p. 1-14.</w:t>
      </w:r>
    </w:p>
    <w:p w14:paraId="11A8A79E" w14:textId="77777777" w:rsidR="00C213A5" w:rsidRPr="004A129F" w:rsidRDefault="00C213A5" w:rsidP="00C213A5">
      <w:pPr>
        <w:pStyle w:val="EndNoteBibliography"/>
        <w:spacing w:after="0"/>
        <w:ind w:left="720" w:hanging="720"/>
      </w:pPr>
      <w:r w:rsidRPr="004A129F">
        <w:t>19.</w:t>
      </w:r>
      <w:r w:rsidRPr="004A129F">
        <w:tab/>
        <w:t xml:space="preserve">de Vos van Steenwijk, P.J., et al., </w:t>
      </w:r>
      <w:r w:rsidRPr="004A129F">
        <w:rPr>
          <w:i/>
        </w:rPr>
        <w:t>A placebo-controlled randomized HPV16 synthetic long-peptide vaccination study in women with high-grade cervical squamous intraepithelial lesions.</w:t>
      </w:r>
      <w:r w:rsidRPr="004A129F">
        <w:t xml:space="preserve"> Cancer Immunology, Immunotherapy, 2012. </w:t>
      </w:r>
      <w:r w:rsidRPr="004A129F">
        <w:rPr>
          <w:b/>
        </w:rPr>
        <w:t>61</w:t>
      </w:r>
      <w:r w:rsidRPr="004A129F">
        <w:t>(9): p. 1485-1492.</w:t>
      </w:r>
    </w:p>
    <w:p w14:paraId="2270740F" w14:textId="77777777" w:rsidR="00C213A5" w:rsidRPr="004A129F" w:rsidRDefault="00C213A5" w:rsidP="00C213A5">
      <w:pPr>
        <w:pStyle w:val="EndNoteBibliography"/>
        <w:ind w:left="720" w:hanging="720"/>
      </w:pPr>
      <w:r w:rsidRPr="004A129F">
        <w:t>20.</w:t>
      </w:r>
      <w:r w:rsidRPr="004A129F">
        <w:tab/>
        <w:t xml:space="preserve">Santin Alessandro, D., et al., </w:t>
      </w:r>
      <w:r w:rsidRPr="004A129F">
        <w:rPr>
          <w:i/>
        </w:rPr>
        <w:t>Human Papillomavirus Type 16 and 18 E7-Pulsed Dendritic Cell Vaccination of Stage IB or IIA Cervical Cancer Patients: a Phase I Escalating-Dose Trial.</w:t>
      </w:r>
      <w:r w:rsidRPr="004A129F">
        <w:t xml:space="preserve"> Journal of Virology, 2008. </w:t>
      </w:r>
      <w:r w:rsidRPr="004A129F">
        <w:rPr>
          <w:b/>
        </w:rPr>
        <w:t>82</w:t>
      </w:r>
      <w:r w:rsidRPr="004A129F">
        <w:t>(4): p. 1968-1979.</w:t>
      </w:r>
    </w:p>
    <w:p w14:paraId="3384358E" w14:textId="59FEE3A7" w:rsidR="00CD7C10" w:rsidRPr="004A129F" w:rsidRDefault="00D038DD" w:rsidP="002E5D3F">
      <w:pPr>
        <w:spacing w:line="360" w:lineRule="auto"/>
        <w:rPr>
          <w:rFonts w:ascii="Times New Roman" w:hAnsi="Times New Roman" w:cs="Times New Roman"/>
          <w:b/>
          <w:bCs/>
        </w:rPr>
      </w:pPr>
      <w:r w:rsidRPr="004A129F">
        <w:rPr>
          <w:rFonts w:ascii="Times New Roman" w:hAnsi="Times New Roman" w:cs="Times New Roman"/>
          <w:b/>
          <w:bCs/>
        </w:rPr>
        <w:fldChar w:fldCharType="end"/>
      </w:r>
    </w:p>
    <w:sectPr w:rsidR="00CD7C10" w:rsidRPr="004A129F" w:rsidSect="004A129F">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dvOT1ef757c0">
    <w:altName w:val="Cambria"/>
    <w:panose1 w:val="00000000000000000000"/>
    <w:charset w:val="00"/>
    <w:family w:val="roman"/>
    <w:notTrueType/>
    <w:pitch w:val="default"/>
  </w:font>
  <w:font w:name="AdvOT1ef757c0+fb">
    <w:altName w:val="Cambria"/>
    <w:panose1 w:val="00000000000000000000"/>
    <w:charset w:val="00"/>
    <w:family w:val="roman"/>
    <w:notTrueType/>
    <w:pitch w:val="default"/>
  </w:font>
  <w:font w:name="AdvP697C">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09DD"/>
    <w:multiLevelType w:val="multilevel"/>
    <w:tmpl w:val="0B68F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30"/>
  <w:proofState w:spelling="clean" w:grammar="clean"/>
  <w:revisionView w:markup="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2sttzetzetpave5s2e5tve655rraxdp02r5&quot;&gt;Eligibel 22&lt;record-ids&gt;&lt;item&gt;1&lt;/item&gt;&lt;item&gt;2&lt;/item&gt;&lt;item&gt;3&lt;/item&gt;&lt;item&gt;4&lt;/item&gt;&lt;item&gt;5&lt;/item&gt;&lt;item&gt;9&lt;/item&gt;&lt;item&gt;11&lt;/item&gt;&lt;item&gt;12&lt;/item&gt;&lt;item&gt;15&lt;/item&gt;&lt;item&gt;16&lt;/item&gt;&lt;item&gt;17&lt;/item&gt;&lt;item&gt;18&lt;/item&gt;&lt;item&gt;20&lt;/item&gt;&lt;item&gt;21&lt;/item&gt;&lt;item&gt;22&lt;/item&gt;&lt;item&gt;23&lt;/item&gt;&lt;item&gt;24&lt;/item&gt;&lt;item&gt;28&lt;/item&gt;&lt;item&gt;29&lt;/item&gt;&lt;item&gt;30&lt;/item&gt;&lt;/record-ids&gt;&lt;/item&gt;&lt;/Libraries&gt;"/>
  </w:docVars>
  <w:rsids>
    <w:rsidRoot w:val="00CD7C10"/>
    <w:rsid w:val="0000070D"/>
    <w:rsid w:val="00061096"/>
    <w:rsid w:val="00062F27"/>
    <w:rsid w:val="00064AB3"/>
    <w:rsid w:val="0006796A"/>
    <w:rsid w:val="00107719"/>
    <w:rsid w:val="00176EB3"/>
    <w:rsid w:val="001A67E3"/>
    <w:rsid w:val="0021458D"/>
    <w:rsid w:val="0023748D"/>
    <w:rsid w:val="002E5D3F"/>
    <w:rsid w:val="00311641"/>
    <w:rsid w:val="003D3106"/>
    <w:rsid w:val="003E70A7"/>
    <w:rsid w:val="00404514"/>
    <w:rsid w:val="004357C3"/>
    <w:rsid w:val="00496C6E"/>
    <w:rsid w:val="004A129F"/>
    <w:rsid w:val="004C1C79"/>
    <w:rsid w:val="004D0625"/>
    <w:rsid w:val="00512C65"/>
    <w:rsid w:val="005D1DA7"/>
    <w:rsid w:val="0065140B"/>
    <w:rsid w:val="00704DCB"/>
    <w:rsid w:val="00720550"/>
    <w:rsid w:val="008E49AC"/>
    <w:rsid w:val="00A7351A"/>
    <w:rsid w:val="00A93FF0"/>
    <w:rsid w:val="00B638A0"/>
    <w:rsid w:val="00B8554C"/>
    <w:rsid w:val="00C213A5"/>
    <w:rsid w:val="00C45793"/>
    <w:rsid w:val="00CD1CAC"/>
    <w:rsid w:val="00CD7C10"/>
    <w:rsid w:val="00CF3CE8"/>
    <w:rsid w:val="00D038DD"/>
    <w:rsid w:val="00D07D75"/>
    <w:rsid w:val="00D5729D"/>
    <w:rsid w:val="00E0608F"/>
    <w:rsid w:val="00E50A6A"/>
    <w:rsid w:val="00EC13E4"/>
    <w:rsid w:val="00EE157D"/>
    <w:rsid w:val="00F91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CA32F"/>
  <w15:chartTrackingRefBased/>
  <w15:docId w15:val="{1769D134-D108-47E5-B804-DF7AEBEF6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D7C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7C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7C1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7C1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7C1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7C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C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C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C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C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7C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7C1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7C1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7C1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7C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C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C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C10"/>
    <w:rPr>
      <w:rFonts w:eastAsiaTheme="majorEastAsia" w:cstheme="majorBidi"/>
      <w:color w:val="272727" w:themeColor="text1" w:themeTint="D8"/>
    </w:rPr>
  </w:style>
  <w:style w:type="paragraph" w:styleId="Title">
    <w:name w:val="Title"/>
    <w:basedOn w:val="Normal"/>
    <w:next w:val="Normal"/>
    <w:link w:val="TitleChar"/>
    <w:uiPriority w:val="10"/>
    <w:qFormat/>
    <w:rsid w:val="00CD7C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C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C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C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C10"/>
    <w:pPr>
      <w:spacing w:before="160"/>
      <w:jc w:val="center"/>
    </w:pPr>
    <w:rPr>
      <w:i/>
      <w:iCs/>
      <w:color w:val="404040" w:themeColor="text1" w:themeTint="BF"/>
    </w:rPr>
  </w:style>
  <w:style w:type="character" w:customStyle="1" w:styleId="QuoteChar">
    <w:name w:val="Quote Char"/>
    <w:basedOn w:val="DefaultParagraphFont"/>
    <w:link w:val="Quote"/>
    <w:uiPriority w:val="29"/>
    <w:rsid w:val="00CD7C10"/>
    <w:rPr>
      <w:i/>
      <w:iCs/>
      <w:color w:val="404040" w:themeColor="text1" w:themeTint="BF"/>
    </w:rPr>
  </w:style>
  <w:style w:type="paragraph" w:styleId="ListParagraph">
    <w:name w:val="List Paragraph"/>
    <w:basedOn w:val="Normal"/>
    <w:uiPriority w:val="34"/>
    <w:qFormat/>
    <w:rsid w:val="00CD7C10"/>
    <w:pPr>
      <w:ind w:left="720"/>
      <w:contextualSpacing/>
    </w:pPr>
  </w:style>
  <w:style w:type="character" w:styleId="IntenseEmphasis">
    <w:name w:val="Intense Emphasis"/>
    <w:basedOn w:val="DefaultParagraphFont"/>
    <w:uiPriority w:val="21"/>
    <w:qFormat/>
    <w:rsid w:val="00CD7C10"/>
    <w:rPr>
      <w:i/>
      <w:iCs/>
      <w:color w:val="2F5496" w:themeColor="accent1" w:themeShade="BF"/>
    </w:rPr>
  </w:style>
  <w:style w:type="paragraph" w:styleId="IntenseQuote">
    <w:name w:val="Intense Quote"/>
    <w:basedOn w:val="Normal"/>
    <w:next w:val="Normal"/>
    <w:link w:val="IntenseQuoteChar"/>
    <w:uiPriority w:val="30"/>
    <w:qFormat/>
    <w:rsid w:val="00CD7C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7C10"/>
    <w:rPr>
      <w:i/>
      <w:iCs/>
      <w:color w:val="2F5496" w:themeColor="accent1" w:themeShade="BF"/>
    </w:rPr>
  </w:style>
  <w:style w:type="character" w:styleId="IntenseReference">
    <w:name w:val="Intense Reference"/>
    <w:basedOn w:val="DefaultParagraphFont"/>
    <w:uiPriority w:val="32"/>
    <w:qFormat/>
    <w:rsid w:val="00CD7C10"/>
    <w:rPr>
      <w:b/>
      <w:bCs/>
      <w:smallCaps/>
      <w:color w:val="2F5496" w:themeColor="accent1" w:themeShade="BF"/>
      <w:spacing w:val="5"/>
    </w:rPr>
  </w:style>
  <w:style w:type="paragraph" w:styleId="NormalWeb">
    <w:name w:val="Normal (Web)"/>
    <w:basedOn w:val="Normal"/>
    <w:link w:val="NormalWebChar"/>
    <w:uiPriority w:val="99"/>
    <w:unhideWhenUsed/>
    <w:rsid w:val="00CD7C10"/>
    <w:pPr>
      <w:spacing w:before="100" w:beforeAutospacing="1" w:after="100" w:afterAutospacing="1" w:line="240" w:lineRule="auto"/>
    </w:pPr>
    <w:rPr>
      <w:rFonts w:ascii="Times New Roman" w:eastAsia="Times New Roman" w:hAnsi="Times New Roman" w:cs="Times New Roman"/>
      <w:kern w:val="0"/>
    </w:rPr>
  </w:style>
  <w:style w:type="table" w:styleId="TableGrid">
    <w:name w:val="Table Grid"/>
    <w:basedOn w:val="TableNormal"/>
    <w:uiPriority w:val="39"/>
    <w:rsid w:val="00CD7C1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038DD"/>
    <w:pPr>
      <w:spacing w:after="0"/>
      <w:jc w:val="center"/>
    </w:pPr>
    <w:rPr>
      <w:rFonts w:ascii="Calibri" w:hAnsi="Calibri" w:cs="Calibri"/>
      <w:noProof/>
    </w:rPr>
  </w:style>
  <w:style w:type="character" w:customStyle="1" w:styleId="NormalWebChar">
    <w:name w:val="Normal (Web) Char"/>
    <w:basedOn w:val="DefaultParagraphFont"/>
    <w:link w:val="NormalWeb"/>
    <w:uiPriority w:val="99"/>
    <w:rsid w:val="00D038DD"/>
    <w:rPr>
      <w:rFonts w:ascii="Times New Roman" w:eastAsia="Times New Roman" w:hAnsi="Times New Roman" w:cs="Times New Roman"/>
      <w:kern w:val="0"/>
    </w:rPr>
  </w:style>
  <w:style w:type="character" w:customStyle="1" w:styleId="EndNoteBibliographyTitleChar">
    <w:name w:val="EndNote Bibliography Title Char"/>
    <w:basedOn w:val="NormalWebChar"/>
    <w:link w:val="EndNoteBibliographyTitle"/>
    <w:rsid w:val="00D038DD"/>
    <w:rPr>
      <w:rFonts w:ascii="Calibri" w:eastAsia="Times New Roman" w:hAnsi="Calibri" w:cs="Calibri"/>
      <w:noProof/>
      <w:kern w:val="0"/>
    </w:rPr>
  </w:style>
  <w:style w:type="paragraph" w:customStyle="1" w:styleId="EndNoteBibliography">
    <w:name w:val="EndNote Bibliography"/>
    <w:basedOn w:val="Normal"/>
    <w:link w:val="EndNoteBibliographyChar"/>
    <w:rsid w:val="00D038DD"/>
    <w:pPr>
      <w:spacing w:line="240" w:lineRule="auto"/>
    </w:pPr>
    <w:rPr>
      <w:rFonts w:ascii="Calibri" w:hAnsi="Calibri" w:cs="Calibri"/>
      <w:noProof/>
    </w:rPr>
  </w:style>
  <w:style w:type="character" w:customStyle="1" w:styleId="EndNoteBibliographyChar">
    <w:name w:val="EndNote Bibliography Char"/>
    <w:basedOn w:val="NormalWebChar"/>
    <w:link w:val="EndNoteBibliography"/>
    <w:rsid w:val="00D038DD"/>
    <w:rPr>
      <w:rFonts w:ascii="Calibri" w:eastAsia="Times New Roman" w:hAnsi="Calibri" w:cs="Calibri"/>
      <w:noProof/>
      <w:kern w:val="0"/>
    </w:rPr>
  </w:style>
  <w:style w:type="character" w:customStyle="1" w:styleId="fontstyle01">
    <w:name w:val="fontstyle01"/>
    <w:basedOn w:val="DefaultParagraphFont"/>
    <w:rsid w:val="00D07D75"/>
    <w:rPr>
      <w:rFonts w:ascii="AdvOT1ef757c0" w:hAnsi="AdvOT1ef757c0" w:hint="default"/>
      <w:b w:val="0"/>
      <w:bCs w:val="0"/>
      <w:i w:val="0"/>
      <w:iCs w:val="0"/>
      <w:color w:val="000000"/>
      <w:sz w:val="18"/>
      <w:szCs w:val="18"/>
    </w:rPr>
  </w:style>
  <w:style w:type="character" w:customStyle="1" w:styleId="fontstyle21">
    <w:name w:val="fontstyle21"/>
    <w:basedOn w:val="DefaultParagraphFont"/>
    <w:rsid w:val="00D07D75"/>
    <w:rPr>
      <w:rFonts w:ascii="AdvOT1ef757c0+fb" w:hAnsi="AdvOT1ef757c0+fb" w:hint="default"/>
      <w:b w:val="0"/>
      <w:bCs w:val="0"/>
      <w:i w:val="0"/>
      <w:iCs w:val="0"/>
      <w:color w:val="000000"/>
      <w:sz w:val="18"/>
      <w:szCs w:val="18"/>
    </w:rPr>
  </w:style>
  <w:style w:type="character" w:customStyle="1" w:styleId="fontstyle31">
    <w:name w:val="fontstyle31"/>
    <w:basedOn w:val="DefaultParagraphFont"/>
    <w:rsid w:val="00D07D75"/>
    <w:rPr>
      <w:rFonts w:ascii="AdvP697C" w:hAnsi="AdvP697C" w:hint="default"/>
      <w:b w:val="0"/>
      <w:bCs w:val="0"/>
      <w:i w:val="0"/>
      <w:iCs w:val="0"/>
      <w:color w:val="000000"/>
      <w:sz w:val="18"/>
      <w:szCs w:val="18"/>
    </w:rPr>
  </w:style>
  <w:style w:type="character" w:styleId="Hyperlink">
    <w:name w:val="Hyperlink"/>
    <w:basedOn w:val="DefaultParagraphFont"/>
    <w:uiPriority w:val="99"/>
    <w:unhideWhenUsed/>
    <w:rsid w:val="00704DCB"/>
    <w:rPr>
      <w:color w:val="0563C1" w:themeColor="hyperlink"/>
      <w:u w:val="single"/>
    </w:rPr>
  </w:style>
  <w:style w:type="character" w:customStyle="1" w:styleId="UnresolvedMention">
    <w:name w:val="Unresolved Mention"/>
    <w:basedOn w:val="DefaultParagraphFont"/>
    <w:uiPriority w:val="99"/>
    <w:semiHidden/>
    <w:unhideWhenUsed/>
    <w:rsid w:val="00704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31137">
      <w:bodyDiv w:val="1"/>
      <w:marLeft w:val="0"/>
      <w:marRight w:val="0"/>
      <w:marTop w:val="0"/>
      <w:marBottom w:val="0"/>
      <w:divBdr>
        <w:top w:val="none" w:sz="0" w:space="0" w:color="auto"/>
        <w:left w:val="none" w:sz="0" w:space="0" w:color="auto"/>
        <w:bottom w:val="none" w:sz="0" w:space="0" w:color="auto"/>
        <w:right w:val="none" w:sz="0" w:space="0" w:color="auto"/>
      </w:divBdr>
    </w:div>
    <w:div w:id="261032310">
      <w:bodyDiv w:val="1"/>
      <w:marLeft w:val="0"/>
      <w:marRight w:val="0"/>
      <w:marTop w:val="0"/>
      <w:marBottom w:val="0"/>
      <w:divBdr>
        <w:top w:val="none" w:sz="0" w:space="0" w:color="auto"/>
        <w:left w:val="none" w:sz="0" w:space="0" w:color="auto"/>
        <w:bottom w:val="none" w:sz="0" w:space="0" w:color="auto"/>
        <w:right w:val="none" w:sz="0" w:space="0" w:color="auto"/>
      </w:divBdr>
    </w:div>
    <w:div w:id="604000778">
      <w:bodyDiv w:val="1"/>
      <w:marLeft w:val="0"/>
      <w:marRight w:val="0"/>
      <w:marTop w:val="0"/>
      <w:marBottom w:val="0"/>
      <w:divBdr>
        <w:top w:val="none" w:sz="0" w:space="0" w:color="auto"/>
        <w:left w:val="none" w:sz="0" w:space="0" w:color="auto"/>
        <w:bottom w:val="none" w:sz="0" w:space="0" w:color="auto"/>
        <w:right w:val="none" w:sz="0" w:space="0" w:color="auto"/>
      </w:divBdr>
    </w:div>
    <w:div w:id="631247444">
      <w:bodyDiv w:val="1"/>
      <w:marLeft w:val="0"/>
      <w:marRight w:val="0"/>
      <w:marTop w:val="0"/>
      <w:marBottom w:val="0"/>
      <w:divBdr>
        <w:top w:val="none" w:sz="0" w:space="0" w:color="auto"/>
        <w:left w:val="none" w:sz="0" w:space="0" w:color="auto"/>
        <w:bottom w:val="none" w:sz="0" w:space="0" w:color="auto"/>
        <w:right w:val="none" w:sz="0" w:space="0" w:color="auto"/>
      </w:divBdr>
    </w:div>
    <w:div w:id="682131238">
      <w:bodyDiv w:val="1"/>
      <w:marLeft w:val="0"/>
      <w:marRight w:val="0"/>
      <w:marTop w:val="0"/>
      <w:marBottom w:val="0"/>
      <w:divBdr>
        <w:top w:val="none" w:sz="0" w:space="0" w:color="auto"/>
        <w:left w:val="none" w:sz="0" w:space="0" w:color="auto"/>
        <w:bottom w:val="none" w:sz="0" w:space="0" w:color="auto"/>
        <w:right w:val="none" w:sz="0" w:space="0" w:color="auto"/>
      </w:divBdr>
    </w:div>
    <w:div w:id="948388434">
      <w:bodyDiv w:val="1"/>
      <w:marLeft w:val="0"/>
      <w:marRight w:val="0"/>
      <w:marTop w:val="0"/>
      <w:marBottom w:val="0"/>
      <w:divBdr>
        <w:top w:val="none" w:sz="0" w:space="0" w:color="auto"/>
        <w:left w:val="none" w:sz="0" w:space="0" w:color="auto"/>
        <w:bottom w:val="none" w:sz="0" w:space="0" w:color="auto"/>
        <w:right w:val="none" w:sz="0" w:space="0" w:color="auto"/>
      </w:divBdr>
    </w:div>
    <w:div w:id="1201821432">
      <w:bodyDiv w:val="1"/>
      <w:marLeft w:val="0"/>
      <w:marRight w:val="0"/>
      <w:marTop w:val="0"/>
      <w:marBottom w:val="0"/>
      <w:divBdr>
        <w:top w:val="none" w:sz="0" w:space="0" w:color="auto"/>
        <w:left w:val="none" w:sz="0" w:space="0" w:color="auto"/>
        <w:bottom w:val="none" w:sz="0" w:space="0" w:color="auto"/>
        <w:right w:val="none" w:sz="0" w:space="0" w:color="auto"/>
      </w:divBdr>
    </w:div>
    <w:div w:id="1278951706">
      <w:bodyDiv w:val="1"/>
      <w:marLeft w:val="0"/>
      <w:marRight w:val="0"/>
      <w:marTop w:val="0"/>
      <w:marBottom w:val="0"/>
      <w:divBdr>
        <w:top w:val="none" w:sz="0" w:space="0" w:color="auto"/>
        <w:left w:val="none" w:sz="0" w:space="0" w:color="auto"/>
        <w:bottom w:val="none" w:sz="0" w:space="0" w:color="auto"/>
        <w:right w:val="none" w:sz="0" w:space="0" w:color="auto"/>
      </w:divBdr>
    </w:div>
    <w:div w:id="1283346372">
      <w:bodyDiv w:val="1"/>
      <w:marLeft w:val="0"/>
      <w:marRight w:val="0"/>
      <w:marTop w:val="0"/>
      <w:marBottom w:val="0"/>
      <w:divBdr>
        <w:top w:val="none" w:sz="0" w:space="0" w:color="auto"/>
        <w:left w:val="none" w:sz="0" w:space="0" w:color="auto"/>
        <w:bottom w:val="none" w:sz="0" w:space="0" w:color="auto"/>
        <w:right w:val="none" w:sz="0" w:space="0" w:color="auto"/>
      </w:divBdr>
    </w:div>
    <w:div w:id="181786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urnals.asm.org/doi/full/10.1128/jvi.02343-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urnals.asm.org/doi/full/10.1128/jvi.02343-07" TargetMode="External"/><Relationship Id="rId5" Type="http://schemas.openxmlformats.org/officeDocument/2006/relationships/hyperlink" Target="https://journals.asm.org/doi/full/10.1128/jvi.02343-0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TotalTime>
  <Pages>1</Pages>
  <Words>5802</Words>
  <Characters>33073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zigale hibstu</dc:creator>
  <cp:keywords/>
  <dc:description/>
  <cp:lastModifiedBy>Durga  Ramu</cp:lastModifiedBy>
  <cp:revision>4</cp:revision>
  <dcterms:created xsi:type="dcterms:W3CDTF">2025-04-23T05:33:00Z</dcterms:created>
  <dcterms:modified xsi:type="dcterms:W3CDTF">2025-05-09T07:48:00Z</dcterms:modified>
</cp:coreProperties>
</file>