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89BC" w14:textId="4789A1D6" w:rsidR="00D92C7D" w:rsidRPr="00DA3C72" w:rsidRDefault="009C1870" w:rsidP="009C1870">
      <w:pPr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  <w:r w:rsidRPr="00DA3C72">
        <w:rPr>
          <w:rFonts w:asciiTheme="majorBidi" w:hAnsiTheme="majorBidi" w:cstheme="majorBidi"/>
          <w:b/>
          <w:bCs/>
          <w:color w:val="002060"/>
          <w:sz w:val="32"/>
          <w:szCs w:val="32"/>
        </w:rPr>
        <w:t>Supplementary</w:t>
      </w:r>
    </w:p>
    <w:p w14:paraId="0FCDC769" w14:textId="77777777" w:rsidR="009C1870" w:rsidRPr="00DA3C72" w:rsidRDefault="009C1870" w:rsidP="009C1870">
      <w:pPr>
        <w:jc w:val="center"/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</w:p>
    <w:p w14:paraId="79C2BF31" w14:textId="1C35802F" w:rsidR="009C1870" w:rsidRPr="009C1870" w:rsidRDefault="009C1870" w:rsidP="009C187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C1870">
        <w:rPr>
          <w:rFonts w:asciiTheme="majorBidi" w:hAnsiTheme="majorBidi" w:cstheme="majorBidi"/>
          <w:b/>
          <w:bCs/>
          <w:sz w:val="28"/>
          <w:szCs w:val="28"/>
        </w:rPr>
        <w:t xml:space="preserve">TableS1. </w:t>
      </w:r>
      <w:r w:rsidRPr="009C1870">
        <w:rPr>
          <w:rFonts w:asciiTheme="majorBidi" w:hAnsiTheme="majorBidi" w:cstheme="majorBidi"/>
        </w:rPr>
        <w:t>Proposed Metasurface Design Sweep for Leaf Dressing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12"/>
        <w:gridCol w:w="1282"/>
        <w:gridCol w:w="1188"/>
        <w:gridCol w:w="1215"/>
        <w:gridCol w:w="1244"/>
        <w:gridCol w:w="1482"/>
        <w:gridCol w:w="1853"/>
      </w:tblGrid>
      <w:tr w:rsidR="009C1870" w:rsidRPr="009C1870" w14:paraId="31E0B67C" w14:textId="77777777" w:rsidTr="009C1870">
        <w:tc>
          <w:tcPr>
            <w:tcW w:w="0" w:type="auto"/>
            <w:hideMark/>
          </w:tcPr>
          <w:p w14:paraId="222EBD19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  <w:b/>
                <w:bCs/>
              </w:rPr>
              <w:t>Material System</w:t>
            </w:r>
          </w:p>
        </w:tc>
        <w:tc>
          <w:tcPr>
            <w:tcW w:w="0" w:type="auto"/>
            <w:hideMark/>
          </w:tcPr>
          <w:p w14:paraId="761935B4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  <w:b/>
                <w:bCs/>
              </w:rPr>
              <w:t>Refractive Index (n)</w:t>
            </w:r>
          </w:p>
        </w:tc>
        <w:tc>
          <w:tcPr>
            <w:tcW w:w="1212" w:type="dxa"/>
            <w:hideMark/>
          </w:tcPr>
          <w:p w14:paraId="402E417D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  <w:b/>
                <w:bCs/>
              </w:rPr>
              <w:t>Height (h, nm)</w:t>
            </w:r>
          </w:p>
        </w:tc>
        <w:tc>
          <w:tcPr>
            <w:tcW w:w="1242" w:type="dxa"/>
            <w:hideMark/>
          </w:tcPr>
          <w:p w14:paraId="49931F11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  <w:b/>
                <w:bCs/>
              </w:rPr>
              <w:t>Period (p, nm)</w:t>
            </w:r>
          </w:p>
        </w:tc>
        <w:tc>
          <w:tcPr>
            <w:tcW w:w="924" w:type="dxa"/>
            <w:hideMark/>
          </w:tcPr>
          <w:p w14:paraId="2C1BB408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  <w:b/>
                <w:bCs/>
              </w:rPr>
              <w:t>Thickness (t, nm)</w:t>
            </w:r>
          </w:p>
        </w:tc>
        <w:tc>
          <w:tcPr>
            <w:tcW w:w="0" w:type="auto"/>
            <w:hideMark/>
          </w:tcPr>
          <w:p w14:paraId="3DD65D1D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  <w:b/>
                <w:bCs/>
              </w:rPr>
              <w:t>Design Target</w:t>
            </w:r>
          </w:p>
        </w:tc>
        <w:tc>
          <w:tcPr>
            <w:tcW w:w="1904" w:type="dxa"/>
            <w:hideMark/>
          </w:tcPr>
          <w:p w14:paraId="63BF02F1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  <w:b/>
                <w:bCs/>
              </w:rPr>
              <w:t>Expected Gain</w:t>
            </w:r>
          </w:p>
        </w:tc>
      </w:tr>
      <w:tr w:rsidR="009C1870" w:rsidRPr="009C1870" w14:paraId="2277BE92" w14:textId="77777777" w:rsidTr="009C1870">
        <w:tc>
          <w:tcPr>
            <w:tcW w:w="0" w:type="auto"/>
            <w:hideMark/>
          </w:tcPr>
          <w:p w14:paraId="14C59235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C1870">
              <w:rPr>
                <w:rFonts w:asciiTheme="majorBidi" w:hAnsiTheme="majorBidi" w:cstheme="majorBidi"/>
              </w:rPr>
              <w:t>TiO</w:t>
            </w:r>
            <w:proofErr w:type="spellEnd"/>
            <w:r w:rsidRPr="009C1870">
              <w:rPr>
                <w:rFonts w:asciiTheme="majorBidi" w:hAnsiTheme="majorBidi" w:cstheme="majorBidi"/>
              </w:rPr>
              <w:t>₂ dielectric meta-array</w:t>
            </w:r>
          </w:p>
        </w:tc>
        <w:tc>
          <w:tcPr>
            <w:tcW w:w="0" w:type="auto"/>
            <w:hideMark/>
          </w:tcPr>
          <w:p w14:paraId="7A86C8F4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2.3–2.6</w:t>
            </w:r>
          </w:p>
        </w:tc>
        <w:tc>
          <w:tcPr>
            <w:tcW w:w="1212" w:type="dxa"/>
            <w:hideMark/>
          </w:tcPr>
          <w:p w14:paraId="1FD82058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60–120</w:t>
            </w:r>
          </w:p>
        </w:tc>
        <w:tc>
          <w:tcPr>
            <w:tcW w:w="1242" w:type="dxa"/>
            <w:hideMark/>
          </w:tcPr>
          <w:p w14:paraId="415D926E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200–350</w:t>
            </w:r>
          </w:p>
        </w:tc>
        <w:tc>
          <w:tcPr>
            <w:tcW w:w="924" w:type="dxa"/>
            <w:hideMark/>
          </w:tcPr>
          <w:p w14:paraId="3DC76439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0" w:type="auto"/>
            <w:hideMark/>
          </w:tcPr>
          <w:p w14:paraId="255CA584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Blue (450 nm) enhancement</w:t>
            </w:r>
          </w:p>
        </w:tc>
        <w:tc>
          <w:tcPr>
            <w:tcW w:w="1904" w:type="dxa"/>
            <w:hideMark/>
          </w:tcPr>
          <w:p w14:paraId="6E468561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↑ absorption + 20–35%</w:t>
            </w:r>
          </w:p>
        </w:tc>
      </w:tr>
      <w:tr w:rsidR="009C1870" w:rsidRPr="009C1870" w14:paraId="2E5BA783" w14:textId="77777777" w:rsidTr="009C1870">
        <w:tc>
          <w:tcPr>
            <w:tcW w:w="0" w:type="auto"/>
            <w:hideMark/>
          </w:tcPr>
          <w:p w14:paraId="66D6A2E8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C1870">
              <w:rPr>
                <w:rFonts w:asciiTheme="majorBidi" w:hAnsiTheme="majorBidi" w:cstheme="majorBidi"/>
              </w:rPr>
              <w:t>SiNx</w:t>
            </w:r>
            <w:proofErr w:type="spellEnd"/>
            <w:r w:rsidRPr="009C1870">
              <w:rPr>
                <w:rFonts w:asciiTheme="majorBidi" w:hAnsiTheme="majorBidi" w:cstheme="majorBidi"/>
              </w:rPr>
              <w:t xml:space="preserve"> nanopillars</w:t>
            </w:r>
          </w:p>
        </w:tc>
        <w:tc>
          <w:tcPr>
            <w:tcW w:w="0" w:type="auto"/>
            <w:hideMark/>
          </w:tcPr>
          <w:p w14:paraId="53347D24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1.9–2.1</w:t>
            </w:r>
          </w:p>
        </w:tc>
        <w:tc>
          <w:tcPr>
            <w:tcW w:w="1212" w:type="dxa"/>
            <w:hideMark/>
          </w:tcPr>
          <w:p w14:paraId="1FB1A645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80–140</w:t>
            </w:r>
          </w:p>
        </w:tc>
        <w:tc>
          <w:tcPr>
            <w:tcW w:w="1242" w:type="dxa"/>
            <w:hideMark/>
          </w:tcPr>
          <w:p w14:paraId="7D4476E2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300–400</w:t>
            </w:r>
          </w:p>
        </w:tc>
        <w:tc>
          <w:tcPr>
            <w:tcW w:w="924" w:type="dxa"/>
            <w:hideMark/>
          </w:tcPr>
          <w:p w14:paraId="4691C9CA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0" w:type="auto"/>
            <w:hideMark/>
          </w:tcPr>
          <w:p w14:paraId="61F736CD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Red band (650–680 nm)</w:t>
            </w:r>
          </w:p>
        </w:tc>
        <w:tc>
          <w:tcPr>
            <w:tcW w:w="1904" w:type="dxa"/>
            <w:hideMark/>
          </w:tcPr>
          <w:p w14:paraId="63FE504E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↑ PSII excitation + 15–30%</w:t>
            </w:r>
          </w:p>
        </w:tc>
      </w:tr>
      <w:tr w:rsidR="009C1870" w:rsidRPr="009C1870" w14:paraId="6A3B2979" w14:textId="77777777" w:rsidTr="009C1870">
        <w:tc>
          <w:tcPr>
            <w:tcW w:w="0" w:type="auto"/>
            <w:hideMark/>
          </w:tcPr>
          <w:p w14:paraId="0D362B01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C1870">
              <w:rPr>
                <w:rFonts w:asciiTheme="majorBidi" w:hAnsiTheme="majorBidi" w:cstheme="majorBidi"/>
              </w:rPr>
              <w:t>ZnO</w:t>
            </w:r>
            <w:proofErr w:type="spellEnd"/>
            <w:r w:rsidRPr="009C1870">
              <w:rPr>
                <w:rFonts w:asciiTheme="majorBidi" w:hAnsiTheme="majorBidi" w:cstheme="majorBidi"/>
              </w:rPr>
              <w:t xml:space="preserve"> metasurface</w:t>
            </w:r>
          </w:p>
        </w:tc>
        <w:tc>
          <w:tcPr>
            <w:tcW w:w="0" w:type="auto"/>
            <w:hideMark/>
          </w:tcPr>
          <w:p w14:paraId="721C73BE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2.0</w:t>
            </w:r>
          </w:p>
        </w:tc>
        <w:tc>
          <w:tcPr>
            <w:tcW w:w="1212" w:type="dxa"/>
            <w:hideMark/>
          </w:tcPr>
          <w:p w14:paraId="48912A92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50–120</w:t>
            </w:r>
          </w:p>
        </w:tc>
        <w:tc>
          <w:tcPr>
            <w:tcW w:w="1242" w:type="dxa"/>
            <w:hideMark/>
          </w:tcPr>
          <w:p w14:paraId="041B0845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250–350</w:t>
            </w:r>
          </w:p>
        </w:tc>
        <w:tc>
          <w:tcPr>
            <w:tcW w:w="924" w:type="dxa"/>
            <w:hideMark/>
          </w:tcPr>
          <w:p w14:paraId="1C1901C1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0" w:type="auto"/>
            <w:hideMark/>
          </w:tcPr>
          <w:p w14:paraId="066515EB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UV-blue conversion &amp; scattering</w:t>
            </w:r>
          </w:p>
        </w:tc>
        <w:tc>
          <w:tcPr>
            <w:tcW w:w="1904" w:type="dxa"/>
            <w:hideMark/>
          </w:tcPr>
          <w:p w14:paraId="6F0692D0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↑ NPQ regulation, less heat loss</w:t>
            </w:r>
          </w:p>
        </w:tc>
      </w:tr>
      <w:tr w:rsidR="009C1870" w:rsidRPr="009C1870" w14:paraId="550111E1" w14:textId="77777777" w:rsidTr="009C1870">
        <w:tc>
          <w:tcPr>
            <w:tcW w:w="0" w:type="auto"/>
            <w:hideMark/>
          </w:tcPr>
          <w:p w14:paraId="7AB30728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QD-hybrid metasurface (</w:t>
            </w:r>
            <w:proofErr w:type="spellStart"/>
            <w:r w:rsidRPr="009C1870">
              <w:rPr>
                <w:rFonts w:asciiTheme="majorBidi" w:hAnsiTheme="majorBidi" w:cstheme="majorBidi"/>
              </w:rPr>
              <w:t>InP</w:t>
            </w:r>
            <w:proofErr w:type="spellEnd"/>
            <w:r w:rsidRPr="009C1870">
              <w:rPr>
                <w:rFonts w:asciiTheme="majorBidi" w:hAnsiTheme="majorBidi" w:cstheme="majorBidi"/>
              </w:rPr>
              <w:t>/QD-polymer)</w:t>
            </w:r>
          </w:p>
        </w:tc>
        <w:tc>
          <w:tcPr>
            <w:tcW w:w="0" w:type="auto"/>
            <w:hideMark/>
          </w:tcPr>
          <w:p w14:paraId="41268191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tunable 1.6–2.8</w:t>
            </w:r>
          </w:p>
        </w:tc>
        <w:tc>
          <w:tcPr>
            <w:tcW w:w="1212" w:type="dxa"/>
            <w:hideMark/>
          </w:tcPr>
          <w:p w14:paraId="7D457136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40–100</w:t>
            </w:r>
          </w:p>
        </w:tc>
        <w:tc>
          <w:tcPr>
            <w:tcW w:w="1242" w:type="dxa"/>
            <w:hideMark/>
          </w:tcPr>
          <w:p w14:paraId="6C152724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250–450</w:t>
            </w:r>
          </w:p>
        </w:tc>
        <w:tc>
          <w:tcPr>
            <w:tcW w:w="924" w:type="dxa"/>
            <w:hideMark/>
          </w:tcPr>
          <w:p w14:paraId="028B7A1B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50–150</w:t>
            </w:r>
          </w:p>
        </w:tc>
        <w:tc>
          <w:tcPr>
            <w:tcW w:w="0" w:type="auto"/>
            <w:hideMark/>
          </w:tcPr>
          <w:p w14:paraId="3BD8122F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Spectral down-conversion + funneling</w:t>
            </w:r>
          </w:p>
        </w:tc>
        <w:tc>
          <w:tcPr>
            <w:tcW w:w="1904" w:type="dxa"/>
            <w:hideMark/>
          </w:tcPr>
          <w:p w14:paraId="6B3E6DA4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+45–90% J_H2O (aligned w/ biohybrid section)</w:t>
            </w:r>
          </w:p>
        </w:tc>
      </w:tr>
      <w:tr w:rsidR="009C1870" w:rsidRPr="009C1870" w14:paraId="6F18D6D3" w14:textId="77777777" w:rsidTr="009C1870">
        <w:tc>
          <w:tcPr>
            <w:tcW w:w="0" w:type="auto"/>
            <w:hideMark/>
          </w:tcPr>
          <w:p w14:paraId="2517D4C2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P3</w:t>
            </w:r>
            <w:proofErr w:type="gramStart"/>
            <w:r w:rsidRPr="009C1870">
              <w:rPr>
                <w:rFonts w:asciiTheme="majorBidi" w:hAnsiTheme="majorBidi" w:cstheme="majorBidi"/>
              </w:rPr>
              <w:t>HT:PCBM</w:t>
            </w:r>
            <w:proofErr w:type="gramEnd"/>
            <w:r w:rsidRPr="009C1870">
              <w:rPr>
                <w:rFonts w:asciiTheme="majorBidi" w:hAnsiTheme="majorBidi" w:cstheme="majorBidi"/>
              </w:rPr>
              <w:t xml:space="preserve"> plasmonic mesh</w:t>
            </w:r>
          </w:p>
        </w:tc>
        <w:tc>
          <w:tcPr>
            <w:tcW w:w="0" w:type="auto"/>
            <w:hideMark/>
          </w:tcPr>
          <w:p w14:paraId="1E49DF29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complex index (k≠0)</w:t>
            </w:r>
          </w:p>
        </w:tc>
        <w:tc>
          <w:tcPr>
            <w:tcW w:w="1212" w:type="dxa"/>
            <w:hideMark/>
          </w:tcPr>
          <w:p w14:paraId="1302E2B7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30–80</w:t>
            </w:r>
          </w:p>
        </w:tc>
        <w:tc>
          <w:tcPr>
            <w:tcW w:w="1242" w:type="dxa"/>
            <w:hideMark/>
          </w:tcPr>
          <w:p w14:paraId="70C05082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200–500</w:t>
            </w:r>
          </w:p>
        </w:tc>
        <w:tc>
          <w:tcPr>
            <w:tcW w:w="924" w:type="dxa"/>
            <w:hideMark/>
          </w:tcPr>
          <w:p w14:paraId="1CDD76C0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0" w:type="auto"/>
            <w:hideMark/>
          </w:tcPr>
          <w:p w14:paraId="77217066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Plasmonic field boost at 650 nm</w:t>
            </w:r>
          </w:p>
        </w:tc>
        <w:tc>
          <w:tcPr>
            <w:tcW w:w="1904" w:type="dxa"/>
            <w:hideMark/>
          </w:tcPr>
          <w:p w14:paraId="58E1F24A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↑ J_C ~30–55%</w:t>
            </w:r>
          </w:p>
        </w:tc>
      </w:tr>
      <w:tr w:rsidR="009C1870" w:rsidRPr="009C1870" w14:paraId="39D71D77" w14:textId="77777777" w:rsidTr="009C1870">
        <w:tc>
          <w:tcPr>
            <w:tcW w:w="0" w:type="auto"/>
            <w:hideMark/>
          </w:tcPr>
          <w:p w14:paraId="26F6439B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Carbon dot/graphene mesh</w:t>
            </w:r>
          </w:p>
        </w:tc>
        <w:tc>
          <w:tcPr>
            <w:tcW w:w="0" w:type="auto"/>
            <w:hideMark/>
          </w:tcPr>
          <w:p w14:paraId="508C5AF6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1.7–1.9</w:t>
            </w:r>
          </w:p>
        </w:tc>
        <w:tc>
          <w:tcPr>
            <w:tcW w:w="1212" w:type="dxa"/>
            <w:hideMark/>
          </w:tcPr>
          <w:p w14:paraId="338A7E69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30–60</w:t>
            </w:r>
          </w:p>
        </w:tc>
        <w:tc>
          <w:tcPr>
            <w:tcW w:w="1242" w:type="dxa"/>
            <w:hideMark/>
          </w:tcPr>
          <w:p w14:paraId="63206353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150–350</w:t>
            </w:r>
          </w:p>
        </w:tc>
        <w:tc>
          <w:tcPr>
            <w:tcW w:w="924" w:type="dxa"/>
            <w:hideMark/>
          </w:tcPr>
          <w:p w14:paraId="6C8F578B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0" w:type="auto"/>
            <w:hideMark/>
          </w:tcPr>
          <w:p w14:paraId="521E5B04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High flexibility + charge transfer</w:t>
            </w:r>
          </w:p>
        </w:tc>
        <w:tc>
          <w:tcPr>
            <w:tcW w:w="1904" w:type="dxa"/>
            <w:hideMark/>
          </w:tcPr>
          <w:p w14:paraId="71969B77" w14:textId="77777777" w:rsidR="009C1870" w:rsidRPr="009C1870" w:rsidRDefault="009C1870" w:rsidP="009C1870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9C1870">
              <w:rPr>
                <w:rFonts w:asciiTheme="majorBidi" w:hAnsiTheme="majorBidi" w:cstheme="majorBidi"/>
              </w:rPr>
              <w:t>+25–40% carbon fixation</w:t>
            </w:r>
          </w:p>
        </w:tc>
      </w:tr>
    </w:tbl>
    <w:p w14:paraId="3E0FA757" w14:textId="77777777" w:rsidR="009C1870" w:rsidRDefault="009C1870" w:rsidP="009C1870">
      <w:pPr>
        <w:rPr>
          <w:rFonts w:asciiTheme="majorBidi" w:hAnsiTheme="majorBidi" w:cstheme="majorBidi"/>
          <w:lang w:val="it-IT"/>
        </w:rPr>
      </w:pPr>
    </w:p>
    <w:p w14:paraId="12CDA1AE" w14:textId="77777777" w:rsidR="009C1870" w:rsidRDefault="009C1870" w:rsidP="009C1870">
      <w:pPr>
        <w:rPr>
          <w:rFonts w:asciiTheme="majorBidi" w:hAnsiTheme="majorBidi" w:cstheme="majorBidi"/>
          <w:lang w:val="it-IT"/>
        </w:rPr>
      </w:pPr>
    </w:p>
    <w:p w14:paraId="6E898ABC" w14:textId="77777777" w:rsidR="009C1870" w:rsidRDefault="009C1870" w:rsidP="009C1870">
      <w:pPr>
        <w:rPr>
          <w:rFonts w:asciiTheme="majorBidi" w:hAnsiTheme="majorBidi" w:cstheme="majorBidi"/>
          <w:lang w:val="it-IT"/>
        </w:rPr>
      </w:pPr>
    </w:p>
    <w:p w14:paraId="5BBF4CD2" w14:textId="77777777" w:rsidR="009C1870" w:rsidRDefault="009C1870" w:rsidP="009C1870">
      <w:pPr>
        <w:rPr>
          <w:rFonts w:asciiTheme="majorBidi" w:hAnsiTheme="majorBidi" w:cstheme="majorBidi"/>
          <w:lang w:val="it-IT"/>
        </w:rPr>
      </w:pPr>
    </w:p>
    <w:p w14:paraId="0988F86D" w14:textId="77777777" w:rsidR="009C1870" w:rsidRDefault="009C1870" w:rsidP="009C1870">
      <w:pPr>
        <w:rPr>
          <w:rFonts w:asciiTheme="majorBidi" w:hAnsiTheme="majorBidi" w:cstheme="majorBidi"/>
          <w:lang w:val="it-IT"/>
        </w:rPr>
      </w:pPr>
    </w:p>
    <w:p w14:paraId="69C52E5A" w14:textId="77777777" w:rsidR="009C1870" w:rsidRDefault="009C1870" w:rsidP="009C1870">
      <w:pPr>
        <w:rPr>
          <w:rFonts w:asciiTheme="majorBidi" w:hAnsiTheme="majorBidi" w:cstheme="majorBidi"/>
          <w:lang w:val="it-IT"/>
        </w:rPr>
      </w:pPr>
    </w:p>
    <w:p w14:paraId="5339D083" w14:textId="77777777" w:rsidR="009C1870" w:rsidRDefault="009C1870" w:rsidP="009C1870">
      <w:pPr>
        <w:rPr>
          <w:rFonts w:asciiTheme="majorBidi" w:hAnsiTheme="majorBidi" w:cstheme="majorBidi"/>
          <w:lang w:val="it-IT"/>
        </w:rPr>
      </w:pPr>
    </w:p>
    <w:p w14:paraId="7D967E59" w14:textId="12F658EB" w:rsidR="009C1870" w:rsidRDefault="009C1870" w:rsidP="009C1870">
      <w:pPr>
        <w:jc w:val="center"/>
        <w:rPr>
          <w:rFonts w:asciiTheme="majorBidi" w:hAnsiTheme="majorBidi" w:cstheme="majorBidi"/>
          <w:lang w:val="it-IT"/>
        </w:rPr>
      </w:pPr>
      <w:r>
        <w:rPr>
          <w:rFonts w:asciiTheme="majorBidi" w:hAnsiTheme="majorBidi" w:cstheme="majorBidi"/>
          <w:noProof/>
          <w:lang w:val="it-IT"/>
        </w:rPr>
        <w:drawing>
          <wp:inline distT="0" distB="0" distL="0" distR="0" wp14:anchorId="0FBDEDB7" wp14:editId="391B89D8">
            <wp:extent cx="5059680" cy="3893820"/>
            <wp:effectExtent l="0" t="0" r="7620" b="0"/>
            <wp:docPr id="543161991" name="Picture 1" descr="A diagram of a solar ce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161991" name="Picture 1" descr="A diagram of a solar cell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9" t="1731" r="6282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80" cy="3893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9E2A5" w14:textId="3A2E86BB" w:rsidR="009C1870" w:rsidRDefault="009C1870" w:rsidP="009C1870">
      <w:pPr>
        <w:jc w:val="both"/>
        <w:rPr>
          <w:rFonts w:asciiTheme="majorBidi" w:hAnsiTheme="majorBidi" w:cstheme="majorBidi"/>
        </w:rPr>
      </w:pPr>
      <w:r w:rsidRPr="009C1870">
        <w:rPr>
          <w:rFonts w:asciiTheme="majorBidi" w:hAnsiTheme="majorBidi" w:cstheme="majorBidi"/>
          <w:b/>
          <w:bCs/>
        </w:rPr>
        <w:t>FigureS1. Metasurface-Assisted Photonic Dressing of Leaves Enhances Photosynthetic Yield.</w:t>
      </w:r>
      <w:r w:rsidRPr="009C1870">
        <w:rPr>
          <w:rFonts w:asciiTheme="majorBidi" w:hAnsiTheme="majorBidi" w:cstheme="majorBidi"/>
        </w:rPr>
        <w:t xml:space="preserve"> A lightweight 2-D metasurface film consisting of dielectric nano-resonators, quantum dots, or polymer nano-arrays is placed above the leaf surface to spectrally tune incoming sunlight (400–800 nm) into photosynthetically optimal bands. The metasurface performs spectral filtering and down-conversion, generating an effective photon flux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I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  <w:sz w:val="28"/>
                <w:szCs w:val="28"/>
              </w:rPr>
              <m:t>eff</m:t>
            </m:r>
          </m:sub>
        </m:sSub>
      </m:oMath>
      <w:r w:rsidR="008A6037">
        <w:rPr>
          <w:rFonts w:asciiTheme="majorBidi" w:eastAsiaTheme="minorEastAsia" w:hAnsiTheme="majorBidi" w:cstheme="majorBidi"/>
        </w:rPr>
        <w:t xml:space="preserve"> </w:t>
      </w:r>
      <w:r w:rsidRPr="009C1870">
        <w:rPr>
          <w:rFonts w:asciiTheme="majorBidi" w:hAnsiTheme="majorBidi" w:cstheme="majorBidi"/>
        </w:rPr>
        <w:t xml:space="preserve">that increases excitation of PSII and reduces high-energy photodamage. Modified photonic input enhances water-splitting current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J</m:t>
            </m:r>
          </m:e>
          <m:sub>
            <m:sSub>
              <m:sSubPr>
                <m:ctrlPr>
                  <w:rPr>
                    <w:rFonts w:ascii="Cambria Math" w:hAnsi="Cambria Math" w:cstheme="majorBidi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H</m:t>
                </m:r>
              </m:e>
              <m:sub>
                <m:r>
                  <w:rPr>
                    <w:rFonts w:ascii="Cambria Math" w:hAnsi="Cambria Math" w:cstheme="majorBidi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</w:rPr>
              <m:t>O</m:t>
            </m:r>
          </m:sub>
        </m:sSub>
      </m:oMath>
      <w:r w:rsidRPr="009C1870">
        <w:rPr>
          <w:rFonts w:asciiTheme="majorBidi" w:hAnsiTheme="majorBidi" w:cstheme="majorBidi"/>
        </w:rPr>
        <w:t xml:space="preserve">and carbon-fixation flux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J</m:t>
            </m:r>
          </m:e>
          <m:sub>
            <m:r>
              <w:rPr>
                <w:rFonts w:ascii="Cambria Math" w:hAnsi="Cambria Math" w:cstheme="majorBidi"/>
              </w:rPr>
              <m:t>C</m:t>
            </m:r>
          </m:sub>
        </m:sSub>
      </m:oMath>
      <w:r w:rsidRPr="009C1870">
        <w:rPr>
          <w:rFonts w:asciiTheme="majorBidi" w:hAnsiTheme="majorBidi" w:cstheme="majorBidi"/>
        </w:rPr>
        <w:t>, as indicated by increased upward arrows within the leaf schematic. Right panel: simulated mean gains in water-splitting and integrated carbon fixation for different photonic materials relative to the leaf-only baseline, showing up to ~90% enhancement for InP-QD metasurfaces, ~60–75% for P3HT nanoparticles, and ~45–60% for carbon-dot coatings. Overall, the metasurface dressing provides a tunable optical interface for boosting photosynthetic energy conversion efficiency.</w:t>
      </w:r>
    </w:p>
    <w:p w14:paraId="17C8BF90" w14:textId="77777777" w:rsidR="009C1870" w:rsidRDefault="009C1870" w:rsidP="009C1870">
      <w:pPr>
        <w:rPr>
          <w:rFonts w:asciiTheme="majorBidi" w:hAnsiTheme="majorBidi" w:cstheme="majorBidi"/>
        </w:rPr>
      </w:pPr>
    </w:p>
    <w:p w14:paraId="629AD7FA" w14:textId="77777777" w:rsidR="009C1870" w:rsidRDefault="009C1870" w:rsidP="009C1870">
      <w:pPr>
        <w:rPr>
          <w:rFonts w:asciiTheme="majorBidi" w:hAnsiTheme="majorBidi" w:cstheme="majorBidi"/>
        </w:rPr>
      </w:pPr>
    </w:p>
    <w:p w14:paraId="1D133C1B" w14:textId="77777777" w:rsidR="009C1870" w:rsidRDefault="009C1870" w:rsidP="009C1870">
      <w:pPr>
        <w:rPr>
          <w:rFonts w:asciiTheme="majorBidi" w:hAnsiTheme="majorBidi" w:cstheme="majorBidi"/>
        </w:rPr>
      </w:pPr>
    </w:p>
    <w:p w14:paraId="3C7F2C8E" w14:textId="77777777" w:rsidR="009C1870" w:rsidRDefault="009C1870" w:rsidP="009C1870">
      <w:pPr>
        <w:rPr>
          <w:rFonts w:asciiTheme="majorBidi" w:hAnsiTheme="majorBidi" w:cstheme="majorBidi"/>
        </w:rPr>
      </w:pPr>
    </w:p>
    <w:p w14:paraId="3492A238" w14:textId="77777777" w:rsidR="009C1870" w:rsidRPr="009C1870" w:rsidRDefault="009C1870" w:rsidP="009C1870">
      <w:pPr>
        <w:rPr>
          <w:rFonts w:asciiTheme="majorBidi" w:hAnsiTheme="majorBidi" w:cstheme="majorBidi"/>
          <w:b/>
          <w:bCs/>
        </w:rPr>
      </w:pPr>
      <w:r w:rsidRPr="009C1870">
        <w:rPr>
          <w:rFonts w:asciiTheme="majorBidi" w:hAnsiTheme="majorBidi" w:cstheme="majorBidi"/>
          <w:b/>
          <w:bCs/>
        </w:rPr>
        <w:lastRenderedPageBreak/>
        <w:t>1. Metasurface-modified photon flux transfer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0"/>
        <w:gridCol w:w="81"/>
      </w:tblGrid>
      <w:tr w:rsidR="009C1870" w:rsidRPr="009C1870" w14:paraId="66767F1D" w14:textId="77777777" w:rsidTr="009C1870">
        <w:trPr>
          <w:tblHeader/>
          <w:tblCellSpacing w:w="15" w:type="dxa"/>
        </w:trPr>
        <w:tc>
          <w:tcPr>
            <w:tcW w:w="0" w:type="auto"/>
            <w:vAlign w:val="center"/>
          </w:tcPr>
          <w:p w14:paraId="16299DAA" w14:textId="5BDF49B8" w:rsidR="009C1870" w:rsidRPr="009C1870" w:rsidRDefault="009C1870" w:rsidP="009C1870">
            <w:pPr>
              <w:rPr>
                <w:rFonts w:asciiTheme="majorBidi" w:hAnsiTheme="majorBidi" w:cstheme="majorBidi"/>
                <w:b/>
                <w:bCs/>
              </w:rPr>
            </w:pPr>
            <w:r w:rsidRPr="009C1870">
              <w:rPr>
                <w:rFonts w:asciiTheme="majorBidi" w:hAnsiTheme="majorBidi" w:cstheme="majorBidi"/>
              </w:rPr>
              <w:t>Instead of</w:t>
            </w:r>
            <w:r w:rsidR="00A20A4E">
              <w:rPr>
                <w:rFonts w:asciiTheme="majorBidi" w:hAnsiTheme="majorBidi" w:cstheme="majorBidi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Fonts w:asciiTheme="majorBidi" w:hAnsiTheme="majorBidi" w:cstheme="majorBidi"/>
                    </w:rPr>
                    <m:t>eff</m:t>
                  </m:r>
                </m:sub>
              </m:sSub>
              <m:r>
                <w:rPr>
                  <w:rFonts w:ascii="Cambria Math" w:hAnsi="Cambria Math" w:cstheme="majorBidi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Fonts w:asciiTheme="majorBidi" w:hAnsiTheme="majorBidi" w:cstheme="majorBidi"/>
                    </w:rPr>
                    <m:t>sun</m:t>
                  </m:r>
                </m:sub>
              </m:sSub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η</m:t>
                  </m:r>
                </m:e>
                <m:sub>
                  <m:r>
                    <m:rPr>
                      <m:nor/>
                    </m:rPr>
                    <w:rPr>
                      <w:rFonts w:asciiTheme="majorBidi" w:hAnsiTheme="majorBidi" w:cstheme="majorBidi"/>
                    </w:rPr>
                    <m:t>leaf</m:t>
                  </m:r>
                </m:sub>
              </m:sSub>
              <m:r>
                <w:rPr>
                  <w:rFonts w:ascii="Cambria Math" w:hAnsi="Cambria Math" w:cstheme="majorBidi"/>
                </w:rPr>
                <m:t>+</m:t>
              </m:r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Fonts w:asciiTheme="majorBidi" w:hAnsiTheme="majorBidi" w:cstheme="majorBidi"/>
                    </w:rPr>
                    <m:t>sun</m:t>
                  </m:r>
                </m:sub>
              </m:sSub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η</m:t>
                  </m:r>
                </m:e>
                <m:sub>
                  <m:r>
                    <m:rPr>
                      <m:nor/>
                    </m:rPr>
                    <w:rPr>
                      <w:rFonts w:asciiTheme="majorBidi" w:hAnsiTheme="majorBidi" w:cstheme="majorBidi"/>
                    </w:rPr>
                    <m:t>QD</m:t>
                  </m:r>
                </m:sub>
              </m:sSub>
              <m:sSub>
                <m:sSubPr>
                  <m:ctrlPr>
                    <w:rPr>
                      <w:rFonts w:ascii="Cambria Math" w:hAnsi="Cambria Math" w:cstheme="majorBidi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η</m:t>
                  </m:r>
                </m:e>
                <m:sub>
                  <m:r>
                    <m:rPr>
                      <m:nor/>
                    </m:rPr>
                    <w:rPr>
                      <w:rFonts w:asciiTheme="majorBidi" w:hAnsiTheme="majorBidi" w:cstheme="majorBidi"/>
                    </w:rPr>
                    <m:t>transfer</m:t>
                  </m:r>
                </m:sub>
              </m:sSub>
              <m:r>
                <w:rPr>
                  <w:rFonts w:ascii="Cambria Math" w:hAnsi="Cambria Math" w:cstheme="majorBidi"/>
                </w:rPr>
                <m:t>,</m:t>
              </m:r>
            </m:oMath>
            <w:r w:rsidRPr="009C1870">
              <w:rPr>
                <w:rFonts w:asciiTheme="majorBidi" w:hAnsiTheme="majorBidi" w:cstheme="majorBidi"/>
                <w:i/>
              </w:rPr>
              <w:br/>
            </w:r>
            <w:r w:rsidRPr="009C1870">
              <w:rPr>
                <w:rFonts w:asciiTheme="majorBidi" w:hAnsiTheme="majorBidi" w:cstheme="majorBidi"/>
              </w:rPr>
              <w:t>we introduce spectral and angular transfer explicitly:</w:t>
            </w:r>
          </w:p>
        </w:tc>
        <w:tc>
          <w:tcPr>
            <w:tcW w:w="0" w:type="auto"/>
            <w:vAlign w:val="center"/>
          </w:tcPr>
          <w:p w14:paraId="55923E8D" w14:textId="0AD9D0AD" w:rsidR="009C1870" w:rsidRPr="009C1870" w:rsidRDefault="009C1870" w:rsidP="009C1870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6AF757D8" w14:textId="2C93AC89" w:rsidR="009C1870" w:rsidRPr="009C1870" w:rsidRDefault="00000000" w:rsidP="009C1870">
      <w:pPr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I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eff</m:t>
            </m:r>
          </m:sub>
        </m:sSub>
        <m:r>
          <w:rPr>
            <w:rFonts w:ascii="Cambria Math" w:hAnsi="Cambria Math" w:cstheme="majorBidi"/>
          </w:rPr>
          <m:t>(λ,θ)=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I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sun</m:t>
            </m:r>
          </m:sub>
        </m:sSub>
        <m:r>
          <w:rPr>
            <w:rFonts w:ascii="Cambria Math" w:hAnsi="Cambria Math" w:cstheme="majorBidi"/>
          </w:rPr>
          <m:t>(λ,θ)</m:t>
        </m:r>
        <m:r>
          <m:rPr>
            <m:nor/>
          </m:rPr>
          <w:rPr>
            <w:rFonts w:asciiTheme="majorBidi" w:hAnsiTheme="majorBidi" w:cstheme="majorBidi"/>
          </w:rPr>
          <m:t> 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T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  <m:r>
          <w:rPr>
            <w:rFonts w:ascii="Cambria Math" w:hAnsi="Cambria Math" w:cstheme="majorBidi"/>
          </w:rPr>
          <m:t>(λ,θ)</m:t>
        </m:r>
        <m:r>
          <m:rPr>
            <m:nor/>
          </m:rPr>
          <w:rPr>
            <w:rFonts w:asciiTheme="majorBidi" w:hAnsiTheme="majorBidi" w:cstheme="majorBidi"/>
          </w:rPr>
          <m:t> 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C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QE</m:t>
            </m:r>
          </m:sub>
        </m:sSub>
        <m:r>
          <w:rPr>
            <w:rFonts w:ascii="Cambria Math" w:hAnsi="Cambria Math" w:cstheme="majorBidi"/>
          </w:rPr>
          <m:t>(λ)</m:t>
        </m:r>
      </m:oMath>
      <w:r w:rsidR="00DA3C72">
        <w:rPr>
          <w:rFonts w:eastAsiaTheme="minorEastAsia"/>
        </w:rPr>
        <w:t xml:space="preserve">          (1)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</m:oMath>
    </w:p>
    <w:p w14:paraId="52FB3980" w14:textId="0F2D906A" w:rsidR="009C1870" w:rsidRPr="009C1870" w:rsidRDefault="009C1870" w:rsidP="009C1870">
      <w:pPr>
        <w:rPr>
          <w:rFonts w:asciiTheme="majorBidi" w:eastAsiaTheme="minorEastAsia" w:hAnsiTheme="majorBidi" w:cstheme="majorBidi"/>
        </w:rPr>
      </w:pPr>
      <w:r w:rsidRPr="009C1870">
        <w:rPr>
          <w:rFonts w:asciiTheme="majorBidi" w:hAnsiTheme="majorBidi" w:cstheme="majorBidi"/>
        </w:rPr>
        <w:t>Where</w:t>
      </w:r>
      <w:r>
        <w:rPr>
          <w:rFonts w:asciiTheme="majorBidi" w:hAnsiTheme="majorBidi" w:cstheme="majorBidi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T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  <m:r>
          <w:rPr>
            <w:rFonts w:ascii="Cambria Math" w:hAnsi="Cambria Math" w:cstheme="majorBidi"/>
          </w:rPr>
          <m:t>(λ,θ)=</m:t>
        </m:r>
        <m:r>
          <m:rPr>
            <m:sty m:val="p"/>
          </m:rPr>
          <w:rPr>
            <w:rFonts w:ascii="Cambria Math" w:hAnsi="Cambria Math" w:cstheme="majorBidi"/>
          </w:rPr>
          <m:t>∣</m:t>
        </m:r>
        <m:r>
          <w:rPr>
            <w:rFonts w:ascii="Cambria Math" w:hAnsi="Cambria Math" w:cstheme="majorBidi"/>
          </w:rPr>
          <m:t>t(λ,θ)</m:t>
        </m:r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</w:rPr>
              <m:t>∣</m:t>
            </m:r>
          </m:e>
          <m:sup>
            <m:r>
              <w:rPr>
                <w:rFonts w:ascii="Cambria Math" w:hAnsi="Cambria Math" w:cstheme="majorBidi"/>
              </w:rPr>
              <m:t>2</m:t>
            </m:r>
          </m:sup>
        </m:sSup>
      </m:oMath>
    </w:p>
    <w:p w14:paraId="72AE1D09" w14:textId="6209DD97" w:rsidR="009C1870" w:rsidRPr="009C1870" w:rsidRDefault="00000000" w:rsidP="009C1870">
      <w:pPr>
        <w:tabs>
          <w:tab w:val="num" w:pos="720"/>
        </w:tabs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T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</m:oMath>
      <w:r w:rsidR="009C1870" w:rsidRPr="009C1870">
        <w:rPr>
          <w:rFonts w:asciiTheme="majorBidi" w:hAnsiTheme="majorBidi" w:cstheme="majorBidi"/>
        </w:rPr>
        <w:t>= metasurface spectral-angular transmittance</w:t>
      </w:r>
    </w:p>
    <w:p w14:paraId="1C9CCF25" w14:textId="2186784C" w:rsidR="009C1870" w:rsidRPr="009C1870" w:rsidRDefault="009C1870" w:rsidP="009C1870">
      <w:pPr>
        <w:numPr>
          <w:ilvl w:val="0"/>
          <w:numId w:val="1"/>
        </w:numPr>
        <w:rPr>
          <w:rFonts w:asciiTheme="majorBidi" w:hAnsiTheme="majorBidi" w:cstheme="majorBidi"/>
        </w:rPr>
      </w:pPr>
      <m:oMath>
        <m:r>
          <w:rPr>
            <w:rFonts w:ascii="Cambria Math" w:hAnsi="Cambria Math" w:cstheme="majorBidi"/>
          </w:rPr>
          <m:t>t</m:t>
        </m:r>
      </m:oMath>
      <w:r w:rsidRPr="009C1870">
        <w:rPr>
          <w:rFonts w:asciiTheme="majorBidi" w:hAnsiTheme="majorBidi" w:cstheme="majorBidi"/>
        </w:rPr>
        <w:t>= complex transmission coefficient of meta-unit</w:t>
      </w:r>
    </w:p>
    <w:p w14:paraId="46C36F12" w14:textId="0F87C25E" w:rsidR="009C1870" w:rsidRPr="009C1870" w:rsidRDefault="00000000" w:rsidP="009C1870">
      <w:pPr>
        <w:numPr>
          <w:ilvl w:val="0"/>
          <w:numId w:val="1"/>
        </w:numPr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C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QE</m:t>
            </m:r>
          </m:sub>
        </m:sSub>
        <m:r>
          <w:rPr>
            <w:rFonts w:ascii="Cambria Math" w:hAnsi="Cambria Math" w:cstheme="majorBidi"/>
          </w:rPr>
          <m:t>(λ)</m:t>
        </m:r>
      </m:oMath>
      <w:r w:rsidR="009C1870" w:rsidRPr="009C1870">
        <w:rPr>
          <w:rFonts w:asciiTheme="majorBidi" w:hAnsiTheme="majorBidi" w:cstheme="majorBidi"/>
        </w:rPr>
        <w:t>= quantum efficiency of PSII/QD transfer</w:t>
      </w:r>
    </w:p>
    <w:p w14:paraId="5288DAF5" w14:textId="77777777" w:rsidR="009C1870" w:rsidRPr="009C1870" w:rsidRDefault="009C1870" w:rsidP="009C1870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9C1870">
        <w:rPr>
          <w:rFonts w:asciiTheme="majorBidi" w:hAnsiTheme="majorBidi" w:cstheme="majorBidi"/>
        </w:rPr>
        <w:t xml:space="preserve">The metasurface layer modifies the incident photon distribution </w:t>
      </w:r>
      <w:r w:rsidRPr="008A6037">
        <w:rPr>
          <w:rFonts w:asciiTheme="majorBidi" w:hAnsiTheme="majorBidi" w:cstheme="majorBidi"/>
        </w:rPr>
        <w:t>before reaching photosystems.</w:t>
      </w:r>
    </w:p>
    <w:p w14:paraId="6744C58A" w14:textId="1291B985" w:rsidR="009C1870" w:rsidRPr="009C1870" w:rsidRDefault="009C1870" w:rsidP="009C1870">
      <w:pPr>
        <w:rPr>
          <w:rFonts w:asciiTheme="majorBidi" w:hAnsiTheme="majorBidi" w:cstheme="majorBidi"/>
        </w:rPr>
      </w:pPr>
      <w:proofErr w:type="gramStart"/>
      <w:r w:rsidRPr="009C1870">
        <w:rPr>
          <w:rFonts w:asciiTheme="majorBidi" w:hAnsiTheme="majorBidi" w:cstheme="majorBidi"/>
        </w:rPr>
        <w:t>Integrate</w:t>
      </w:r>
      <w:proofErr w:type="gramEnd"/>
      <w:r w:rsidRPr="009C1870">
        <w:rPr>
          <w:rFonts w:asciiTheme="majorBidi" w:hAnsiTheme="majorBidi" w:cstheme="majorBidi"/>
        </w:rPr>
        <w:t xml:space="preserve"> over PAR range</w:t>
      </w:r>
      <w:r w:rsidR="008A6037">
        <w:rPr>
          <w:rFonts w:asciiTheme="majorBidi" w:hAnsiTheme="majorBidi" w:cstheme="majorBidi"/>
        </w:rPr>
        <w:t xml:space="preserve"> can be achieved as follows</w:t>
      </w:r>
      <w:r w:rsidRPr="009C1870">
        <w:rPr>
          <w:rFonts w:asciiTheme="majorBidi" w:hAnsiTheme="majorBidi" w:cstheme="majorBidi"/>
        </w:rPr>
        <w:t>:</w:t>
      </w:r>
    </w:p>
    <w:p w14:paraId="545B257C" w14:textId="560739C0" w:rsidR="009C1870" w:rsidRPr="009C1870" w:rsidRDefault="00000000" w:rsidP="009C1870">
      <w:pPr>
        <w:rPr>
          <w:rFonts w:asciiTheme="majorBidi" w:hAnsiTheme="majorBidi" w:cstheme="majorBidi"/>
        </w:rPr>
      </w:pP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I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PAR</m:t>
            </m:r>
          </m:sub>
          <m:sup>
            <m:r>
              <m:rPr>
                <m:nor/>
              </m:rPr>
              <w:rPr>
                <w:rFonts w:asciiTheme="majorBidi" w:hAnsiTheme="majorBidi" w:cstheme="majorBidi"/>
              </w:rPr>
              <m:t>eff</m:t>
            </m:r>
          </m:sup>
        </m:sSubSup>
        <m:r>
          <w:rPr>
            <w:rFonts w:ascii="Cambria Math" w:hAnsi="Cambria Math" w:cstheme="majorBidi"/>
          </w:rPr>
          <m:t>=</m:t>
        </m:r>
        <m:nary>
          <m:naryPr>
            <m:limLoc m:val="subSup"/>
            <m:grow m:val="1"/>
            <m:ctrlPr>
              <w:rPr>
                <w:rFonts w:ascii="Cambria Math" w:hAnsi="Cambria Math" w:cstheme="majorBidi"/>
              </w:rPr>
            </m:ctrlPr>
          </m:naryPr>
          <m:sub>
            <m:r>
              <w:rPr>
                <w:rFonts w:ascii="Cambria Math" w:hAnsi="Cambria Math" w:cstheme="majorBidi"/>
              </w:rPr>
              <m:t>400</m:t>
            </m:r>
          </m:sub>
          <m:sup>
            <m:r>
              <w:rPr>
                <w:rFonts w:ascii="Cambria Math" w:hAnsi="Cambria Math" w:cstheme="majorBidi"/>
              </w:rPr>
              <m:t>700</m:t>
            </m:r>
          </m:sup>
          <m:e>
            <m:sSub>
              <m:sSubPr>
                <m:ctrlPr>
                  <w:rPr>
                    <w:rFonts w:ascii="Cambria Math" w:hAnsi="Cambria Math" w:cstheme="majorBidi"/>
                  </w:rPr>
                </m:ctrlPr>
              </m:sSubPr>
              <m:e>
                <m:r>
                  <w:rPr>
                    <w:rFonts w:ascii="Cambria Math" w:hAnsi="Cambria Math" w:cstheme="majorBidi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asciiTheme="majorBidi" w:hAnsiTheme="majorBidi" w:cstheme="majorBidi"/>
                  </w:rPr>
                  <m:t>eff</m:t>
                </m:r>
              </m:sub>
            </m:sSub>
          </m:e>
        </m:nary>
        <m:r>
          <w:rPr>
            <w:rFonts w:ascii="Cambria Math" w:hAnsi="Cambria Math" w:cstheme="majorBidi"/>
          </w:rPr>
          <m:t>(λ)</m:t>
        </m:r>
        <m:r>
          <m:rPr>
            <m:nor/>
          </m:rPr>
          <w:rPr>
            <w:rFonts w:asciiTheme="majorBidi" w:hAnsiTheme="majorBidi" w:cstheme="majorBidi"/>
          </w:rPr>
          <m:t> </m:t>
        </m:r>
        <m:r>
          <w:rPr>
            <w:rFonts w:ascii="Cambria Math" w:hAnsi="Cambria Math" w:cstheme="majorBidi"/>
          </w:rPr>
          <m:t>dλ</m:t>
        </m:r>
      </m:oMath>
      <w:r w:rsidR="00DA3C72">
        <w:rPr>
          <w:rFonts w:asciiTheme="majorBidi" w:eastAsiaTheme="minorEastAsia" w:hAnsiTheme="majorBidi" w:cstheme="majorBidi"/>
        </w:rPr>
        <w:t xml:space="preserve">                  </w:t>
      </w:r>
      <w:r w:rsidR="00DA3C72">
        <w:rPr>
          <w:rFonts w:eastAsiaTheme="minorEastAsia"/>
        </w:rPr>
        <w:t>(2)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</m:oMath>
    </w:p>
    <w:p w14:paraId="4181111E" w14:textId="7B86D48A" w:rsidR="009C1870" w:rsidRPr="009C1870" w:rsidRDefault="009C1870" w:rsidP="009C1870">
      <w:pPr>
        <w:rPr>
          <w:rFonts w:asciiTheme="majorBidi" w:hAnsiTheme="majorBidi" w:cstheme="majorBidi"/>
          <w:b/>
          <w:bCs/>
        </w:rPr>
      </w:pPr>
      <w:r w:rsidRPr="009C1870">
        <w:rPr>
          <w:rFonts w:asciiTheme="majorBidi" w:hAnsiTheme="majorBidi" w:cstheme="majorBidi"/>
          <w:b/>
          <w:bCs/>
        </w:rPr>
        <w:t xml:space="preserve">2. Enhancement factor model </w:t>
      </w:r>
    </w:p>
    <w:p w14:paraId="1CE9226F" w14:textId="2B47CA7C" w:rsidR="009C1870" w:rsidRDefault="00000000" w:rsidP="00BF3BF7">
      <w:pPr>
        <w:spacing w:line="360" w:lineRule="auto"/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  <w:sz w:val="32"/>
                <w:szCs w:val="32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</w:rPr>
              <m:t>γ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  <w:sz w:val="32"/>
                <w:szCs w:val="32"/>
              </w:rPr>
              <m:t>MS</m:t>
            </m:r>
          </m:sub>
        </m:sSub>
        <m:r>
          <w:rPr>
            <w:rFonts w:ascii="Cambria Math" w:hAnsi="Cambria Math" w:cstheme="majorBidi"/>
            <w:sz w:val="32"/>
            <w:szCs w:val="32"/>
          </w:rPr>
          <m:t>=</m:t>
        </m:r>
        <m:f>
          <m:fPr>
            <m:ctrlPr>
              <w:rPr>
                <w:rFonts w:ascii="Cambria Math" w:hAnsi="Cambria Math" w:cstheme="majorBidi"/>
                <w:sz w:val="32"/>
                <w:szCs w:val="32"/>
              </w:rPr>
            </m:ctrlPr>
          </m:fPr>
          <m:num>
            <m:sSubSup>
              <m:sSubSupPr>
                <m:ctrlPr>
                  <w:rPr>
                    <w:rFonts w:ascii="Cambria Math" w:hAnsi="Cambria Math" w:cstheme="majorBidi"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32"/>
                    <w:szCs w:val="3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PAR</m:t>
                </m:r>
              </m:sub>
              <m:sup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eff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theme="majorBidi"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32"/>
                    <w:szCs w:val="3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PAR</m:t>
                </m:r>
              </m:sub>
              <m:sup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bare</m:t>
                </m:r>
              </m:sup>
            </m:sSubSup>
          </m:den>
        </m:f>
      </m:oMath>
      <w:r w:rsidR="00DA3C72">
        <w:rPr>
          <w:rFonts w:asciiTheme="majorBidi" w:eastAsiaTheme="minorEastAsia" w:hAnsiTheme="majorBidi" w:cstheme="majorBidi"/>
        </w:rPr>
        <w:t xml:space="preserve">                 </w:t>
      </w:r>
      <m:oMath>
        <m:r>
          <w:rPr>
            <w:rFonts w:ascii="Cambria Math" w:eastAsiaTheme="minorEastAsia" w:hAnsi="Cambria Math" w:cstheme="majorBidi"/>
          </w:rPr>
          <m:t>(3)</m:t>
        </m:r>
        <m:r>
          <m:rPr>
            <m:sty m:val="p"/>
          </m:rPr>
          <w:rPr>
            <w:rFonts w:asciiTheme="majorBidi" w:hAnsiTheme="majorBidi" w:cstheme="majorBidi"/>
          </w:rPr>
          <w:br/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J</m:t>
            </m:r>
          </m:e>
          <m:sub>
            <m:r>
              <w:rPr>
                <w:rFonts w:ascii="Cambria Math" w:hAnsi="Cambria Math" w:cstheme="majorBidi"/>
              </w:rPr>
              <m:t>C</m:t>
            </m:r>
          </m:sub>
          <m:sup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p>
        </m:sSubSup>
        <m:r>
          <w:rPr>
            <w:rFonts w:ascii="Cambria Math" w:hAnsi="Cambria Math" w:cstheme="majorBidi"/>
          </w:rPr>
          <m:t>=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γ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  <m:r>
          <m:rPr>
            <m:nor/>
          </m:rPr>
          <w:rPr>
            <w:rFonts w:asciiTheme="majorBidi" w:hAnsiTheme="majorBidi" w:cstheme="majorBidi"/>
          </w:rPr>
          <m:t> 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J</m:t>
            </m:r>
          </m:e>
          <m:sub>
            <m:r>
              <w:rPr>
                <w:rFonts w:ascii="Cambria Math" w:hAnsi="Cambria Math" w:cstheme="majorBidi"/>
              </w:rPr>
              <m:t>C</m:t>
            </m:r>
          </m:sub>
          <m:sup>
            <m:r>
              <w:rPr>
                <w:rFonts w:ascii="Cambria Math" w:hAnsi="Cambria Math" w:cstheme="majorBidi"/>
              </w:rPr>
              <m:t>0</m:t>
            </m:r>
          </m:sup>
        </m:sSubSup>
        <m:r>
          <w:rPr>
            <w:rFonts w:ascii="Cambria Math" w:hAnsi="Cambria Math" w:cstheme="majorBidi"/>
          </w:rPr>
          <m:t>(1+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β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rep</m:t>
            </m:r>
          </m:sub>
        </m:sSub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C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rep</m:t>
            </m:r>
          </m:sub>
        </m:sSub>
        <m:r>
          <w:rPr>
            <w:rFonts w:ascii="Cambria Math" w:hAnsi="Cambria Math" w:cstheme="majorBidi"/>
          </w:rPr>
          <m:t>-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β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ROS</m:t>
            </m:r>
          </m:sub>
        </m:sSub>
        <m:r>
          <w:rPr>
            <w:rFonts w:ascii="Cambria Math" w:hAnsi="Cambria Math" w:cstheme="majorBidi"/>
          </w:rPr>
          <m:t>R)</m:t>
        </m:r>
      </m:oMath>
      <w:r w:rsidR="00DA3C72">
        <w:rPr>
          <w:rFonts w:asciiTheme="majorBidi" w:eastAsiaTheme="minorEastAsia" w:hAnsiTheme="majorBidi" w:cstheme="majorBidi"/>
        </w:rPr>
        <w:t xml:space="preserve">          </w:t>
      </w:r>
      <w:r w:rsidR="00DA3C72">
        <w:rPr>
          <w:rFonts w:eastAsiaTheme="minorEastAsia"/>
        </w:rPr>
        <w:t>(4)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</m:oMath>
      <w:r w:rsidR="00BF3BF7">
        <w:rPr>
          <w:rFonts w:asciiTheme="majorBidi" w:eastAsiaTheme="minorEastAsia" w:hAnsiTheme="majorBidi" w:cstheme="majorBidi"/>
        </w:rPr>
        <w:t xml:space="preserve">where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γ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  <m:r>
          <w:rPr>
            <w:rFonts w:ascii="Cambria Math" w:hAnsi="Cambria Math" w:cstheme="majorBidi"/>
          </w:rPr>
          <m:t>&gt;1</m:t>
        </m:r>
        <m:r>
          <w:rPr>
            <w:rFonts w:ascii="Cambria Math" w:hAnsi="Cambria Math" w:cstheme="majorBidi"/>
          </w:rPr>
          <m:t xml:space="preserve"> </m:t>
        </m:r>
      </m:oMath>
      <w:r w:rsidR="009C1870" w:rsidRPr="009C1870">
        <w:rPr>
          <w:rFonts w:asciiTheme="majorBidi" w:hAnsiTheme="majorBidi" w:cstheme="majorBidi"/>
        </w:rPr>
        <w:t>means enhancement</w:t>
      </w:r>
      <w:r w:rsidR="00BF3BF7">
        <w:rPr>
          <w:rFonts w:asciiTheme="majorBidi" w:hAnsiTheme="majorBidi" w:cstheme="majorBidi"/>
        </w:rPr>
        <w:t xml:space="preserve">, it </w:t>
      </w:r>
      <w:r w:rsidR="009C1870" w:rsidRPr="009C1870">
        <w:rPr>
          <w:rFonts w:asciiTheme="majorBidi" w:hAnsiTheme="majorBidi" w:cstheme="majorBidi"/>
        </w:rPr>
        <w:t>integrates optical enhancement + biological constraints</w:t>
      </w:r>
      <w:r w:rsidR="00BF3BF7">
        <w:rPr>
          <w:rFonts w:asciiTheme="majorBidi" w:hAnsiTheme="majorBidi" w:cstheme="majorBidi"/>
        </w:rPr>
        <w:t xml:space="preserve">, and it </w:t>
      </w:r>
      <w:r w:rsidR="009C1870" w:rsidRPr="009C1870">
        <w:rPr>
          <w:rFonts w:asciiTheme="majorBidi" w:hAnsiTheme="majorBidi" w:cstheme="majorBidi"/>
        </w:rPr>
        <w:t>links metasurface optics → PSII repair → Calvin cycle yield</w:t>
      </w:r>
      <w:r w:rsidR="00BF3BF7">
        <w:rPr>
          <w:rFonts w:asciiTheme="majorBidi" w:hAnsiTheme="majorBidi" w:cstheme="majorBidi"/>
        </w:rPr>
        <w:t>.</w:t>
      </w:r>
    </w:p>
    <w:p w14:paraId="1B8F11DB" w14:textId="0B28CDFB" w:rsidR="009C1870" w:rsidRPr="009C1870" w:rsidRDefault="009C1870" w:rsidP="00A20A4E">
      <w:pPr>
        <w:rPr>
          <w:rFonts w:asciiTheme="majorBidi" w:hAnsiTheme="majorBidi" w:cstheme="majorBidi"/>
          <w:b/>
          <w:bCs/>
        </w:rPr>
      </w:pPr>
      <w:r w:rsidRPr="009C1870">
        <w:rPr>
          <w:rFonts w:asciiTheme="majorBidi" w:hAnsiTheme="majorBidi" w:cstheme="majorBidi"/>
          <w:b/>
          <w:bCs/>
        </w:rPr>
        <w:t xml:space="preserve">3. Full metasurface–leaf Maxwell–photosynthesis pipeline </w:t>
      </w:r>
    </w:p>
    <w:p w14:paraId="5AACCB5C" w14:textId="4FB283FF" w:rsidR="009C1870" w:rsidRPr="009C1870" w:rsidRDefault="009C1870" w:rsidP="009C1870">
      <w:pPr>
        <w:rPr>
          <w:rFonts w:asciiTheme="majorBidi" w:hAnsiTheme="majorBidi" w:cstheme="majorBidi"/>
        </w:rPr>
      </w:pPr>
      <w:r w:rsidRPr="009C1870">
        <w:rPr>
          <w:rFonts w:asciiTheme="majorBidi" w:hAnsiTheme="majorBidi" w:cstheme="majorBidi"/>
        </w:rPr>
        <w:t xml:space="preserve">Model meta-array as periodic dielectric grating with period </w:t>
      </w:r>
      <m:oMath>
        <m:r>
          <w:rPr>
            <w:rFonts w:ascii="Cambria Math" w:hAnsi="Cambria Math" w:cstheme="majorBidi"/>
          </w:rPr>
          <m:t>p</m:t>
        </m:r>
      </m:oMath>
      <w:r w:rsidRPr="009C1870">
        <w:rPr>
          <w:rFonts w:asciiTheme="majorBidi" w:hAnsiTheme="majorBidi" w:cstheme="majorBidi"/>
        </w:rPr>
        <w:t xml:space="preserve">, thickness </w:t>
      </w:r>
      <m:oMath>
        <m:r>
          <w:rPr>
            <w:rFonts w:ascii="Cambria Math" w:hAnsi="Cambria Math" w:cstheme="majorBidi"/>
          </w:rPr>
          <m:t>h</m:t>
        </m:r>
      </m:oMath>
      <w:r w:rsidRPr="009C1870">
        <w:rPr>
          <w:rFonts w:asciiTheme="majorBidi" w:hAnsiTheme="majorBidi" w:cstheme="majorBidi"/>
        </w:rPr>
        <w:t xml:space="preserve">, refractive index </w:t>
      </w:r>
      <m:oMath>
        <m:r>
          <w:rPr>
            <w:rFonts w:ascii="Cambria Math" w:hAnsi="Cambria Math" w:cstheme="majorBidi"/>
          </w:rPr>
          <m:t>n</m:t>
        </m:r>
      </m:oMath>
      <w:r w:rsidRPr="009C1870">
        <w:rPr>
          <w:rFonts w:asciiTheme="majorBidi" w:hAnsiTheme="majorBidi" w:cstheme="majorBidi"/>
        </w:rPr>
        <w:t>:</w:t>
      </w:r>
    </w:p>
    <w:p w14:paraId="23450619" w14:textId="1FC30275" w:rsidR="009C1870" w:rsidRPr="009C1870" w:rsidRDefault="009C1870" w:rsidP="009C1870">
      <w:pPr>
        <w:rPr>
          <w:rFonts w:asciiTheme="majorBidi" w:hAnsiTheme="majorBidi" w:cstheme="majorBidi"/>
        </w:rPr>
      </w:pPr>
      <m:oMath>
        <m:r>
          <m:rPr>
            <m:sty m:val="p"/>
          </m:rPr>
          <w:rPr>
            <w:rFonts w:ascii="Cambria Math" w:hAnsi="Cambria Math" w:cstheme="majorBidi"/>
          </w:rPr>
          <m:t>∇</m:t>
        </m:r>
        <m:r>
          <w:rPr>
            <w:rFonts w:ascii="Cambria Math" w:hAnsi="Cambria Math" w:cstheme="majorBidi"/>
          </w:rPr>
          <m:t>×(</m:t>
        </m:r>
        <m:r>
          <m:rPr>
            <m:sty m:val="p"/>
          </m:rPr>
          <w:rPr>
            <w:rFonts w:ascii="Cambria Math" w:hAnsi="Cambria Math" w:cstheme="majorBidi"/>
          </w:rPr>
          <m:t>∇</m:t>
        </m:r>
        <m:r>
          <w:rPr>
            <w:rFonts w:ascii="Cambria Math" w:hAnsi="Cambria Math" w:cstheme="majorBidi"/>
          </w:rPr>
          <m:t>×E)-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k</m:t>
            </m:r>
          </m:e>
          <m:sub>
            <m:r>
              <w:rPr>
                <w:rFonts w:ascii="Cambria Math" w:hAnsi="Cambria Math" w:cstheme="majorBidi"/>
              </w:rPr>
              <m:t>0</m:t>
            </m:r>
          </m:sub>
          <m:sup>
            <m:r>
              <w:rPr>
                <w:rFonts w:ascii="Cambria Math" w:hAnsi="Cambria Math" w:cstheme="majorBidi"/>
              </w:rPr>
              <m:t>2</m:t>
            </m:r>
          </m:sup>
        </m:sSubSup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n</m:t>
            </m:r>
          </m:e>
          <m:sup>
            <m:r>
              <w:rPr>
                <w:rFonts w:ascii="Cambria Math" w:hAnsi="Cambria Math" w:cstheme="majorBidi"/>
              </w:rPr>
              <m:t>2</m:t>
            </m:r>
          </m:sup>
        </m:sSup>
        <m:r>
          <w:rPr>
            <w:rFonts w:ascii="Cambria Math" w:hAnsi="Cambria Math" w:cstheme="majorBidi"/>
          </w:rPr>
          <m:t>(x,y)E=0</m:t>
        </m:r>
      </m:oMath>
      <w:r w:rsidR="00DA3C72">
        <w:rPr>
          <w:rFonts w:asciiTheme="majorBidi" w:eastAsiaTheme="minorEastAsia" w:hAnsiTheme="majorBidi" w:cstheme="majorBidi"/>
        </w:rPr>
        <w:t xml:space="preserve">          </w:t>
      </w:r>
      <w:r w:rsidR="00DA3C72">
        <w:rPr>
          <w:rFonts w:eastAsiaTheme="minorEastAsia"/>
        </w:rPr>
        <w:t>(5)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</m:oMath>
      <w:r w:rsidRPr="009C1870">
        <w:rPr>
          <w:rFonts w:asciiTheme="majorBidi" w:hAnsiTheme="majorBidi" w:cstheme="majorBidi"/>
        </w:rPr>
        <w:t>Then scattering matrix</w:t>
      </w:r>
      <w:r w:rsidR="008A6037">
        <w:rPr>
          <w:rFonts w:asciiTheme="majorBidi" w:hAnsiTheme="majorBidi" w:cstheme="majorBidi"/>
        </w:rPr>
        <w:t xml:space="preserve"> can be achieved as follows</w:t>
      </w:r>
      <w:r w:rsidRPr="009C1870">
        <w:rPr>
          <w:rFonts w:asciiTheme="majorBidi" w:hAnsiTheme="majorBidi" w:cstheme="majorBidi"/>
        </w:rPr>
        <w:t>:</w:t>
      </w:r>
    </w:p>
    <w:p w14:paraId="6DCE18D1" w14:textId="1DE66A2E" w:rsidR="00A20A4E" w:rsidRPr="00A20A4E" w:rsidRDefault="009C1870" w:rsidP="009C1870">
      <w:pPr>
        <w:rPr>
          <w:rFonts w:asciiTheme="majorBidi" w:eastAsiaTheme="minorEastAsia" w:hAnsiTheme="majorBidi" w:cstheme="majorBidi"/>
        </w:rPr>
      </w:pPr>
      <m:oMath>
        <m:r>
          <w:rPr>
            <w:rFonts w:ascii="Cambria Math" w:hAnsi="Cambria Math" w:cstheme="majorBidi"/>
          </w:rPr>
          <m:t>S(λ)=</m:t>
        </m:r>
        <m:d>
          <m:dPr>
            <m:begChr m:val="["/>
            <m:endChr m:val="]"/>
            <m:ctrlPr>
              <w:rPr>
                <w:rFonts w:ascii="Cambria Math" w:hAnsi="Cambria Math" w:cstheme="majorBidi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</w:rPr>
                </m:ctrlPr>
              </m:mPr>
              <m:mr>
                <m:e>
                  <m:r>
                    <w:rPr>
                      <w:rFonts w:ascii="Cambria Math" w:hAnsi="Cambria Math" w:cstheme="majorBidi"/>
                    </w:rPr>
                    <m:t>r</m:t>
                  </m:r>
                </m:e>
                <m:e>
                  <m:r>
                    <w:rPr>
                      <w:rFonts w:ascii="Cambria Math" w:hAnsi="Cambria Math" w:cstheme="majorBidi"/>
                    </w:rPr>
                    <m:t>t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 w:cstheme="majorBidi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'</m:t>
                      </m:r>
                    </m:sup>
                  </m:sSup>
                </m:e>
                <m:e>
                  <m:sSup>
                    <m:sSupPr>
                      <m:ctrlPr>
                        <w:rPr>
                          <w:rFonts w:ascii="Cambria Math" w:hAnsi="Cambria Math" w:cstheme="majorBidi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</w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</w:rPr>
                        <m:t>'</m:t>
                      </m:r>
                    </m:sup>
                  </m:sSup>
                </m:e>
              </m:mr>
            </m:m>
          </m:e>
        </m:d>
      </m:oMath>
      <w:r w:rsidR="00DA3C72">
        <w:rPr>
          <w:rFonts w:asciiTheme="majorBidi" w:eastAsiaTheme="minorEastAsia" w:hAnsiTheme="majorBidi" w:cstheme="majorBidi"/>
        </w:rPr>
        <w:t xml:space="preserve">              </w:t>
      </w:r>
      <w:r w:rsidR="00DA3C72">
        <w:rPr>
          <w:rFonts w:eastAsiaTheme="minorEastAsia"/>
        </w:rPr>
        <w:t>(6)</w:t>
      </w:r>
    </w:p>
    <w:p w14:paraId="016A578F" w14:textId="77777777" w:rsidR="008A6037" w:rsidRDefault="008A6037" w:rsidP="009C1870">
      <w:pPr>
        <w:rPr>
          <w:rFonts w:asciiTheme="majorBidi" w:hAnsiTheme="majorBidi" w:cstheme="majorBidi"/>
        </w:rPr>
      </w:pPr>
    </w:p>
    <w:p w14:paraId="2EA23C59" w14:textId="77777777" w:rsidR="00BF3BF7" w:rsidRDefault="00BF3BF7" w:rsidP="009C1870">
      <w:pPr>
        <w:rPr>
          <w:rFonts w:asciiTheme="majorBidi" w:hAnsiTheme="majorBidi" w:cstheme="majorBidi"/>
        </w:rPr>
      </w:pPr>
    </w:p>
    <w:p w14:paraId="7A08A7D5" w14:textId="77777777" w:rsidR="00BF3BF7" w:rsidRDefault="00BF3BF7" w:rsidP="009C1870">
      <w:pPr>
        <w:rPr>
          <w:rFonts w:asciiTheme="majorBidi" w:hAnsiTheme="majorBidi" w:cstheme="majorBidi"/>
        </w:rPr>
      </w:pPr>
    </w:p>
    <w:p w14:paraId="040E83F3" w14:textId="5827941F" w:rsidR="009C1870" w:rsidRPr="009C1870" w:rsidRDefault="009C1870" w:rsidP="009C1870">
      <w:pPr>
        <w:rPr>
          <w:rFonts w:asciiTheme="majorBidi" w:hAnsiTheme="majorBidi" w:cstheme="majorBidi"/>
        </w:rPr>
      </w:pPr>
      <w:r w:rsidRPr="009C1870">
        <w:rPr>
          <w:rFonts w:asciiTheme="majorBidi" w:hAnsiTheme="majorBidi" w:cstheme="majorBidi"/>
        </w:rPr>
        <w:lastRenderedPageBreak/>
        <w:t>Finally link transmission to biochemical yield:</w:t>
      </w:r>
    </w:p>
    <w:p w14:paraId="696B21C8" w14:textId="27412C69" w:rsidR="009C1870" w:rsidRPr="009C1870" w:rsidRDefault="00000000" w:rsidP="00DA3C72">
      <w:pPr>
        <w:spacing w:line="360" w:lineRule="auto"/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J</m:t>
            </m:r>
          </m:e>
          <m:sub>
            <m:sSub>
              <m:sSubPr>
                <m:ctrlPr>
                  <w:rPr>
                    <w:rFonts w:ascii="Cambria Math" w:hAnsi="Cambria Math" w:cstheme="majorBidi"/>
                  </w:rPr>
                </m:ctrlPr>
              </m:sSubPr>
              <m:e>
                <m:r>
                  <w:rPr>
                    <w:rFonts w:ascii="Cambria Math" w:hAnsi="Cambria Math" w:cstheme="majorBidi"/>
                  </w:rPr>
                  <m:t>H</m:t>
                </m:r>
              </m:e>
              <m:sub>
                <m:r>
                  <w:rPr>
                    <w:rFonts w:ascii="Cambria Math" w:hAnsi="Cambria Math" w:cstheme="majorBidi"/>
                  </w:rPr>
                  <m:t>2</m:t>
                </m:r>
              </m:sub>
            </m:sSub>
            <m:r>
              <w:rPr>
                <w:rFonts w:ascii="Cambria Math" w:hAnsi="Cambria Math" w:cstheme="majorBidi"/>
              </w:rPr>
              <m:t>O</m:t>
            </m:r>
          </m:sub>
        </m:sSub>
        <m:r>
          <w:rPr>
            <w:rFonts w:ascii="Cambria Math" w:hAnsi="Cambria Math" w:cstheme="majorBidi"/>
          </w:rPr>
          <m:t>(t)=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η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PSII</m:t>
            </m:r>
          </m:sub>
        </m:sSub>
        <m:r>
          <m:rPr>
            <m:nor/>
          </m:rPr>
          <w:rPr>
            <w:rFonts w:asciiTheme="majorBidi" w:hAnsiTheme="majorBidi" w:cstheme="majorBidi"/>
          </w:rPr>
          <m:t> 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I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eff</m:t>
            </m:r>
          </m:sub>
        </m:sSub>
        <m:r>
          <w:rPr>
            <w:rFonts w:ascii="Cambria Math" w:hAnsi="Cambria Math" w:cstheme="majorBidi"/>
          </w:rPr>
          <m:t>(t)</m:t>
        </m:r>
      </m:oMath>
      <w:r w:rsidR="00DA3C72">
        <w:rPr>
          <w:rFonts w:asciiTheme="majorBidi" w:eastAsiaTheme="minorEastAsia" w:hAnsiTheme="majorBidi" w:cstheme="majorBidi"/>
        </w:rPr>
        <w:t xml:space="preserve">              </w:t>
      </w:r>
      <w:r w:rsidR="00DA3C72">
        <w:rPr>
          <w:rFonts w:eastAsiaTheme="minorEastAsia"/>
        </w:rPr>
        <w:t>(7)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  <m:f>
          <m:fPr>
            <m:ctrlPr>
              <w:rPr>
                <w:rFonts w:ascii="Cambria Math" w:hAnsi="Cambria Math" w:cstheme="majorBidi"/>
              </w:rPr>
            </m:ctrlPr>
          </m:fPr>
          <m:num>
            <m:r>
              <w:rPr>
                <w:rFonts w:ascii="Cambria Math" w:hAnsi="Cambria Math" w:cstheme="majorBidi"/>
              </w:rPr>
              <m:t>dC</m:t>
            </m:r>
          </m:num>
          <m:den>
            <m:r>
              <w:rPr>
                <w:rFonts w:ascii="Cambria Math" w:hAnsi="Cambria Math" w:cstheme="majorBidi"/>
              </w:rPr>
              <m:t>dt</m:t>
            </m:r>
          </m:den>
        </m:f>
        <m:r>
          <w:rPr>
            <w:rFonts w:ascii="Cambria Math" w:hAnsi="Cambria Math" w:cstheme="majorBidi"/>
          </w:rPr>
          <m:t>=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J</m:t>
            </m:r>
          </m:e>
          <m:sub>
            <m:r>
              <w:rPr>
                <w:rFonts w:ascii="Cambria Math" w:hAnsi="Cambria Math" w:cstheme="majorBidi"/>
              </w:rPr>
              <m:t>C</m:t>
            </m:r>
          </m:sub>
          <m:sup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p>
        </m:sSubSup>
        <m:r>
          <w:rPr>
            <w:rFonts w:ascii="Cambria Math" w:hAnsi="Cambria Math" w:cstheme="majorBidi"/>
          </w:rPr>
          <m:t>-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R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photoresp</m:t>
            </m:r>
          </m:sub>
        </m:sSub>
        <m:r>
          <w:rPr>
            <w:rFonts w:ascii="Cambria Math" w:hAnsi="Cambria Math" w:cstheme="majorBidi"/>
          </w:rPr>
          <m:t>(T,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O</m:t>
            </m:r>
          </m:e>
          <m:sub>
            <m:r>
              <w:rPr>
                <w:rFonts w:ascii="Cambria Math" w:hAnsi="Cambria Math" w:cstheme="majorBidi"/>
              </w:rPr>
              <m:t>2</m:t>
            </m:r>
          </m:sub>
        </m:sSub>
        <m:r>
          <w:rPr>
            <w:rFonts w:ascii="Cambria Math" w:hAnsi="Cambria Math" w:cstheme="majorBidi"/>
          </w:rPr>
          <m:t>)</m:t>
        </m:r>
      </m:oMath>
      <w:r w:rsidR="00DA3C72">
        <w:rPr>
          <w:rFonts w:eastAsiaTheme="minorEastAsia"/>
        </w:rPr>
        <w:t xml:space="preserve">      </w:t>
      </w:r>
      <w:proofErr w:type="gramStart"/>
      <w:r w:rsidR="00DA3C72">
        <w:rPr>
          <w:rFonts w:eastAsiaTheme="minorEastAsia"/>
        </w:rPr>
        <w:t xml:space="preserve">   (</w:t>
      </w:r>
      <w:proofErr w:type="gramEnd"/>
      <w:r w:rsidR="00DA3C72">
        <w:rPr>
          <w:rFonts w:eastAsiaTheme="minorEastAsia"/>
        </w:rPr>
        <w:t>8)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</m:oMath>
      <w:r w:rsidR="009C1870" w:rsidRPr="009C1870">
        <w:rPr>
          <w:rFonts w:asciiTheme="majorBidi" w:hAnsiTheme="majorBidi" w:cstheme="majorBidi"/>
        </w:rPr>
        <w:t xml:space="preserve">This gives the first literature-ready </w:t>
      </w:r>
      <w:r w:rsidR="009C1870" w:rsidRPr="009C1870">
        <w:rPr>
          <w:rFonts w:asciiTheme="majorBidi" w:hAnsiTheme="majorBidi" w:cstheme="majorBidi"/>
          <w:b/>
          <w:bCs/>
        </w:rPr>
        <w:t>Maxwell → photon flux → photosynthesis</w:t>
      </w:r>
      <w:r w:rsidR="009C1870" w:rsidRPr="009C1870">
        <w:rPr>
          <w:rFonts w:asciiTheme="majorBidi" w:hAnsiTheme="majorBidi" w:cstheme="majorBidi"/>
        </w:rPr>
        <w:t xml:space="preserve"> chain.</w:t>
      </w:r>
    </w:p>
    <w:p w14:paraId="3AA98744" w14:textId="1C66E1CA" w:rsidR="009C1870" w:rsidRPr="009C1870" w:rsidRDefault="009C1870" w:rsidP="00A20A4E">
      <w:pPr>
        <w:spacing w:line="360" w:lineRule="auto"/>
        <w:jc w:val="both"/>
        <w:rPr>
          <w:rFonts w:asciiTheme="majorBidi" w:hAnsiTheme="majorBidi" w:cstheme="majorBidi"/>
        </w:rPr>
      </w:pPr>
      <w:r w:rsidRPr="009C1870">
        <w:rPr>
          <w:rFonts w:asciiTheme="majorBidi" w:hAnsiTheme="majorBidi" w:cstheme="majorBidi"/>
        </w:rPr>
        <w:t xml:space="preserve">The metasurface-enhanced light absorption is modeled by modifying the incident photon spectrum using a wavelength-dependent transmission coefficient 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</w:rPr>
              <m:t>T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  <m:r>
          <m:rPr>
            <m:sty m:val="p"/>
          </m:rPr>
          <w:rPr>
            <w:rFonts w:ascii="Cambria Math" w:hAnsi="Cambria Math" w:cstheme="majorBidi"/>
          </w:rPr>
          <m:t>(λ)</m:t>
        </m:r>
      </m:oMath>
      <w:r w:rsidRPr="009C1870">
        <w:rPr>
          <w:rFonts w:asciiTheme="majorBidi" w:hAnsiTheme="majorBidi" w:cstheme="majorBidi"/>
        </w:rPr>
        <w:t>. The effective PAR input becomes</w:t>
      </w:r>
    </w:p>
    <w:p w14:paraId="14B707AF" w14:textId="6A2051C4" w:rsidR="009C1870" w:rsidRPr="009C1870" w:rsidRDefault="00000000" w:rsidP="009C1870">
      <w:pPr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I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eff</m:t>
            </m:r>
          </m:sub>
        </m:sSub>
        <m:r>
          <w:rPr>
            <w:rFonts w:ascii="Cambria Math" w:hAnsi="Cambria Math" w:cstheme="majorBidi"/>
          </w:rPr>
          <m:t>(λ)=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I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sun</m:t>
            </m:r>
          </m:sub>
        </m:sSub>
        <m:r>
          <w:rPr>
            <w:rFonts w:ascii="Cambria Math" w:hAnsi="Cambria Math" w:cstheme="majorBidi"/>
          </w:rPr>
          <m:t>(λ)</m:t>
        </m:r>
        <m:r>
          <m:rPr>
            <m:nor/>
          </m:rPr>
          <w:rPr>
            <w:rFonts w:asciiTheme="majorBidi" w:hAnsiTheme="majorBidi" w:cstheme="majorBidi"/>
          </w:rPr>
          <m:t> 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T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  <m:r>
          <w:rPr>
            <w:rFonts w:ascii="Cambria Math" w:hAnsi="Cambria Math" w:cstheme="majorBidi"/>
          </w:rPr>
          <m:t>(λ)</m:t>
        </m:r>
        <m:r>
          <m:rPr>
            <m:nor/>
          </m:rPr>
          <w:rPr>
            <w:rFonts w:asciiTheme="majorBidi" w:hAnsiTheme="majorBidi" w:cstheme="majorBidi"/>
          </w:rPr>
          <m:t> 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C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QE</m:t>
            </m:r>
          </m:sub>
        </m:sSub>
        <m:r>
          <w:rPr>
            <w:rFonts w:ascii="Cambria Math" w:hAnsi="Cambria Math" w:cstheme="majorBidi"/>
          </w:rPr>
          <m:t>(λ)</m:t>
        </m:r>
      </m:oMath>
      <w:r w:rsidR="00DA3C72">
        <w:rPr>
          <w:rFonts w:asciiTheme="majorBidi" w:eastAsiaTheme="minorEastAsia" w:hAnsiTheme="majorBidi" w:cstheme="majorBidi"/>
        </w:rPr>
        <w:t xml:space="preserve">          </w:t>
      </w:r>
      <w:r w:rsidR="00DA3C72">
        <w:rPr>
          <w:rFonts w:eastAsiaTheme="minorEastAsia"/>
        </w:rPr>
        <w:t>(9)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</m:oMath>
    </w:p>
    <w:p w14:paraId="4CAE7F18" w14:textId="77777777" w:rsidR="009C1870" w:rsidRPr="008A6037" w:rsidRDefault="009C1870" w:rsidP="009C1870">
      <w:pPr>
        <w:rPr>
          <w:rFonts w:asciiTheme="majorBidi" w:hAnsiTheme="majorBidi" w:cstheme="majorBidi"/>
        </w:rPr>
      </w:pPr>
      <w:r w:rsidRPr="008A6037">
        <w:rPr>
          <w:rFonts w:asciiTheme="majorBidi" w:hAnsiTheme="majorBidi" w:cstheme="majorBidi"/>
        </w:rPr>
        <w:t>with total enhancement defined as</w:t>
      </w:r>
    </w:p>
    <w:p w14:paraId="2A0049CE" w14:textId="673DF512" w:rsidR="009C1870" w:rsidRPr="008A6037" w:rsidRDefault="00000000" w:rsidP="00A20A4E">
      <w:pPr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  <w:sz w:val="32"/>
                <w:szCs w:val="32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</w:rPr>
              <m:t>γ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  <w:sz w:val="32"/>
                <w:szCs w:val="32"/>
              </w:rPr>
              <m:t>MS</m:t>
            </m:r>
          </m:sub>
        </m:sSub>
        <m:r>
          <w:rPr>
            <w:rFonts w:ascii="Cambria Math" w:hAnsi="Cambria Math" w:cstheme="majorBidi"/>
            <w:sz w:val="32"/>
            <w:szCs w:val="32"/>
          </w:rPr>
          <m:t>=</m:t>
        </m:r>
        <m:f>
          <m:fPr>
            <m:ctrlPr>
              <w:rPr>
                <w:rFonts w:ascii="Cambria Math" w:hAnsi="Cambria Math" w:cstheme="majorBidi"/>
                <w:sz w:val="32"/>
                <w:szCs w:val="32"/>
              </w:rPr>
            </m:ctrlPr>
          </m:fPr>
          <m:num>
            <m:sSubSup>
              <m:sSubSupPr>
                <m:ctrlPr>
                  <w:rPr>
                    <w:rFonts w:ascii="Cambria Math" w:hAnsi="Cambria Math" w:cstheme="majorBidi"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32"/>
                    <w:szCs w:val="3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PAR</m:t>
                </m:r>
              </m:sub>
              <m:sup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eff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theme="majorBidi"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32"/>
                    <w:szCs w:val="3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PAR</m:t>
                </m:r>
              </m:sub>
              <m:sup>
                <m:r>
                  <m:rPr>
                    <m:nor/>
                  </m:rPr>
                  <w:rPr>
                    <w:rFonts w:asciiTheme="majorBidi" w:hAnsiTheme="majorBidi" w:cstheme="majorBidi"/>
                    <w:sz w:val="32"/>
                    <w:szCs w:val="32"/>
                  </w:rPr>
                  <m:t>bare</m:t>
                </m:r>
              </m:sup>
            </m:sSubSup>
          </m:den>
        </m:f>
        <m:r>
          <m:rPr>
            <m:sty m:val="p"/>
          </m:rPr>
          <w:rPr>
            <w:rFonts w:ascii="Cambria Math" w:hAnsi="Cambria Math" w:cstheme="majorBidi"/>
            <w:sz w:val="32"/>
            <w:szCs w:val="32"/>
          </w:rPr>
          <m:t>.</m:t>
        </m:r>
      </m:oMath>
      <w:r w:rsidR="00DA3C72">
        <w:rPr>
          <w:rFonts w:asciiTheme="majorBidi" w:eastAsiaTheme="minorEastAsia" w:hAnsiTheme="majorBidi" w:cstheme="majorBidi"/>
          <w:sz w:val="28"/>
          <w:szCs w:val="28"/>
        </w:rPr>
        <w:t xml:space="preserve">               </w:t>
      </w:r>
      <w:r w:rsidR="00DA3C72">
        <w:rPr>
          <w:rFonts w:eastAsiaTheme="minorEastAsia"/>
        </w:rPr>
        <w:t>(10)</w:t>
      </w:r>
      <m:oMath>
        <m:r>
          <m:rPr>
            <m:sty m:val="p"/>
          </m:rPr>
          <w:rPr>
            <w:rFonts w:asciiTheme="majorBidi" w:hAnsiTheme="majorBidi" w:cstheme="majorBidi"/>
            <w:sz w:val="28"/>
            <w:szCs w:val="28"/>
          </w:rPr>
          <w:br/>
        </m:r>
      </m:oMath>
      <w:r w:rsidR="009C1870" w:rsidRPr="008A6037">
        <w:rPr>
          <w:rFonts w:asciiTheme="majorBidi" w:hAnsiTheme="majorBidi" w:cstheme="majorBidi"/>
        </w:rPr>
        <w:t>This enhancement modifies carbon fixation flux as</w:t>
      </w:r>
    </w:p>
    <w:p w14:paraId="681C2EE9" w14:textId="21D4A3AF" w:rsidR="009C1870" w:rsidRDefault="00000000" w:rsidP="009C1870">
      <w:pPr>
        <w:rPr>
          <w:rFonts w:asciiTheme="majorBidi" w:hAnsiTheme="majorBidi" w:cstheme="majorBidi"/>
        </w:rPr>
      </w:pP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J</m:t>
            </m:r>
          </m:e>
          <m:sub>
            <m:r>
              <w:rPr>
                <w:rFonts w:ascii="Cambria Math" w:hAnsi="Cambria Math" w:cstheme="majorBidi"/>
              </w:rPr>
              <m:t>C</m:t>
            </m:r>
          </m:sub>
          <m:sup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p>
        </m:sSubSup>
        <m:r>
          <w:rPr>
            <w:rFonts w:ascii="Cambria Math" w:hAnsi="Cambria Math" w:cstheme="majorBidi"/>
          </w:rPr>
          <m:t>=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γ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MS</m:t>
            </m:r>
          </m:sub>
        </m:sSub>
        <m:r>
          <m:rPr>
            <m:nor/>
          </m:rPr>
          <w:rPr>
            <w:rFonts w:asciiTheme="majorBidi" w:hAnsiTheme="majorBidi" w:cstheme="majorBidi"/>
          </w:rPr>
          <m:t> 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J</m:t>
            </m:r>
          </m:e>
          <m:sub>
            <m:r>
              <w:rPr>
                <w:rFonts w:ascii="Cambria Math" w:hAnsi="Cambria Math" w:cstheme="majorBidi"/>
              </w:rPr>
              <m:t>C</m:t>
            </m:r>
          </m:sub>
          <m:sup>
            <m:r>
              <w:rPr>
                <w:rFonts w:ascii="Cambria Math" w:hAnsi="Cambria Math" w:cstheme="majorBidi"/>
              </w:rPr>
              <m:t>0</m:t>
            </m:r>
          </m:sup>
        </m:sSubSup>
        <m:r>
          <w:rPr>
            <w:rFonts w:ascii="Cambria Math" w:hAnsi="Cambria Math" w:cstheme="majorBidi"/>
          </w:rPr>
          <m:t>(1+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β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rep</m:t>
            </m:r>
          </m:sub>
        </m:sSub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C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rep</m:t>
            </m:r>
          </m:sub>
        </m:sSub>
        <m:r>
          <w:rPr>
            <w:rFonts w:ascii="Cambria Math" w:hAnsi="Cambria Math" w:cstheme="majorBidi"/>
          </w:rPr>
          <m:t>-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β</m:t>
            </m:r>
          </m:e>
          <m:sub>
            <m:r>
              <m:rPr>
                <m:nor/>
              </m:rPr>
              <w:rPr>
                <w:rFonts w:asciiTheme="majorBidi" w:hAnsiTheme="majorBidi" w:cstheme="majorBidi"/>
              </w:rPr>
              <m:t>ROS</m:t>
            </m:r>
          </m:sub>
        </m:sSub>
        <m:r>
          <w:rPr>
            <w:rFonts w:ascii="Cambria Math" w:hAnsi="Cambria Math" w:cstheme="majorBidi"/>
          </w:rPr>
          <m:t>R)</m:t>
        </m:r>
        <m:r>
          <m:rPr>
            <m:sty m:val="p"/>
          </m:rPr>
          <w:rPr>
            <w:rFonts w:ascii="Cambria Math" w:hAnsi="Cambria Math" w:cstheme="majorBidi"/>
          </w:rPr>
          <m:t>.</m:t>
        </m:r>
      </m:oMath>
      <w:r w:rsidR="00DA3C72">
        <w:rPr>
          <w:rFonts w:asciiTheme="majorBidi" w:eastAsiaTheme="minorEastAsia" w:hAnsiTheme="majorBidi" w:cstheme="majorBidi"/>
        </w:rPr>
        <w:t xml:space="preserve">             </w:t>
      </w:r>
      <w:r w:rsidR="00DA3C72">
        <w:rPr>
          <w:rFonts w:eastAsiaTheme="minorEastAsia"/>
        </w:rPr>
        <w:t>(11)</w:t>
      </w:r>
      <m:oMath>
        <m:r>
          <m:rPr>
            <m:sty m:val="p"/>
          </m:rPr>
          <w:rPr>
            <w:rFonts w:asciiTheme="majorBidi" w:hAnsiTheme="majorBidi" w:cstheme="majorBidi"/>
          </w:rPr>
          <w:br/>
        </m:r>
      </m:oMath>
    </w:p>
    <w:p w14:paraId="67DE8078" w14:textId="55D1DC57" w:rsidR="00050524" w:rsidRPr="00050524" w:rsidRDefault="00050524" w:rsidP="0005052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50524">
        <w:rPr>
          <w:rFonts w:asciiTheme="majorBidi" w:hAnsiTheme="majorBidi" w:cstheme="majorBidi"/>
          <w:b/>
          <w:bCs/>
          <w:sz w:val="28"/>
          <w:szCs w:val="28"/>
        </w:rPr>
        <w:t>/Supplementary Python Codes/</w:t>
      </w:r>
    </w:p>
    <w:p w14:paraId="5DF36A60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</w:t>
      </w:r>
    </w:p>
    <w:p w14:paraId="5E44C0E3" w14:textId="78CE2626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 xml:space="preserve">├── README.txt   </w:t>
      </w:r>
    </w:p>
    <w:p w14:paraId="0EA8A068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</w:t>
      </w:r>
    </w:p>
    <w:p w14:paraId="761E6462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├── 1_Mechanistic_Model/</w:t>
      </w:r>
    </w:p>
    <w:p w14:paraId="06FE030F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├── ODE_Photosynthesis_Model.py</w:t>
      </w:r>
    </w:p>
    <w:p w14:paraId="59C808E0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 xml:space="preserve">│   ├── </w:t>
      </w:r>
      <w:proofErr w:type="spellStart"/>
      <w:proofErr w:type="gramStart"/>
      <w:r w:rsidRPr="00050524">
        <w:rPr>
          <w:rFonts w:asciiTheme="majorBidi" w:hAnsiTheme="majorBidi" w:cstheme="majorBidi"/>
        </w:rPr>
        <w:t>parameters.json</w:t>
      </w:r>
      <w:proofErr w:type="spellEnd"/>
      <w:proofErr w:type="gramEnd"/>
      <w:r w:rsidRPr="00050524">
        <w:rPr>
          <w:rFonts w:asciiTheme="majorBidi" w:hAnsiTheme="majorBidi" w:cstheme="majorBidi"/>
        </w:rPr>
        <w:t xml:space="preserve">              ← all constants + citations</w:t>
      </w:r>
    </w:p>
    <w:p w14:paraId="6A095C94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└── generate_synthetic_timeseries.py</w:t>
      </w:r>
    </w:p>
    <w:p w14:paraId="0431867E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</w:t>
      </w:r>
    </w:p>
    <w:p w14:paraId="7B013263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├── 2_LSTM_Training/</w:t>
      </w:r>
    </w:p>
    <w:p w14:paraId="77F6FD04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├── LSTMtrainingandValidationcodes.py</w:t>
      </w:r>
    </w:p>
    <w:p w14:paraId="595588CC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├── LSTM pipline.py</w:t>
      </w:r>
    </w:p>
    <w:p w14:paraId="416DEE2C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 xml:space="preserve">│   └── </w:t>
      </w:r>
      <w:proofErr w:type="spellStart"/>
      <w:r w:rsidRPr="00050524">
        <w:rPr>
          <w:rFonts w:asciiTheme="majorBidi" w:hAnsiTheme="majorBidi" w:cstheme="majorBidi"/>
        </w:rPr>
        <w:t>synthetic_photosynthesis_LSTM_split.npz</w:t>
      </w:r>
      <w:proofErr w:type="spellEnd"/>
    </w:p>
    <w:p w14:paraId="3156F5B0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lastRenderedPageBreak/>
        <w:t>│</w:t>
      </w:r>
    </w:p>
    <w:p w14:paraId="701C2365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├── 3_Model_Evaluation/</w:t>
      </w:r>
    </w:p>
    <w:p w14:paraId="0286DE52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├── Evaluate_hybrid_mechanistic_LSTM_model.py</w:t>
      </w:r>
    </w:p>
    <w:p w14:paraId="0B0B9063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├── pca_scores_train.csv</w:t>
      </w:r>
    </w:p>
    <w:p w14:paraId="55AED9F7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├── pca_scores_external.csv</w:t>
      </w:r>
    </w:p>
    <w:p w14:paraId="2FECCBD0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└── ExternalValidation.py</w:t>
      </w:r>
    </w:p>
    <w:p w14:paraId="2A53B51E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</w:t>
      </w:r>
    </w:p>
    <w:p w14:paraId="68580F78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├── 4_Data/</w:t>
      </w:r>
    </w:p>
    <w:p w14:paraId="15566B0D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├── synthetic_photosynthesis_timeseries.xlsx</w:t>
      </w:r>
    </w:p>
    <w:p w14:paraId="2F55A040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 xml:space="preserve">│   ├── </w:t>
      </w:r>
      <w:proofErr w:type="spellStart"/>
      <w:r w:rsidRPr="00050524">
        <w:rPr>
          <w:rFonts w:asciiTheme="majorBidi" w:hAnsiTheme="majorBidi" w:cstheme="majorBidi"/>
        </w:rPr>
        <w:t>synthetic_photosynthesis_full.npz</w:t>
      </w:r>
      <w:proofErr w:type="spellEnd"/>
    </w:p>
    <w:p w14:paraId="02F17884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   └── lstm_photosynthesis_report.xlsx</w:t>
      </w:r>
    </w:p>
    <w:p w14:paraId="04A91B73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│</w:t>
      </w:r>
    </w:p>
    <w:p w14:paraId="668EC6CC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>└── 5_Docs/</w:t>
      </w:r>
    </w:p>
    <w:p w14:paraId="0E6D5D8A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 xml:space="preserve">    ├── Supplementary_Methods.pdf / .docx</w:t>
      </w:r>
    </w:p>
    <w:p w14:paraId="14AA2EBC" w14:textId="77777777" w:rsidR="00050524" w:rsidRPr="00050524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 xml:space="preserve">    ├── Full equations + derivations</w:t>
      </w:r>
    </w:p>
    <w:p w14:paraId="7264BB0C" w14:textId="5E074C02" w:rsidR="009C1870" w:rsidRPr="009C1870" w:rsidRDefault="00050524" w:rsidP="00050524">
      <w:pPr>
        <w:rPr>
          <w:rFonts w:asciiTheme="majorBidi" w:hAnsiTheme="majorBidi" w:cstheme="majorBidi"/>
        </w:rPr>
      </w:pPr>
      <w:r w:rsidRPr="00050524">
        <w:rPr>
          <w:rFonts w:asciiTheme="majorBidi" w:hAnsiTheme="majorBidi" w:cstheme="majorBidi"/>
        </w:rPr>
        <w:t xml:space="preserve">    </w:t>
      </w:r>
    </w:p>
    <w:sectPr w:rsidR="009C1870" w:rsidRPr="009C1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C5418"/>
    <w:multiLevelType w:val="multilevel"/>
    <w:tmpl w:val="C3D44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AD2A34"/>
    <w:multiLevelType w:val="multilevel"/>
    <w:tmpl w:val="6F6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0749259">
    <w:abstractNumId w:val="0"/>
  </w:num>
  <w:num w:numId="2" w16cid:durableId="1067650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70"/>
    <w:rsid w:val="00050524"/>
    <w:rsid w:val="0026666F"/>
    <w:rsid w:val="003E3D72"/>
    <w:rsid w:val="008A6037"/>
    <w:rsid w:val="009C1870"/>
    <w:rsid w:val="00A20A4E"/>
    <w:rsid w:val="00BF3BF7"/>
    <w:rsid w:val="00D8339F"/>
    <w:rsid w:val="00D92C7D"/>
    <w:rsid w:val="00DA3C72"/>
    <w:rsid w:val="00DE5E20"/>
    <w:rsid w:val="00E3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5885"/>
  <w15:chartTrackingRefBased/>
  <w15:docId w15:val="{C3A1FEE8-E987-488C-B6F7-7447D429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8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8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8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8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8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1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4AB2A-6CA5-476B-AE04-4038BEA0D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605</Words>
  <Characters>4133</Characters>
  <Application>Microsoft Office Word</Application>
  <DocSecurity>0</DocSecurity>
  <Lines>217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Aria</dc:creator>
  <cp:keywords/>
  <dc:description/>
  <cp:lastModifiedBy>Mohammad Aria</cp:lastModifiedBy>
  <cp:revision>5</cp:revision>
  <dcterms:created xsi:type="dcterms:W3CDTF">2025-12-30T12:18:00Z</dcterms:created>
  <dcterms:modified xsi:type="dcterms:W3CDTF">2025-12-31T06:11:00Z</dcterms:modified>
</cp:coreProperties>
</file>