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EACA0" w14:textId="77777777" w:rsidR="00996A89" w:rsidRDefault="00000000">
      <w:pPr>
        <w:spacing w:after="24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Supporting information</w:t>
      </w:r>
    </w:p>
    <w:p w14:paraId="59215821" w14:textId="77777777" w:rsidR="00996A89" w:rsidRDefault="00996A89">
      <w:pPr>
        <w:spacing w:after="240" w:line="360" w:lineRule="auto"/>
        <w:rPr>
          <w:rFonts w:ascii="Arial" w:hAnsi="Arial" w:cs="Arial"/>
          <w:b/>
          <w:bCs/>
          <w:sz w:val="24"/>
          <w:szCs w:val="24"/>
        </w:rPr>
      </w:pPr>
    </w:p>
    <w:p w14:paraId="6F3EDA4E" w14:textId="77777777" w:rsidR="00996A89" w:rsidRDefault="00000000">
      <w:pPr>
        <w:spacing w:after="24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Polymer-Assisted Spinodal Decomposition Enabling a Three-Dimensional Interconnected Porous </w:t>
      </w:r>
      <w:bookmarkStart w:id="0" w:name="_Hlk180447967"/>
      <w:r>
        <w:rPr>
          <w:rFonts w:ascii="Arial" w:hAnsi="Arial" w:cs="Arial"/>
          <w:b/>
          <w:bCs/>
          <w:sz w:val="24"/>
          <w:szCs w:val="24"/>
        </w:rPr>
        <w:t>Na</w:t>
      </w:r>
      <w:r>
        <w:rPr>
          <w:rFonts w:ascii="Arial" w:hAnsi="Arial" w:cs="Arial"/>
          <w:b/>
          <w:bCs/>
          <w:sz w:val="24"/>
          <w:szCs w:val="24"/>
          <w:vertAlign w:val="subscript"/>
        </w:rPr>
        <w:t>3.4</w:t>
      </w:r>
      <w:r>
        <w:rPr>
          <w:rFonts w:ascii="Arial" w:hAnsi="Arial" w:cs="Arial"/>
          <w:b/>
          <w:bCs/>
          <w:sz w:val="24"/>
          <w:szCs w:val="24"/>
        </w:rPr>
        <w:t>Fe</w:t>
      </w:r>
      <w:r>
        <w:rPr>
          <w:rFonts w:ascii="Arial" w:hAnsi="Arial" w:cs="Arial"/>
          <w:b/>
          <w:bCs/>
          <w:sz w:val="24"/>
          <w:szCs w:val="24"/>
          <w:vertAlign w:val="subscript"/>
        </w:rPr>
        <w:t>2.4</w:t>
      </w:r>
      <w:r>
        <w:rPr>
          <w:rFonts w:ascii="Arial" w:hAnsi="Arial" w:cs="Arial"/>
          <w:b/>
          <w:bCs/>
          <w:sz w:val="24"/>
          <w:szCs w:val="24"/>
        </w:rPr>
        <w:t>(PO</w:t>
      </w:r>
      <w:r>
        <w:rPr>
          <w:rFonts w:ascii="Arial" w:hAnsi="Arial" w:cs="Arial"/>
          <w:b/>
          <w:bCs/>
          <w:sz w:val="24"/>
          <w:szCs w:val="24"/>
          <w:vertAlign w:val="subscript"/>
        </w:rPr>
        <w:t>4</w:t>
      </w:r>
      <w:r>
        <w:rPr>
          <w:rFonts w:ascii="Arial" w:hAnsi="Arial" w:cs="Arial"/>
          <w:b/>
          <w:bCs/>
          <w:sz w:val="24"/>
          <w:szCs w:val="24"/>
        </w:rPr>
        <w:t>)</w:t>
      </w:r>
      <w:r>
        <w:rPr>
          <w:rFonts w:ascii="Arial" w:hAnsi="Arial" w:cs="Arial"/>
          <w:b/>
          <w:bCs/>
          <w:sz w:val="24"/>
          <w:szCs w:val="24"/>
          <w:vertAlign w:val="subscript"/>
        </w:rPr>
        <w:t>1.4</w:t>
      </w:r>
      <w:r>
        <w:rPr>
          <w:rFonts w:ascii="Arial" w:hAnsi="Arial" w:cs="Arial"/>
          <w:b/>
          <w:bCs/>
          <w:sz w:val="24"/>
          <w:szCs w:val="24"/>
        </w:rPr>
        <w:t>P</w:t>
      </w:r>
      <w:r>
        <w:rPr>
          <w:rFonts w:ascii="Arial" w:hAnsi="Arial" w:cs="Arial"/>
          <w:b/>
          <w:bCs/>
          <w:sz w:val="24"/>
          <w:szCs w:val="24"/>
          <w:vertAlign w:val="subscript"/>
        </w:rPr>
        <w:t>2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  <w:vertAlign w:val="subscript"/>
        </w:rPr>
        <w:t>7</w:t>
      </w:r>
      <w:bookmarkEnd w:id="0"/>
      <w:r>
        <w:rPr>
          <w:rFonts w:ascii="Arial" w:hAnsi="Arial" w:cs="Arial"/>
          <w:b/>
          <w:bCs/>
          <w:sz w:val="24"/>
          <w:szCs w:val="24"/>
        </w:rPr>
        <w:t>@C Material for Enhanced Sodium-Ion Batteries</w:t>
      </w:r>
    </w:p>
    <w:p w14:paraId="5949C6E3" w14:textId="77777777" w:rsidR="00996A89" w:rsidRDefault="00996A89">
      <w:pPr>
        <w:spacing w:after="240" w:line="360" w:lineRule="auto"/>
        <w:rPr>
          <w:rFonts w:ascii="Arial" w:hAnsi="Arial" w:cs="Arial"/>
          <w:b/>
          <w:bCs/>
          <w:sz w:val="24"/>
          <w:szCs w:val="24"/>
        </w:rPr>
      </w:pPr>
    </w:p>
    <w:p w14:paraId="7E5FE9AC" w14:textId="77777777" w:rsidR="00996A89" w:rsidRDefault="00000000">
      <w:pPr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Nian Yang</w:t>
      </w:r>
      <w:r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•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Ruiyuan</w:t>
      </w:r>
      <w:proofErr w:type="spellEnd"/>
      <w:r>
        <w:rPr>
          <w:rFonts w:ascii="Arial" w:hAnsi="Arial" w:cs="Arial"/>
          <w:sz w:val="24"/>
          <w:szCs w:val="24"/>
        </w:rPr>
        <w:t xml:space="preserve"> Tian</w:t>
      </w:r>
      <w:r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</w:rPr>
        <w:t xml:space="preserve">* </w:t>
      </w:r>
      <w:r>
        <w:rPr>
          <w:rFonts w:ascii="Arial" w:hAnsi="Arial" w:cs="Arial"/>
          <w:color w:val="000000" w:themeColor="text1"/>
          <w:sz w:val="24"/>
          <w:szCs w:val="24"/>
        </w:rPr>
        <w:t>•</w:t>
      </w:r>
      <w:r>
        <w:rPr>
          <w:rFonts w:ascii="Arial" w:hAnsi="Arial" w:cs="Arial"/>
          <w:sz w:val="24"/>
          <w:szCs w:val="24"/>
        </w:rPr>
        <w:t xml:space="preserve"> Fei Du</w:t>
      </w:r>
      <w:r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</w:rPr>
        <w:t>*</w:t>
      </w:r>
    </w:p>
    <w:p w14:paraId="40946B50" w14:textId="77777777" w:rsidR="00996A89" w:rsidRDefault="00000000">
      <w:pPr>
        <w:widowControl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86F5C0F" w14:textId="77777777" w:rsidR="00EB033E" w:rsidRDefault="00EB033E" w:rsidP="00EB033E">
      <w:pPr>
        <w:spacing w:line="360" w:lineRule="auto"/>
        <w:rPr>
          <w:rFonts w:ascii="Arial" w:eastAsia="宋体" w:hAnsi="Arial" w:cs="Arial"/>
          <w:sz w:val="24"/>
          <w:szCs w:val="24"/>
        </w:rPr>
      </w:pPr>
      <w:bookmarkStart w:id="1" w:name="_Hlk188953938"/>
    </w:p>
    <w:p w14:paraId="19A71E16" w14:textId="158B34A5" w:rsidR="00EB033E" w:rsidRDefault="00EB033E" w:rsidP="00EB033E">
      <w:pPr>
        <w:spacing w:line="360" w:lineRule="auto"/>
        <w:rPr>
          <w:rFonts w:ascii="Arial" w:eastAsia="宋体" w:hAnsi="Arial" w:cs="Arial"/>
          <w:sz w:val="24"/>
          <w:szCs w:val="24"/>
        </w:rPr>
      </w:pPr>
      <w:r>
        <w:rPr>
          <w:rFonts w:ascii="Arial" w:eastAsia="宋体" w:hAnsi="Arial" w:cs="Arial"/>
          <w:noProof/>
          <w:sz w:val="24"/>
          <w:szCs w:val="24"/>
        </w:rPr>
        <w:drawing>
          <wp:inline distT="0" distB="0" distL="0" distR="0" wp14:anchorId="1ECD3FF1" wp14:editId="431ACA81">
            <wp:extent cx="5274310" cy="3728720"/>
            <wp:effectExtent l="0" t="0" r="254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A0071" w14:textId="77777777" w:rsidR="00EB033E" w:rsidRDefault="00EB033E" w:rsidP="00EB033E">
      <w:pPr>
        <w:spacing w:line="360" w:lineRule="auto"/>
        <w:rPr>
          <w:rFonts w:ascii="Arial" w:eastAsia="宋体" w:hAnsi="Arial" w:cs="Arial"/>
          <w:sz w:val="24"/>
          <w:szCs w:val="24"/>
        </w:rPr>
      </w:pPr>
      <w:r>
        <w:rPr>
          <w:rFonts w:ascii="Arial" w:eastAsia="宋体" w:hAnsi="Arial" w:cs="Arial"/>
          <w:b/>
          <w:sz w:val="24"/>
          <w:szCs w:val="24"/>
        </w:rPr>
        <w:t>Fig. S</w:t>
      </w:r>
      <w:r>
        <w:rPr>
          <w:rFonts w:ascii="Arial" w:eastAsia="宋体" w:hAnsi="Arial" w:cs="Arial" w:hint="eastAsia"/>
          <w:b/>
          <w:sz w:val="24"/>
          <w:szCs w:val="24"/>
        </w:rPr>
        <w:t>1</w:t>
      </w:r>
      <w:r>
        <w:rPr>
          <w:rFonts w:ascii="Arial" w:eastAsia="宋体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Rate capabilities of </w:t>
      </w:r>
      <w:r>
        <w:rPr>
          <w:rFonts w:ascii="Arial" w:eastAsia="宋体" w:hAnsi="Arial" w:cs="Arial"/>
          <w:b/>
          <w:bCs/>
          <w:sz w:val="24"/>
          <w:szCs w:val="24"/>
        </w:rPr>
        <w:t>a</w:t>
      </w:r>
      <w:r>
        <w:rPr>
          <w:rFonts w:ascii="Arial" w:eastAsia="宋体" w:hAnsi="Arial" w:cs="Arial"/>
          <w:sz w:val="24"/>
          <w:szCs w:val="24"/>
        </w:rPr>
        <w:t xml:space="preserve"> N-NFPP@C, </w:t>
      </w:r>
      <w:r>
        <w:rPr>
          <w:rFonts w:ascii="Arial" w:eastAsia="宋体" w:hAnsi="Arial" w:cs="Arial"/>
          <w:b/>
          <w:bCs/>
          <w:sz w:val="24"/>
          <w:szCs w:val="24"/>
        </w:rPr>
        <w:t>b</w:t>
      </w:r>
      <w:r>
        <w:rPr>
          <w:rFonts w:ascii="Arial" w:eastAsia="宋体" w:hAnsi="Arial" w:cs="Arial"/>
          <w:sz w:val="24"/>
          <w:szCs w:val="24"/>
        </w:rPr>
        <w:t xml:space="preserve"> P-NFPP@C, </w:t>
      </w:r>
      <w:r>
        <w:rPr>
          <w:rFonts w:ascii="Arial" w:eastAsia="宋体" w:hAnsi="Arial" w:cs="Arial"/>
          <w:b/>
          <w:sz w:val="24"/>
          <w:szCs w:val="24"/>
        </w:rPr>
        <w:t>c</w:t>
      </w:r>
      <w:r>
        <w:rPr>
          <w:rFonts w:ascii="Arial" w:eastAsia="宋体" w:hAnsi="Arial" w:cs="Arial"/>
          <w:sz w:val="24"/>
          <w:szCs w:val="24"/>
        </w:rPr>
        <w:t xml:space="preserve"> 3DP-NFPP@C and </w:t>
      </w:r>
      <w:r>
        <w:rPr>
          <w:rFonts w:ascii="Arial" w:eastAsia="宋体" w:hAnsi="Arial" w:cs="Arial"/>
          <w:b/>
          <w:bCs/>
          <w:sz w:val="24"/>
          <w:szCs w:val="24"/>
        </w:rPr>
        <w:t>c</w:t>
      </w:r>
      <w:r>
        <w:rPr>
          <w:rFonts w:ascii="Arial" w:eastAsia="宋体" w:hAnsi="Arial" w:cs="Arial"/>
          <w:sz w:val="24"/>
          <w:szCs w:val="24"/>
        </w:rPr>
        <w:t xml:space="preserve"> W-NFPP@C.</w:t>
      </w:r>
    </w:p>
    <w:p w14:paraId="3B2FCFB5" w14:textId="77777777" w:rsidR="00EB033E" w:rsidRDefault="00EB033E" w:rsidP="00EB033E">
      <w:pPr>
        <w:spacing w:line="360" w:lineRule="auto"/>
        <w:rPr>
          <w:rFonts w:ascii="Arial" w:eastAsia="宋体" w:hAnsi="Arial" w:cs="Arial"/>
          <w:sz w:val="24"/>
          <w:szCs w:val="24"/>
        </w:rPr>
      </w:pPr>
      <w:bookmarkStart w:id="2" w:name="_Hlk188953969"/>
      <w:bookmarkEnd w:id="1"/>
      <w:r>
        <w:rPr>
          <w:rFonts w:ascii="Arial" w:eastAsia="宋体" w:hAnsi="Arial" w:cs="Arial"/>
          <w:noProof/>
          <w:sz w:val="24"/>
          <w:szCs w:val="24"/>
        </w:rPr>
        <w:lastRenderedPageBreak/>
        <w:drawing>
          <wp:inline distT="0" distB="0" distL="0" distR="0" wp14:anchorId="75D79B6A" wp14:editId="6B722891">
            <wp:extent cx="5274310" cy="7839075"/>
            <wp:effectExtent l="0" t="0" r="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83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038BB" w14:textId="77777777" w:rsidR="00EB033E" w:rsidRDefault="00EB033E" w:rsidP="00EB033E">
      <w:pPr>
        <w:spacing w:line="360" w:lineRule="auto"/>
        <w:rPr>
          <w:rFonts w:ascii="Arial" w:eastAsia="宋体" w:hAnsi="Arial" w:cs="Arial"/>
          <w:b/>
          <w:sz w:val="24"/>
          <w:szCs w:val="24"/>
        </w:rPr>
      </w:pPr>
      <w:r>
        <w:rPr>
          <w:rFonts w:ascii="Arial" w:eastAsia="宋体" w:hAnsi="Arial" w:cs="Arial"/>
          <w:b/>
          <w:sz w:val="24"/>
          <w:szCs w:val="24"/>
        </w:rPr>
        <w:t>Fig. S</w:t>
      </w:r>
      <w:r>
        <w:rPr>
          <w:rFonts w:ascii="Arial" w:eastAsia="宋体" w:hAnsi="Arial" w:cs="Arial" w:hint="eastAsia"/>
          <w:b/>
          <w:sz w:val="24"/>
          <w:szCs w:val="24"/>
        </w:rPr>
        <w:t>2</w:t>
      </w:r>
      <w:r>
        <w:rPr>
          <w:rFonts w:ascii="Arial" w:eastAsia="宋体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Long-term cycle stability of </w:t>
      </w:r>
      <w:r>
        <w:rPr>
          <w:rFonts w:ascii="Arial" w:eastAsia="宋体" w:hAnsi="Arial" w:cs="Arial"/>
          <w:b/>
          <w:bCs/>
          <w:sz w:val="24"/>
          <w:szCs w:val="24"/>
        </w:rPr>
        <w:t>a</w:t>
      </w:r>
      <w:r>
        <w:rPr>
          <w:rFonts w:ascii="Arial" w:eastAsia="宋体" w:hAnsi="Arial" w:cs="Arial"/>
          <w:sz w:val="24"/>
          <w:szCs w:val="24"/>
        </w:rPr>
        <w:t xml:space="preserve"> N-NFPP@C, </w:t>
      </w:r>
      <w:r>
        <w:rPr>
          <w:rFonts w:ascii="Arial" w:eastAsia="宋体" w:hAnsi="Arial" w:cs="Arial"/>
          <w:b/>
          <w:bCs/>
          <w:sz w:val="24"/>
          <w:szCs w:val="24"/>
        </w:rPr>
        <w:t>b</w:t>
      </w:r>
      <w:r>
        <w:rPr>
          <w:rFonts w:ascii="Arial" w:eastAsia="宋体" w:hAnsi="Arial" w:cs="Arial"/>
          <w:sz w:val="24"/>
          <w:szCs w:val="24"/>
        </w:rPr>
        <w:t xml:space="preserve"> P-NFPP@C, </w:t>
      </w:r>
      <w:r>
        <w:rPr>
          <w:rFonts w:ascii="Arial" w:eastAsia="宋体" w:hAnsi="Arial" w:cs="Arial"/>
          <w:b/>
          <w:sz w:val="24"/>
          <w:szCs w:val="24"/>
        </w:rPr>
        <w:t>c</w:t>
      </w:r>
      <w:r>
        <w:rPr>
          <w:rFonts w:ascii="Arial" w:eastAsia="宋体" w:hAnsi="Arial" w:cs="Arial"/>
          <w:sz w:val="24"/>
          <w:szCs w:val="24"/>
        </w:rPr>
        <w:t xml:space="preserve"> 3DP-NFPP@C and </w:t>
      </w:r>
      <w:r>
        <w:rPr>
          <w:rFonts w:ascii="Arial" w:eastAsia="宋体" w:hAnsi="Arial" w:cs="Arial"/>
          <w:b/>
          <w:bCs/>
          <w:sz w:val="24"/>
          <w:szCs w:val="24"/>
        </w:rPr>
        <w:t>d</w:t>
      </w:r>
      <w:r>
        <w:rPr>
          <w:rFonts w:ascii="Arial" w:eastAsia="宋体" w:hAnsi="Arial" w:cs="Arial"/>
          <w:sz w:val="24"/>
          <w:szCs w:val="24"/>
        </w:rPr>
        <w:t xml:space="preserve"> W-NFPP@C</w:t>
      </w:r>
    </w:p>
    <w:bookmarkEnd w:id="2"/>
    <w:p w14:paraId="18E5B169" w14:textId="77777777" w:rsidR="00996A89" w:rsidRPr="00EB033E" w:rsidRDefault="00996A89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3ED3B85A" w14:textId="18AF4B02" w:rsidR="00996A89" w:rsidRDefault="0033291B">
      <w:pPr>
        <w:spacing w:line="360" w:lineRule="auto"/>
        <w:rPr>
          <w:rFonts w:ascii="Arial" w:eastAsia="宋体" w:hAnsi="Arial" w:cs="Arial"/>
          <w:b/>
          <w:bCs/>
          <w:sz w:val="24"/>
          <w:szCs w:val="24"/>
        </w:rPr>
      </w:pPr>
      <w:r>
        <w:rPr>
          <w:rFonts w:ascii="Arial" w:eastAsia="宋体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 wp14:anchorId="71847535" wp14:editId="180967A0">
            <wp:extent cx="3663387" cy="2780399"/>
            <wp:effectExtent l="0" t="0" r="0" b="1270"/>
            <wp:docPr id="19755935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593534" name="图片 197559353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8141" cy="2791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418CE" w14:textId="3C82B2FD" w:rsidR="00996A89" w:rsidRDefault="00000000">
      <w:pPr>
        <w:spacing w:line="360" w:lineRule="auto"/>
        <w:rPr>
          <w:rFonts w:ascii="Arial" w:eastAsia="宋体" w:hAnsi="Arial" w:cs="Arial"/>
          <w:sz w:val="24"/>
          <w:szCs w:val="24"/>
        </w:rPr>
      </w:pPr>
      <w:r>
        <w:rPr>
          <w:rFonts w:ascii="Arial" w:eastAsia="宋体" w:hAnsi="Arial" w:cs="Arial"/>
          <w:b/>
          <w:bCs/>
          <w:sz w:val="24"/>
          <w:szCs w:val="24"/>
        </w:rPr>
        <w:t>Fig. S</w:t>
      </w:r>
      <w:r w:rsidR="00EB033E">
        <w:rPr>
          <w:rFonts w:ascii="Arial" w:eastAsia="宋体" w:hAnsi="Arial" w:cs="Arial" w:hint="eastAsia"/>
          <w:b/>
          <w:bCs/>
          <w:sz w:val="24"/>
          <w:szCs w:val="24"/>
        </w:rPr>
        <w:t>3</w:t>
      </w:r>
      <w:r>
        <w:rPr>
          <w:rFonts w:ascii="Arial" w:eastAsia="宋体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宋体" w:hAnsi="Arial" w:cs="Arial"/>
          <w:sz w:val="24"/>
          <w:szCs w:val="24"/>
        </w:rPr>
        <w:t>dQ</w:t>
      </w:r>
      <w:proofErr w:type="spellEnd"/>
      <w:r>
        <w:rPr>
          <w:rFonts w:ascii="Arial" w:eastAsia="宋体" w:hAnsi="Arial" w:cs="Arial"/>
          <w:sz w:val="24"/>
          <w:szCs w:val="24"/>
        </w:rPr>
        <w:t>/</w:t>
      </w:r>
      <w:proofErr w:type="spellStart"/>
      <w:r>
        <w:rPr>
          <w:rFonts w:ascii="Arial" w:eastAsia="宋体" w:hAnsi="Arial" w:cs="Arial"/>
          <w:sz w:val="24"/>
          <w:szCs w:val="24"/>
        </w:rPr>
        <w:t>dVcurves</w:t>
      </w:r>
      <w:proofErr w:type="spellEnd"/>
      <w:r>
        <w:rPr>
          <w:rFonts w:ascii="Arial" w:eastAsia="宋体" w:hAnsi="Arial" w:cs="Arial"/>
          <w:sz w:val="24"/>
          <w:szCs w:val="24"/>
        </w:rPr>
        <w:t xml:space="preserve"> of N-NFPP@C, P-NFPP@C, 3DP-NFPP@C, and W-NFPP@C.</w:t>
      </w:r>
    </w:p>
    <w:p w14:paraId="444874F2" w14:textId="77777777" w:rsidR="00996A89" w:rsidRDefault="00996A89">
      <w:pPr>
        <w:spacing w:line="360" w:lineRule="auto"/>
        <w:rPr>
          <w:rFonts w:ascii="Arial" w:eastAsia="宋体" w:hAnsi="Arial" w:cs="Arial"/>
          <w:sz w:val="24"/>
          <w:szCs w:val="24"/>
        </w:rPr>
      </w:pPr>
    </w:p>
    <w:p w14:paraId="2ABB4726" w14:textId="77777777" w:rsidR="00996A89" w:rsidRDefault="00000000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value of </w:t>
      </w:r>
      <w:proofErr w:type="spellStart"/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  <w:vertAlign w:val="subscript"/>
        </w:rPr>
        <w:t>Na</w:t>
      </w:r>
      <w:proofErr w:type="spellEnd"/>
      <w:r>
        <w:rPr>
          <w:rFonts w:ascii="Arial" w:hAnsi="Arial" w:cs="Arial"/>
          <w:sz w:val="24"/>
          <w:szCs w:val="24"/>
          <w:vertAlign w:val="subscript"/>
        </w:rPr>
        <w:t>+</w:t>
      </w:r>
      <w:r>
        <w:rPr>
          <w:rFonts w:ascii="Arial" w:hAnsi="Arial" w:cs="Arial"/>
          <w:sz w:val="24"/>
          <w:szCs w:val="24"/>
        </w:rPr>
        <w:t xml:space="preserve"> can be calculated by equation (1):</w:t>
      </w:r>
    </w:p>
    <w:p w14:paraId="6DA55179" w14:textId="77777777" w:rsidR="00996A89" w:rsidRDefault="00000000">
      <w:pPr>
        <w:spacing w:line="360" w:lineRule="auto"/>
        <w:rPr>
          <w:rFonts w:ascii="Arial" w:hAnsi="Arial" w:cs="Arial"/>
          <w:sz w:val="24"/>
          <w:szCs w:val="24"/>
        </w:rPr>
      </w:pPr>
      <m:oMath>
        <m:r>
          <m:rPr>
            <m:nor/>
          </m:rPr>
          <w:rPr>
            <w:rFonts w:ascii="Arial" w:hAnsi="Arial" w:cs="Arial"/>
            <w:sz w:val="24"/>
            <w:szCs w:val="24"/>
          </w:rPr>
          <m:t>D=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ascii="Arial" w:hAnsi="Arial" w:cs="Arial"/>
                <w:sz w:val="24"/>
                <w:szCs w:val="24"/>
              </w:rPr>
              <m:t>π</m:t>
            </m:r>
          </m:num>
          <m:den>
            <m:r>
              <m:rPr>
                <m:nor/>
              </m:rPr>
              <w:rPr>
                <w:rFonts w:ascii="Arial" w:hAnsi="Arial" w:cs="Arial"/>
                <w:sz w:val="24"/>
                <w:szCs w:val="24"/>
              </w:rPr>
              <m:t>4τ</m:t>
            </m:r>
          </m:den>
        </m:f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m:t>B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m:t>V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m:t>m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m:t>B</m:t>
                        </m:r>
                      </m:sub>
                    </m:sSub>
                    <m:r>
                      <m:rPr>
                        <m:nor/>
                      </m:rPr>
                      <w:rPr>
                        <w:rFonts w:ascii="Arial" w:hAnsi="Arial" w:cs="Arial"/>
                        <w:sz w:val="24"/>
                        <w:szCs w:val="24"/>
                      </w:rPr>
                      <m:t>S</m:t>
                    </m:r>
                  </m:den>
                </m:f>
              </m:e>
            </m:d>
          </m:e>
          <m:sup>
            <m:r>
              <m:rPr>
                <m:nor/>
              </m:rPr>
              <w:rPr>
                <w:rFonts w:ascii="Arial" w:hAnsi="Arial" w:cs="Arial"/>
                <w:sz w:val="24"/>
                <w:szCs w:val="24"/>
              </w:rPr>
              <m:t>2</m:t>
            </m:r>
          </m:sup>
        </m:sSup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ascii="Arial" w:hAnsi="Arial" w:cs="Arial"/>
                        <w:sz w:val="24"/>
                        <w:szCs w:val="24"/>
                      </w:rPr>
                      <m:t>∆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m:t>E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m:t>s</m:t>
                        </m:r>
                      </m:sub>
                    </m:sSub>
                  </m:num>
                  <m:den>
                    <m:r>
                      <m:rPr>
                        <m:nor/>
                      </m:rPr>
                      <w:rPr>
                        <w:rFonts w:ascii="Arial" w:hAnsi="Arial" w:cs="Arial"/>
                        <w:sz w:val="24"/>
                        <w:szCs w:val="24"/>
                      </w:rPr>
                      <m:t>∆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m:t>E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m:t>τ</m:t>
                        </m:r>
                      </m:sub>
                    </m:sSub>
                  </m:den>
                </m:f>
              </m:e>
            </m:d>
          </m:e>
          <m:sup>
            <m:r>
              <m:rPr>
                <m:nor/>
              </m:rPr>
              <w:rPr>
                <w:rFonts w:ascii="Arial" w:hAnsi="Arial" w:cs="Arial"/>
                <w:sz w:val="24"/>
                <w:szCs w:val="24"/>
              </w:rPr>
              <m:t>2</m:t>
            </m:r>
          </m:sup>
        </m:sSup>
        <m:r>
          <m:rPr>
            <m:nor/>
          </m:rPr>
          <w:rPr>
            <w:rFonts w:ascii="Arial" w:hAnsi="Arial" w:cs="Arial"/>
            <w:sz w:val="24"/>
            <w:szCs w:val="24"/>
          </w:rPr>
          <m:t xml:space="preserve">  τ</m:t>
        </m:r>
        <m:r>
          <m:rPr>
            <m:nor/>
          </m:rPr>
          <w:rPr>
            <w:rFonts w:ascii="Cambria Math" w:hAnsi="Cambria Math" w:cs="Cambria Math"/>
            <w:sz w:val="24"/>
            <w:szCs w:val="24"/>
          </w:rPr>
          <m:t>≪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nor/>
                  </m:rPr>
                  <w:rPr>
                    <w:rFonts w:ascii="Arial" w:hAnsi="Arial" w:cs="Arial"/>
                    <w:sz w:val="24"/>
                    <w:szCs w:val="24"/>
                  </w:rPr>
                  <m:t>I</m:t>
                </m:r>
              </m:e>
              <m:sup>
                <m:r>
                  <m:rPr>
                    <m:nor/>
                  </m:rPr>
                  <w:rPr>
                    <w:rFonts w:ascii="Arial" w:hAnsi="Arial" w:cs="Arial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m:rPr>
                <m:nor/>
              </m:rPr>
              <w:rPr>
                <w:rFonts w:ascii="Arial" w:hAnsi="Arial" w:cs="Arial"/>
                <w:sz w:val="24"/>
                <w:szCs w:val="24"/>
              </w:rPr>
              <m:t>D</m:t>
            </m:r>
          </m:den>
        </m:f>
      </m:oMath>
      <w:r>
        <w:rPr>
          <w:rFonts w:ascii="Arial" w:hAnsi="Arial" w:cs="Arial"/>
          <w:sz w:val="24"/>
          <w:szCs w:val="24"/>
        </w:rPr>
        <w:t xml:space="preserve">                                            (1)</w:t>
      </w:r>
    </w:p>
    <w:p w14:paraId="7A337289" w14:textId="77777777" w:rsidR="00996A89" w:rsidRDefault="00000000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where τ represents the relax duration, S represents electrode/electrolyte contact area (0.785 cm</w:t>
      </w:r>
      <w:r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 xml:space="preserve">), </w:t>
      </w:r>
      <w:proofErr w:type="spellStart"/>
      <w:r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z w:val="24"/>
          <w:szCs w:val="24"/>
          <w:vertAlign w:val="subscript"/>
        </w:rPr>
        <w:t>m</w:t>
      </w:r>
      <w:proofErr w:type="spellEnd"/>
      <w:r>
        <w:rPr>
          <w:rFonts w:ascii="Arial" w:hAnsi="Arial" w:cs="Arial"/>
          <w:sz w:val="24"/>
          <w:szCs w:val="24"/>
        </w:rPr>
        <w:t xml:space="preserve"> represents the molar volume, M</w:t>
      </w:r>
      <w:r>
        <w:rPr>
          <w:rFonts w:ascii="Arial" w:hAnsi="Arial" w:cs="Arial"/>
          <w:sz w:val="24"/>
          <w:szCs w:val="24"/>
          <w:vertAlign w:val="subscript"/>
        </w:rPr>
        <w:t>B</w:t>
      </w:r>
      <w:r>
        <w:rPr>
          <w:rFonts w:ascii="Arial" w:hAnsi="Arial" w:cs="Arial"/>
          <w:sz w:val="24"/>
          <w:szCs w:val="24"/>
        </w:rPr>
        <w:t xml:space="preserve"> represents the molecular weight and </w:t>
      </w:r>
      <w:proofErr w:type="spellStart"/>
      <w:r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  <w:vertAlign w:val="subscript"/>
        </w:rPr>
        <w:t>B</w:t>
      </w:r>
      <w:proofErr w:type="spellEnd"/>
      <w:r>
        <w:rPr>
          <w:rFonts w:ascii="Arial" w:hAnsi="Arial" w:cs="Arial"/>
          <w:sz w:val="24"/>
          <w:szCs w:val="24"/>
        </w:rPr>
        <w:t xml:space="preserve"> represents the mass loading of the material. ∆E</w:t>
      </w:r>
      <w:r>
        <w:rPr>
          <w:rFonts w:ascii="Arial" w:hAnsi="Arial" w:cs="Arial"/>
          <w:sz w:val="24"/>
          <w:szCs w:val="24"/>
          <w:vertAlign w:val="subscript"/>
        </w:rPr>
        <w:t>s</w:t>
      </w:r>
      <w:r>
        <w:rPr>
          <w:rFonts w:ascii="Arial" w:hAnsi="Arial" w:cs="Arial"/>
          <w:sz w:val="24"/>
          <w:szCs w:val="24"/>
        </w:rPr>
        <w:t xml:space="preserve"> is the pulse-induced voltage change, and ∆</w:t>
      </w:r>
      <w:proofErr w:type="spellStart"/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  <w:vertAlign w:val="subscript"/>
        </w:rPr>
        <w:t>τ</w:t>
      </w:r>
      <w:proofErr w:type="spellEnd"/>
      <w:r>
        <w:rPr>
          <w:rFonts w:ascii="Arial" w:hAnsi="Arial" w:cs="Arial"/>
          <w:sz w:val="24"/>
          <w:szCs w:val="24"/>
        </w:rPr>
        <w:t xml:space="preserve"> is the voltage change for constant-current charging/discharging.</w:t>
      </w:r>
    </w:p>
    <w:p w14:paraId="22BDDB0C" w14:textId="77777777" w:rsidR="00996A89" w:rsidRDefault="00000000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000000" w:themeColor="text1"/>
          <w:sz w:val="24"/>
          <w:szCs w:val="24"/>
        </w:rPr>
        <w:drawing>
          <wp:inline distT="0" distB="0" distL="0" distR="0" wp14:anchorId="4A8B13BD" wp14:editId="21496737">
            <wp:extent cx="5051646" cy="2656058"/>
            <wp:effectExtent l="0" t="0" r="0" b="0"/>
            <wp:docPr id="10870412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041208" name="图片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1646" cy="2656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7B403" w14:textId="56E13B27" w:rsidR="00996A89" w:rsidRPr="00EB033E" w:rsidRDefault="00000000" w:rsidP="00EB033E">
      <w:pPr>
        <w:spacing w:line="360" w:lineRule="auto"/>
        <w:rPr>
          <w:rFonts w:ascii="Arial" w:eastAsia="宋体" w:hAnsi="Arial" w:cs="Arial"/>
          <w:sz w:val="24"/>
          <w:szCs w:val="24"/>
        </w:rPr>
      </w:pPr>
      <w:r>
        <w:rPr>
          <w:rFonts w:ascii="Arial" w:eastAsia="宋体" w:hAnsi="Arial" w:cs="Arial"/>
          <w:b/>
          <w:bCs/>
          <w:sz w:val="24"/>
          <w:szCs w:val="24"/>
        </w:rPr>
        <w:lastRenderedPageBreak/>
        <w:t>Fig. S</w:t>
      </w:r>
      <w:r w:rsidR="00EB033E">
        <w:rPr>
          <w:rFonts w:ascii="Arial" w:eastAsia="宋体" w:hAnsi="Arial" w:cs="Arial" w:hint="eastAsia"/>
          <w:b/>
          <w:bCs/>
          <w:sz w:val="24"/>
          <w:szCs w:val="24"/>
        </w:rPr>
        <w:t>4</w:t>
      </w:r>
      <w:r>
        <w:rPr>
          <w:rFonts w:ascii="Arial" w:eastAsia="宋体" w:hAnsi="Arial" w:cs="Arial"/>
          <w:sz w:val="24"/>
          <w:szCs w:val="24"/>
        </w:rPr>
        <w:t xml:space="preserve"> GITT profile of </w:t>
      </w:r>
      <w:r>
        <w:rPr>
          <w:rFonts w:ascii="Arial" w:eastAsia="宋体" w:hAnsi="Arial" w:cs="Arial"/>
          <w:b/>
          <w:bCs/>
          <w:sz w:val="24"/>
          <w:szCs w:val="24"/>
        </w:rPr>
        <w:t>a</w:t>
      </w:r>
      <w:r>
        <w:rPr>
          <w:rFonts w:ascii="Arial" w:eastAsia="宋体" w:hAnsi="Arial" w:cs="Arial"/>
          <w:sz w:val="24"/>
          <w:szCs w:val="24"/>
        </w:rPr>
        <w:t xml:space="preserve"> W-NFPP@C, </w:t>
      </w:r>
      <w:r>
        <w:rPr>
          <w:rFonts w:ascii="Arial" w:eastAsia="宋体" w:hAnsi="Arial" w:cs="Arial"/>
          <w:b/>
          <w:bCs/>
          <w:sz w:val="24"/>
          <w:szCs w:val="24"/>
        </w:rPr>
        <w:t>b</w:t>
      </w:r>
      <w:r>
        <w:rPr>
          <w:rFonts w:ascii="Arial" w:eastAsia="宋体" w:hAnsi="Arial" w:cs="Arial"/>
          <w:sz w:val="24"/>
          <w:szCs w:val="24"/>
        </w:rPr>
        <w:t xml:space="preserve"> P-NFPP@C and </w:t>
      </w:r>
      <w:r>
        <w:rPr>
          <w:rFonts w:ascii="Arial" w:eastAsia="宋体" w:hAnsi="Arial" w:cs="Arial"/>
          <w:b/>
          <w:bCs/>
          <w:sz w:val="24"/>
          <w:szCs w:val="24"/>
        </w:rPr>
        <w:t>c</w:t>
      </w:r>
      <w:r>
        <w:rPr>
          <w:rFonts w:ascii="Arial" w:eastAsia="宋体" w:hAnsi="Arial" w:cs="Arial"/>
          <w:sz w:val="24"/>
          <w:szCs w:val="24"/>
        </w:rPr>
        <w:t xml:space="preserve"> N-NFPP@C and diffusion coefficients of </w:t>
      </w:r>
      <w:r>
        <w:rPr>
          <w:rFonts w:ascii="Arial" w:eastAsia="宋体" w:hAnsi="Arial" w:cs="Arial"/>
          <w:b/>
          <w:bCs/>
          <w:sz w:val="24"/>
          <w:szCs w:val="24"/>
        </w:rPr>
        <w:t>d</w:t>
      </w:r>
      <w:r>
        <w:rPr>
          <w:rFonts w:ascii="Arial" w:eastAsia="宋体" w:hAnsi="Arial" w:cs="Arial"/>
          <w:sz w:val="24"/>
          <w:szCs w:val="24"/>
        </w:rPr>
        <w:t xml:space="preserve"> W-NFPP@C, </w:t>
      </w:r>
      <w:r>
        <w:rPr>
          <w:rFonts w:ascii="Arial" w:eastAsia="宋体" w:hAnsi="Arial" w:cs="Arial"/>
          <w:b/>
          <w:bCs/>
          <w:sz w:val="24"/>
          <w:szCs w:val="24"/>
        </w:rPr>
        <w:t>e</w:t>
      </w:r>
      <w:r>
        <w:rPr>
          <w:rFonts w:ascii="Arial" w:eastAsia="宋体" w:hAnsi="Arial" w:cs="Arial"/>
          <w:sz w:val="24"/>
          <w:szCs w:val="24"/>
        </w:rPr>
        <w:t xml:space="preserve"> P-NFPP@C and </w:t>
      </w:r>
      <w:r>
        <w:rPr>
          <w:rFonts w:ascii="Arial" w:eastAsia="宋体" w:hAnsi="Arial" w:cs="Arial"/>
          <w:b/>
          <w:bCs/>
          <w:sz w:val="24"/>
          <w:szCs w:val="24"/>
        </w:rPr>
        <w:t>f</w:t>
      </w:r>
      <w:r>
        <w:rPr>
          <w:rFonts w:ascii="Arial" w:eastAsia="宋体" w:hAnsi="Arial" w:cs="Arial"/>
          <w:sz w:val="24"/>
          <w:szCs w:val="24"/>
        </w:rPr>
        <w:t xml:space="preserve"> N-NFPP@C.</w:t>
      </w:r>
    </w:p>
    <w:sectPr w:rsidR="00996A89" w:rsidRPr="00EB03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D0368" w14:textId="77777777" w:rsidR="00F707B8" w:rsidRDefault="00F707B8" w:rsidP="00EB033E">
      <w:r>
        <w:separator/>
      </w:r>
    </w:p>
  </w:endnote>
  <w:endnote w:type="continuationSeparator" w:id="0">
    <w:p w14:paraId="3381F0EC" w14:textId="77777777" w:rsidR="00F707B8" w:rsidRDefault="00F707B8" w:rsidP="00EB0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C838B" w14:textId="77777777" w:rsidR="00F707B8" w:rsidRDefault="00F707B8" w:rsidP="00EB033E">
      <w:r>
        <w:separator/>
      </w:r>
    </w:p>
  </w:footnote>
  <w:footnote w:type="continuationSeparator" w:id="0">
    <w:p w14:paraId="364AF4A4" w14:textId="77777777" w:rsidR="00F707B8" w:rsidRDefault="00F707B8" w:rsidP="00EB03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KSO_WPS_MARK_KEY" w:val="490284be-9014-4602-ab65-328972db12ea"/>
  </w:docVars>
  <w:rsids>
    <w:rsidRoot w:val="002548BF"/>
    <w:rsid w:val="000114F1"/>
    <w:rsid w:val="00165B53"/>
    <w:rsid w:val="0019441C"/>
    <w:rsid w:val="002548BF"/>
    <w:rsid w:val="0033291B"/>
    <w:rsid w:val="003A38E8"/>
    <w:rsid w:val="00424043"/>
    <w:rsid w:val="004F1459"/>
    <w:rsid w:val="00513C89"/>
    <w:rsid w:val="005E7303"/>
    <w:rsid w:val="007C56E6"/>
    <w:rsid w:val="007F49F4"/>
    <w:rsid w:val="0086260E"/>
    <w:rsid w:val="008E23F6"/>
    <w:rsid w:val="008E3B24"/>
    <w:rsid w:val="00996A89"/>
    <w:rsid w:val="009A4495"/>
    <w:rsid w:val="009D107B"/>
    <w:rsid w:val="00A74D38"/>
    <w:rsid w:val="00A83684"/>
    <w:rsid w:val="00C85FC1"/>
    <w:rsid w:val="00EA60A1"/>
    <w:rsid w:val="00EB033E"/>
    <w:rsid w:val="00ED5E75"/>
    <w:rsid w:val="00F43287"/>
    <w:rsid w:val="00F707B8"/>
    <w:rsid w:val="00F723FC"/>
    <w:rsid w:val="00F74554"/>
    <w:rsid w:val="0ACC0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9043DB"/>
  <w15:docId w15:val="{E4B833B0-807E-46D7-93D2-12E30FB9E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xbany</dc:creator>
  <cp:lastModifiedBy>chen lu</cp:lastModifiedBy>
  <cp:revision>2</cp:revision>
  <dcterms:created xsi:type="dcterms:W3CDTF">2025-03-24T10:06:00Z</dcterms:created>
  <dcterms:modified xsi:type="dcterms:W3CDTF">2025-03-24T10:06:00Z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242B267B99DE4AAA835DAB54FBA47C27</vt:lpwstr>
  </property>
</Properties>
</file>