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A2672" w14:textId="77777777" w:rsidR="000F1F09" w:rsidRPr="00780476" w:rsidRDefault="000F1F09" w:rsidP="000F1F09">
      <w:pPr>
        <w:spacing w:line="480" w:lineRule="auto"/>
        <w:jc w:val="center"/>
        <w:rPr>
          <w:rFonts w:ascii="Verdana" w:hAnsi="Verdana"/>
          <w:b/>
          <w:bCs/>
          <w:sz w:val="24"/>
          <w:szCs w:val="24"/>
        </w:rPr>
      </w:pPr>
      <w:bookmarkStart w:id="0" w:name="_Hlk164433407"/>
      <w:r w:rsidRPr="00780476">
        <w:rPr>
          <w:rFonts w:ascii="Verdana" w:hAnsi="Verdana"/>
          <w:b/>
          <w:bCs/>
          <w:sz w:val="24"/>
          <w:szCs w:val="24"/>
        </w:rPr>
        <w:t>Appendix</w:t>
      </w:r>
      <w:r>
        <w:rPr>
          <w:rFonts w:ascii="Verdana" w:hAnsi="Verdana"/>
          <w:b/>
          <w:bCs/>
          <w:sz w:val="24"/>
          <w:szCs w:val="24"/>
        </w:rPr>
        <w:t>-I</w:t>
      </w:r>
    </w:p>
    <w:p w14:paraId="5391A726" w14:textId="77777777" w:rsidR="000F1F09" w:rsidRDefault="000F1F09" w:rsidP="000F1F09">
      <w:pPr>
        <w:rPr>
          <w:rFonts w:ascii="Verdana" w:hAnsi="Verdana"/>
          <w:b/>
          <w:bCs/>
          <w:i/>
          <w:iCs/>
          <w:szCs w:val="22"/>
        </w:rPr>
      </w:pPr>
      <w:r>
        <w:rPr>
          <w:noProof/>
        </w:rPr>
        <w:drawing>
          <wp:inline distT="0" distB="0" distL="0" distR="0" wp14:anchorId="71561C29" wp14:editId="0F834A0F">
            <wp:extent cx="8277225" cy="4933950"/>
            <wp:effectExtent l="0" t="0" r="9525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8DAAD8C-11B8-10F4-80A2-1E5F7B887C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BB418C9" w14:textId="12918B43" w:rsidR="000F1F09" w:rsidRDefault="000F1F09" w:rsidP="000F1F09">
      <w:pPr>
        <w:ind w:left="450" w:hanging="450"/>
        <w:rPr>
          <w:rFonts w:ascii="Times New Roman" w:hAnsi="Times New Roman" w:cs="Times New Roman"/>
          <w:b/>
          <w:bCs/>
          <w:sz w:val="23"/>
          <w:szCs w:val="23"/>
        </w:rPr>
      </w:pPr>
      <w:r w:rsidRPr="00491A63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1</w:t>
      </w:r>
      <w:r w:rsidRPr="00491A63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Yearly averages of historical daily rainfall, maximum temperature and minimum temperature, total solar radiation and simulated p</w:t>
      </w:r>
      <w:r w:rsidRPr="00491A63">
        <w:rPr>
          <w:rFonts w:ascii="Times New Roman" w:hAnsi="Times New Roman" w:cs="Times New Roman"/>
          <w:b/>
          <w:bCs/>
          <w:sz w:val="23"/>
          <w:szCs w:val="23"/>
        </w:rPr>
        <w:t>hotosynthetically-active-</w:t>
      </w:r>
      <w:r w:rsidRPr="00082DE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91A63">
        <w:rPr>
          <w:rFonts w:ascii="Times New Roman" w:hAnsi="Times New Roman" w:cs="Times New Roman"/>
          <w:b/>
          <w:bCs/>
          <w:sz w:val="23"/>
          <w:szCs w:val="23"/>
        </w:rPr>
        <w:t>radiation</w:t>
      </w:r>
      <w:bookmarkEnd w:id="0"/>
    </w:p>
    <w:p w14:paraId="3E0DAFB3" w14:textId="3869438B" w:rsidR="00F50447" w:rsidRDefault="00F50447" w:rsidP="00F50447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457DB7">
        <w:rPr>
          <w:rFonts w:ascii="Times New Roman" w:hAnsi="Times New Roman" w:cs="Times New Roman"/>
          <w:b/>
          <w:bCs/>
          <w:sz w:val="28"/>
        </w:rPr>
        <w:lastRenderedPageBreak/>
        <w:t>Appendix-II</w:t>
      </w:r>
    </w:p>
    <w:p w14:paraId="2E1A3454" w14:textId="77777777" w:rsidR="00F50447" w:rsidRDefault="00F50447" w:rsidP="00F50447">
      <w:pPr>
        <w:rPr>
          <w:rFonts w:ascii="Times New Roman" w:hAnsi="Times New Roman" w:cs="Times New Roman"/>
          <w:b/>
          <w:bCs/>
          <w:sz w:val="28"/>
        </w:rPr>
      </w:pPr>
    </w:p>
    <w:p w14:paraId="3E564D3D" w14:textId="77777777" w:rsidR="00F50447" w:rsidRDefault="00F50447" w:rsidP="00F50447">
      <w:pPr>
        <w:rPr>
          <w:rFonts w:ascii="Times New Roman" w:hAnsi="Times New Roman" w:cs="Times New Roman"/>
          <w:b/>
          <w:bCs/>
          <w:sz w:val="28"/>
        </w:rPr>
      </w:pPr>
      <w:r w:rsidRPr="00457DB7">
        <w:rPr>
          <w:rFonts w:ascii="Times New Roman" w:hAnsi="Times New Roman" w:cs="Times New Roman"/>
          <w:b/>
          <w:bCs/>
          <w:sz w:val="28"/>
        </w:rPr>
        <w:t>Genetic Coefficients of Sorghum-Sudan Grass that we used for this study</w:t>
      </w:r>
    </w:p>
    <w:p w14:paraId="0FDDE505" w14:textId="77777777" w:rsidR="00F50447" w:rsidRPr="00457DB7" w:rsidRDefault="00F50447" w:rsidP="00F50447">
      <w:pPr>
        <w:rPr>
          <w:rFonts w:ascii="Times New Roman" w:hAnsi="Times New Roman" w:cs="Times New Roman"/>
          <w:b/>
          <w:bCs/>
          <w:sz w:val="28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429"/>
        <w:gridCol w:w="11065"/>
        <w:gridCol w:w="888"/>
      </w:tblGrid>
      <w:tr w:rsidR="00F50447" w:rsidRPr="00375703" w14:paraId="0C220D24" w14:textId="77777777" w:rsidTr="000F4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A7ABB6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Coefficients</w:t>
            </w:r>
          </w:p>
        </w:tc>
        <w:tc>
          <w:tcPr>
            <w:tcW w:w="0" w:type="auto"/>
            <w:hideMark/>
          </w:tcPr>
          <w:p w14:paraId="1173361E" w14:textId="77777777" w:rsidR="00F50447" w:rsidRPr="00375703" w:rsidRDefault="00F50447" w:rsidP="000F44CC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Definitions</w:t>
            </w:r>
          </w:p>
        </w:tc>
        <w:tc>
          <w:tcPr>
            <w:tcW w:w="0" w:type="auto"/>
            <w:hideMark/>
          </w:tcPr>
          <w:p w14:paraId="0BEFDDF1" w14:textId="77777777" w:rsidR="00F50447" w:rsidRPr="00375703" w:rsidRDefault="00F50447" w:rsidP="000F44CC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</w:tc>
      </w:tr>
      <w:tr w:rsidR="00F50447" w:rsidRPr="00375703" w14:paraId="38F3ABF3" w14:textId="77777777" w:rsidTr="000F4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5EE676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0" w:type="auto"/>
            <w:hideMark/>
          </w:tcPr>
          <w:p w14:paraId="00BC022E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Thermal time from seedling emergence to the end of the juvenile phase</w:t>
            </w:r>
          </w:p>
        </w:tc>
        <w:tc>
          <w:tcPr>
            <w:tcW w:w="0" w:type="auto"/>
            <w:hideMark/>
          </w:tcPr>
          <w:p w14:paraId="47AC52DC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631.0</w:t>
            </w:r>
          </w:p>
        </w:tc>
      </w:tr>
      <w:tr w:rsidR="00F50447" w:rsidRPr="00375703" w14:paraId="55195470" w14:textId="77777777" w:rsidTr="000F4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18490A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0" w:type="auto"/>
            <w:hideMark/>
          </w:tcPr>
          <w:p w14:paraId="79B6F493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Thermal time from the end of the juvenile stage to tassel initiation under short days</w:t>
            </w:r>
          </w:p>
        </w:tc>
        <w:tc>
          <w:tcPr>
            <w:tcW w:w="0" w:type="auto"/>
            <w:hideMark/>
          </w:tcPr>
          <w:p w14:paraId="7AD193A0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429.0</w:t>
            </w:r>
          </w:p>
        </w:tc>
      </w:tr>
      <w:tr w:rsidR="00F50447" w:rsidRPr="00375703" w14:paraId="13F12D04" w14:textId="77777777" w:rsidTr="000F4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C93B82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P2O</w:t>
            </w:r>
          </w:p>
        </w:tc>
        <w:tc>
          <w:tcPr>
            <w:tcW w:w="0" w:type="auto"/>
            <w:hideMark/>
          </w:tcPr>
          <w:p w14:paraId="0DFCB682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Critical photoperiod or the longest day length (in hours) at which development occurs at a maximum rate.</w:t>
            </w:r>
          </w:p>
        </w:tc>
        <w:tc>
          <w:tcPr>
            <w:tcW w:w="0" w:type="auto"/>
            <w:hideMark/>
          </w:tcPr>
          <w:p w14:paraId="32F24942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16.80</w:t>
            </w:r>
          </w:p>
        </w:tc>
      </w:tr>
      <w:tr w:rsidR="00F50447" w:rsidRPr="00375703" w14:paraId="4BF921F3" w14:textId="77777777" w:rsidTr="000F4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58A33C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P2R</w:t>
            </w:r>
          </w:p>
        </w:tc>
        <w:tc>
          <w:tcPr>
            <w:tcW w:w="0" w:type="auto"/>
            <w:hideMark/>
          </w:tcPr>
          <w:p w14:paraId="317AF1CA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Extent to which phasic development leading to panicle initiation (expressed in degree days) is delayed for each hour increase in photoperiod above P2O</w:t>
            </w:r>
          </w:p>
        </w:tc>
        <w:tc>
          <w:tcPr>
            <w:tcW w:w="0" w:type="auto"/>
            <w:hideMark/>
          </w:tcPr>
          <w:p w14:paraId="549AA6AD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307.0</w:t>
            </w:r>
          </w:p>
        </w:tc>
      </w:tr>
      <w:tr w:rsidR="00F50447" w:rsidRPr="00375703" w14:paraId="6135EAC5" w14:textId="77777777" w:rsidTr="000F4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983EB8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PANTH</w:t>
            </w:r>
          </w:p>
        </w:tc>
        <w:tc>
          <w:tcPr>
            <w:tcW w:w="0" w:type="auto"/>
            <w:hideMark/>
          </w:tcPr>
          <w:p w14:paraId="7EAAF1B5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Thermal time from the end of tassel initiation to anthesis</w:t>
            </w:r>
          </w:p>
        </w:tc>
        <w:tc>
          <w:tcPr>
            <w:tcW w:w="0" w:type="auto"/>
            <w:hideMark/>
          </w:tcPr>
          <w:p w14:paraId="7F0796EC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700.0</w:t>
            </w:r>
          </w:p>
        </w:tc>
      </w:tr>
      <w:tr w:rsidR="00F50447" w:rsidRPr="00375703" w14:paraId="427D50F9" w14:textId="77777777" w:rsidTr="000F4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7C7E53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0" w:type="auto"/>
            <w:hideMark/>
          </w:tcPr>
          <w:p w14:paraId="7F073288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Thermal time of flag leaf expansion till anthesis</w:t>
            </w:r>
          </w:p>
        </w:tc>
        <w:tc>
          <w:tcPr>
            <w:tcW w:w="0" w:type="auto"/>
            <w:hideMark/>
          </w:tcPr>
          <w:p w14:paraId="522A7953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552.5</w:t>
            </w:r>
          </w:p>
        </w:tc>
      </w:tr>
      <w:tr w:rsidR="00F50447" w:rsidRPr="00375703" w14:paraId="3276D6A0" w14:textId="77777777" w:rsidTr="000F4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9848E8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0" w:type="auto"/>
            <w:hideMark/>
          </w:tcPr>
          <w:p w14:paraId="5931CE10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Thermal time from anthesis to beginning of grain filling</w:t>
            </w:r>
          </w:p>
        </w:tc>
        <w:tc>
          <w:tcPr>
            <w:tcW w:w="0" w:type="auto"/>
            <w:hideMark/>
          </w:tcPr>
          <w:p w14:paraId="66BB1739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101.5</w:t>
            </w:r>
          </w:p>
        </w:tc>
      </w:tr>
      <w:tr w:rsidR="00F50447" w:rsidRPr="00375703" w14:paraId="6B5B21A5" w14:textId="77777777" w:rsidTr="000F4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1487B4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0" w:type="auto"/>
            <w:hideMark/>
          </w:tcPr>
          <w:p w14:paraId="72A6B41E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Thermal time from beginning of grain filling to physiological maturity</w:t>
            </w:r>
          </w:p>
        </w:tc>
        <w:tc>
          <w:tcPr>
            <w:tcW w:w="0" w:type="auto"/>
            <w:hideMark/>
          </w:tcPr>
          <w:p w14:paraId="0058D7CA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800.0</w:t>
            </w:r>
          </w:p>
        </w:tc>
      </w:tr>
      <w:tr w:rsidR="00F50447" w:rsidRPr="00375703" w14:paraId="6C974035" w14:textId="77777777" w:rsidTr="000F4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2698CD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PHINT</w:t>
            </w:r>
          </w:p>
        </w:tc>
        <w:tc>
          <w:tcPr>
            <w:tcW w:w="0" w:type="auto"/>
            <w:hideMark/>
          </w:tcPr>
          <w:p w14:paraId="3DC0BAE0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Phylochron interval (the interval in thermal time between two successive leaf tip appearances)</w:t>
            </w:r>
          </w:p>
        </w:tc>
        <w:tc>
          <w:tcPr>
            <w:tcW w:w="0" w:type="auto"/>
            <w:hideMark/>
          </w:tcPr>
          <w:p w14:paraId="25CE0B61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56.00</w:t>
            </w:r>
          </w:p>
        </w:tc>
      </w:tr>
      <w:tr w:rsidR="00F50447" w:rsidRPr="00375703" w14:paraId="0572097D" w14:textId="77777777" w:rsidTr="000F4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72566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0" w:type="auto"/>
            <w:hideMark/>
          </w:tcPr>
          <w:p w14:paraId="38B25C26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Scaler for relative leaf size</w:t>
            </w:r>
          </w:p>
        </w:tc>
        <w:tc>
          <w:tcPr>
            <w:tcW w:w="0" w:type="auto"/>
            <w:hideMark/>
          </w:tcPr>
          <w:p w14:paraId="2D85EA16" w14:textId="77777777" w:rsidR="00F50447" w:rsidRPr="00375703" w:rsidRDefault="00F50447" w:rsidP="000F44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</w:tr>
      <w:tr w:rsidR="00F50447" w:rsidRPr="00375703" w14:paraId="6138E526" w14:textId="77777777" w:rsidTr="000F4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E2BC6F" w14:textId="77777777" w:rsidR="00F50447" w:rsidRPr="00375703" w:rsidRDefault="00F50447" w:rsidP="000F44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0" w:type="auto"/>
            <w:hideMark/>
          </w:tcPr>
          <w:p w14:paraId="4F638E65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Scaler for partitioning of assimilates to the panicle (head)</w:t>
            </w:r>
          </w:p>
        </w:tc>
        <w:tc>
          <w:tcPr>
            <w:tcW w:w="0" w:type="auto"/>
            <w:hideMark/>
          </w:tcPr>
          <w:p w14:paraId="395A88A5" w14:textId="77777777" w:rsidR="00F50447" w:rsidRPr="00375703" w:rsidRDefault="00F50447" w:rsidP="000F44C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703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</w:tbl>
    <w:p w14:paraId="5EBBE062" w14:textId="77777777" w:rsidR="00F50447" w:rsidRPr="00375703" w:rsidRDefault="00F50447" w:rsidP="00F50447">
      <w:pPr>
        <w:rPr>
          <w:rFonts w:ascii="Times New Roman" w:hAnsi="Times New Roman" w:cs="Times New Roman"/>
          <w:sz w:val="24"/>
          <w:szCs w:val="24"/>
        </w:rPr>
      </w:pPr>
    </w:p>
    <w:p w14:paraId="25AB5867" w14:textId="77777777" w:rsidR="00F50447" w:rsidRDefault="00F50447" w:rsidP="000F1F09">
      <w:pPr>
        <w:ind w:left="450" w:hanging="450"/>
      </w:pPr>
    </w:p>
    <w:sectPr w:rsidR="00F50447" w:rsidSect="000F1F09">
      <w:pgSz w:w="15840" w:h="12240" w:orient="landscape"/>
      <w:pgMar w:top="1440" w:right="1296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09"/>
    <w:rsid w:val="000F1F09"/>
    <w:rsid w:val="00142543"/>
    <w:rsid w:val="002A3EB8"/>
    <w:rsid w:val="00F5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041D"/>
  <w15:chartTrackingRefBased/>
  <w15:docId w15:val="{9135A915-FB5C-4D4D-A577-D78233C3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bn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F5044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6142765788402779E-2"/>
          <c:y val="1.7223785330175632E-2"/>
          <c:w val="0.83075565359498238"/>
          <c:h val="0.89927455602971118"/>
        </c:manualLayout>
      </c:layout>
      <c:areaChart>
        <c:grouping val="standard"/>
        <c:varyColors val="0"/>
        <c:ser>
          <c:idx val="6"/>
          <c:order val="6"/>
          <c:tx>
            <c:strRef>
              <c:f>Sheet1!$K$16</c:f>
              <c:strCache>
                <c:ptCount val="1"/>
                <c:pt idx="0">
                  <c:v>Rain(mm)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9525">
              <a:solidFill>
                <a:srgbClr val="00B0F0"/>
              </a:solidFill>
              <a:prstDash val="solid"/>
            </a:ln>
            <a:effectLst/>
          </c:spPr>
          <c:cat>
            <c:numRef>
              <c:f>Sheet1!$B$19:$B$28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Sheet1!$K$19:$K$28</c:f>
              <c:numCache>
                <c:formatCode>General</c:formatCode>
                <c:ptCount val="10"/>
                <c:pt idx="0">
                  <c:v>204.98</c:v>
                </c:pt>
                <c:pt idx="1">
                  <c:v>672.34</c:v>
                </c:pt>
                <c:pt idx="2">
                  <c:v>273.3</c:v>
                </c:pt>
                <c:pt idx="3">
                  <c:v>217.68</c:v>
                </c:pt>
                <c:pt idx="4">
                  <c:v>327.91</c:v>
                </c:pt>
                <c:pt idx="5">
                  <c:v>189.23</c:v>
                </c:pt>
                <c:pt idx="6">
                  <c:v>124.21</c:v>
                </c:pt>
                <c:pt idx="7">
                  <c:v>556.51</c:v>
                </c:pt>
                <c:pt idx="8">
                  <c:v>331.98</c:v>
                </c:pt>
                <c:pt idx="9">
                  <c:v>691.9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85-4CD8-8BF2-5543D24BC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58783711"/>
        <c:axId val="1258778303"/>
      </c:areaChart>
      <c:barChart>
        <c:barDir val="col"/>
        <c:grouping val="clustered"/>
        <c:varyColors val="0"/>
        <c:ser>
          <c:idx val="1"/>
          <c:order val="1"/>
          <c:tx>
            <c:strRef>
              <c:f>Sheet1!$E$16</c:f>
              <c:strCache>
                <c:ptCount val="1"/>
                <c:pt idx="0">
                  <c:v>Simulated Photosynthetically Active Radiation (Moles m-2 d-1)</c:v>
                </c:pt>
              </c:strCache>
            </c:strRef>
          </c:tx>
          <c:spPr>
            <a:pattFill prst="ltVert">
              <a:fgClr>
                <a:schemeClr val="accent4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rgbClr val="FFC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9D85-4CD8-8BF2-5543D24BC5F6}"/>
              </c:ext>
            </c:extLst>
          </c:dPt>
          <c:dPt>
            <c:idx val="1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9D85-4CD8-8BF2-5543D24BC5F6}"/>
              </c:ext>
            </c:extLst>
          </c:dPt>
          <c:dPt>
            <c:idx val="2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9D85-4CD8-8BF2-5543D24BC5F6}"/>
              </c:ext>
            </c:extLst>
          </c:dPt>
          <c:dPt>
            <c:idx val="3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9D85-4CD8-8BF2-5543D24BC5F6}"/>
              </c:ext>
            </c:extLst>
          </c:dPt>
          <c:dPt>
            <c:idx val="4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9D85-4CD8-8BF2-5543D24BC5F6}"/>
              </c:ext>
            </c:extLst>
          </c:dPt>
          <c:dPt>
            <c:idx val="5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9D85-4CD8-8BF2-5543D24BC5F6}"/>
              </c:ext>
            </c:extLst>
          </c:dPt>
          <c:dPt>
            <c:idx val="6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9D85-4CD8-8BF2-5543D24BC5F6}"/>
              </c:ext>
            </c:extLst>
          </c:dPt>
          <c:dPt>
            <c:idx val="8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9D85-4CD8-8BF2-5543D24BC5F6}"/>
              </c:ext>
            </c:extLst>
          </c:dPt>
          <c:dPt>
            <c:idx val="9"/>
            <c:invertIfNegative val="0"/>
            <c:bubble3D val="0"/>
            <c:spPr>
              <a:pattFill prst="ltVert">
                <a:fgClr>
                  <a:schemeClr val="accent4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solidFill>
                  <a:srgbClr val="ED7D31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9D85-4CD8-8BF2-5543D24BC5F6}"/>
              </c:ext>
            </c:extLst>
          </c:dPt>
          <c:cat>
            <c:numRef>
              <c:f>Sheet1!$B$19:$B$28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Sheet1!$E$19:$E$28</c:f>
              <c:numCache>
                <c:formatCode>General</c:formatCode>
                <c:ptCount val="10"/>
                <c:pt idx="0">
                  <c:v>1003.2</c:v>
                </c:pt>
                <c:pt idx="1">
                  <c:v>621.4</c:v>
                </c:pt>
                <c:pt idx="2">
                  <c:v>934.2</c:v>
                </c:pt>
                <c:pt idx="3">
                  <c:v>1053</c:v>
                </c:pt>
                <c:pt idx="4">
                  <c:v>895.8</c:v>
                </c:pt>
                <c:pt idx="5">
                  <c:v>1134.2</c:v>
                </c:pt>
                <c:pt idx="6">
                  <c:v>1077.2</c:v>
                </c:pt>
                <c:pt idx="7">
                  <c:v>1083.8</c:v>
                </c:pt>
                <c:pt idx="8">
                  <c:v>975</c:v>
                </c:pt>
                <c:pt idx="9">
                  <c:v>1009.8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9D85-4CD8-8BF2-5543D24BC5F6}"/>
            </c:ext>
          </c:extLst>
        </c:ser>
        <c:ser>
          <c:idx val="0"/>
          <c:order val="0"/>
          <c:tx>
            <c:strRef>
              <c:f>Sheet1!$C$16:$C$18</c:f>
              <c:strCache>
                <c:ptCount val="3"/>
                <c:pt idx="0">
                  <c:v>Daily Solar Radiation </c:v>
                </c:pt>
                <c:pt idx="1">
                  <c:v>(MJ m-2 d-1)</c:v>
                </c:pt>
                <c:pt idx="2">
                  <c:v>Total </c:v>
                </c:pt>
              </c:strCache>
            </c:strRef>
          </c:tx>
          <c:spPr>
            <a:pattFill prst="ltUpDiag">
              <a:fgClr>
                <a:schemeClr val="accent2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rgbClr val="5B9BD5">
                  <a:lumMod val="75000"/>
                </a:srgbClr>
              </a:solidFill>
            </a:ln>
            <a:effectLst>
              <a:glow rad="63500">
                <a:schemeClr val="accent2">
                  <a:satMod val="175000"/>
                  <a:alpha val="40000"/>
                </a:schemeClr>
              </a:glow>
            </a:effectLst>
          </c:spPr>
          <c:invertIfNegative val="0"/>
          <c:cat>
            <c:numRef>
              <c:f>Sheet1!$B$19:$B$28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Sheet1!$C$19:$C$28</c:f>
              <c:numCache>
                <c:formatCode>General</c:formatCode>
                <c:ptCount val="10"/>
                <c:pt idx="0">
                  <c:v>1203.5999999999999</c:v>
                </c:pt>
                <c:pt idx="1">
                  <c:v>788.3</c:v>
                </c:pt>
                <c:pt idx="2">
                  <c:v>1381.15</c:v>
                </c:pt>
                <c:pt idx="3">
                  <c:v>1241.94</c:v>
                </c:pt>
                <c:pt idx="4">
                  <c:v>1436.65</c:v>
                </c:pt>
                <c:pt idx="5">
                  <c:v>1545.75</c:v>
                </c:pt>
                <c:pt idx="6">
                  <c:v>1330.35</c:v>
                </c:pt>
                <c:pt idx="7">
                  <c:v>1209.51</c:v>
                </c:pt>
                <c:pt idx="8">
                  <c:v>994.51</c:v>
                </c:pt>
                <c:pt idx="9">
                  <c:v>1110.5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D85-4CD8-8BF2-5543D24BC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3"/>
        <c:overlap val="-31"/>
        <c:axId val="1258783711"/>
        <c:axId val="1258778303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v>SD of solar radiation</c:v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Sheet1!$B$19:$B$28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2006</c:v>
                      </c:pt>
                      <c:pt idx="1">
                        <c:v>2007</c:v>
                      </c:pt>
                      <c:pt idx="2">
                        <c:v>2008</c:v>
                      </c:pt>
                      <c:pt idx="3">
                        <c:v>2009</c:v>
                      </c:pt>
                      <c:pt idx="4">
                        <c:v>2010</c:v>
                      </c:pt>
                      <c:pt idx="5">
                        <c:v>2011</c:v>
                      </c:pt>
                      <c:pt idx="6">
                        <c:v>2012</c:v>
                      </c:pt>
                      <c:pt idx="7">
                        <c:v>2013</c:v>
                      </c:pt>
                      <c:pt idx="8">
                        <c:v>2014</c:v>
                      </c:pt>
                      <c:pt idx="9">
                        <c:v>2015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Sheet1!$D$19:$D$28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27.23</c:v>
                      </c:pt>
                      <c:pt idx="1">
                        <c:v>25.85</c:v>
                      </c:pt>
                      <c:pt idx="2">
                        <c:v>16.18</c:v>
                      </c:pt>
                      <c:pt idx="3">
                        <c:v>22.77</c:v>
                      </c:pt>
                      <c:pt idx="4">
                        <c:v>6.43</c:v>
                      </c:pt>
                      <c:pt idx="5">
                        <c:v>16.59</c:v>
                      </c:pt>
                      <c:pt idx="6">
                        <c:v>22.83</c:v>
                      </c:pt>
                      <c:pt idx="7">
                        <c:v>27.17</c:v>
                      </c:pt>
                      <c:pt idx="8">
                        <c:v>30.54</c:v>
                      </c:pt>
                      <c:pt idx="9">
                        <c:v>22.76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7-9D85-4CD8-8BF2-5543D24BC5F6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v>SD of PAR</c:v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Sheet1!$B$19:$B$28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2006</c:v>
                      </c:pt>
                      <c:pt idx="1">
                        <c:v>2007</c:v>
                      </c:pt>
                      <c:pt idx="2">
                        <c:v>2008</c:v>
                      </c:pt>
                      <c:pt idx="3">
                        <c:v>2009</c:v>
                      </c:pt>
                      <c:pt idx="4">
                        <c:v>2010</c:v>
                      </c:pt>
                      <c:pt idx="5">
                        <c:v>2011</c:v>
                      </c:pt>
                      <c:pt idx="6">
                        <c:v>2012</c:v>
                      </c:pt>
                      <c:pt idx="7">
                        <c:v>2013</c:v>
                      </c:pt>
                      <c:pt idx="8">
                        <c:v>2014</c:v>
                      </c:pt>
                      <c:pt idx="9">
                        <c:v>2015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Sheet1!$F$19:$F$28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11.401999999999999</c:v>
                      </c:pt>
                      <c:pt idx="1">
                        <c:v>10.472</c:v>
                      </c:pt>
                      <c:pt idx="2">
                        <c:v>9.3369999999999997</c:v>
                      </c:pt>
                      <c:pt idx="3">
                        <c:v>8.8320000000000007</c:v>
                      </c:pt>
                      <c:pt idx="4">
                        <c:v>15.172000000000001</c:v>
                      </c:pt>
                      <c:pt idx="5">
                        <c:v>4.3659999999999997</c:v>
                      </c:pt>
                      <c:pt idx="6">
                        <c:v>11.074999999999999</c:v>
                      </c:pt>
                      <c:pt idx="7">
                        <c:v>6.0830000000000002</c:v>
                      </c:pt>
                      <c:pt idx="8">
                        <c:v>7.6779999999999999</c:v>
                      </c:pt>
                      <c:pt idx="9">
                        <c:v>11.234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9D85-4CD8-8BF2-5543D24BC5F6}"/>
                  </c:ext>
                </c:extLst>
              </c15:ser>
            </c15:filteredBarSeries>
          </c:ext>
        </c:extLst>
      </c:barChart>
      <c:lineChart>
        <c:grouping val="standard"/>
        <c:varyColors val="0"/>
        <c:ser>
          <c:idx val="4"/>
          <c:order val="4"/>
          <c:tx>
            <c:strRef>
              <c:f>Sheet1!$G$16</c:f>
              <c:strCache>
                <c:ptCount val="1"/>
                <c:pt idx="0">
                  <c:v>Maximum temperature (˚C)</c:v>
                </c:pt>
              </c:strCache>
            </c:strRef>
          </c:tx>
          <c:spPr>
            <a:ln w="6350" cap="rnd" cmpd="dbl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Sheet1!$H$19:$H$28</c:f>
                <c:numCache>
                  <c:formatCode>General</c:formatCode>
                  <c:ptCount val="10"/>
                  <c:pt idx="0">
                    <c:v>4.74</c:v>
                  </c:pt>
                  <c:pt idx="1">
                    <c:v>2.95</c:v>
                  </c:pt>
                  <c:pt idx="2">
                    <c:v>3.78</c:v>
                  </c:pt>
                  <c:pt idx="3">
                    <c:v>5.52</c:v>
                  </c:pt>
                  <c:pt idx="4">
                    <c:v>4.68</c:v>
                  </c:pt>
                  <c:pt idx="5">
                    <c:v>5.41</c:v>
                  </c:pt>
                  <c:pt idx="6">
                    <c:v>5.0599999999999996</c:v>
                  </c:pt>
                  <c:pt idx="7">
                    <c:v>4.38</c:v>
                  </c:pt>
                  <c:pt idx="8">
                    <c:v>3.56</c:v>
                  </c:pt>
                  <c:pt idx="9">
                    <c:v>5.26</c:v>
                  </c:pt>
                </c:numCache>
              </c:numRef>
            </c:plus>
            <c:minus>
              <c:numRef>
                <c:f>Sheet1!$H$19:$H$28</c:f>
                <c:numCache>
                  <c:formatCode>General</c:formatCode>
                  <c:ptCount val="10"/>
                  <c:pt idx="0">
                    <c:v>4.74</c:v>
                  </c:pt>
                  <c:pt idx="1">
                    <c:v>2.95</c:v>
                  </c:pt>
                  <c:pt idx="2">
                    <c:v>3.78</c:v>
                  </c:pt>
                  <c:pt idx="3">
                    <c:v>5.52</c:v>
                  </c:pt>
                  <c:pt idx="4">
                    <c:v>4.68</c:v>
                  </c:pt>
                  <c:pt idx="5">
                    <c:v>5.41</c:v>
                  </c:pt>
                  <c:pt idx="6">
                    <c:v>5.0599999999999996</c:v>
                  </c:pt>
                  <c:pt idx="7">
                    <c:v>4.38</c:v>
                  </c:pt>
                  <c:pt idx="8">
                    <c:v>3.56</c:v>
                  </c:pt>
                  <c:pt idx="9">
                    <c:v>5.26</c:v>
                  </c:pt>
                </c:numCache>
              </c:numRef>
            </c:minus>
            <c:spPr>
              <a:noFill/>
              <a:ln w="19050" cap="flat" cmpd="sng" algn="ctr">
                <a:solidFill>
                  <a:srgbClr val="FF0000"/>
                </a:solidFill>
                <a:round/>
              </a:ln>
              <a:effectLst/>
            </c:spPr>
          </c:errBars>
          <c:cat>
            <c:numRef>
              <c:f>Sheet1!$B$19:$B$28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Sheet1!$G$19:$G$28</c:f>
              <c:numCache>
                <c:formatCode>General</c:formatCode>
                <c:ptCount val="10"/>
                <c:pt idx="0">
                  <c:v>30.83</c:v>
                </c:pt>
                <c:pt idx="1">
                  <c:v>27.31</c:v>
                </c:pt>
                <c:pt idx="2">
                  <c:v>29.56</c:v>
                </c:pt>
                <c:pt idx="3">
                  <c:v>29.11</c:v>
                </c:pt>
                <c:pt idx="4">
                  <c:v>31.21</c:v>
                </c:pt>
                <c:pt idx="5">
                  <c:v>32.81</c:v>
                </c:pt>
                <c:pt idx="6">
                  <c:v>30.44</c:v>
                </c:pt>
                <c:pt idx="7">
                  <c:v>28.45</c:v>
                </c:pt>
                <c:pt idx="8">
                  <c:v>29.25</c:v>
                </c:pt>
                <c:pt idx="9">
                  <c:v>27.83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9D85-4CD8-8BF2-5543D24BC5F6}"/>
            </c:ext>
          </c:extLst>
        </c:ser>
        <c:ser>
          <c:idx val="5"/>
          <c:order val="5"/>
          <c:tx>
            <c:strRef>
              <c:f>Sheet1!$I$16</c:f>
              <c:strCache>
                <c:ptCount val="1"/>
                <c:pt idx="0">
                  <c:v>Minimum temperature (˚C)</c:v>
                </c:pt>
              </c:strCache>
            </c:strRef>
          </c:tx>
          <c:spPr>
            <a:ln w="19050" cap="rnd" cmpd="thickThin">
              <a:solidFill>
                <a:srgbClr val="5B9BD5">
                  <a:lumMod val="75000"/>
                </a:srgbClr>
              </a:solidFill>
              <a:prstDash val="dash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Sheet1!$J$19:$J$28</c:f>
                <c:numCache>
                  <c:formatCode>General</c:formatCode>
                  <c:ptCount val="10"/>
                  <c:pt idx="0">
                    <c:v>4.55</c:v>
                  </c:pt>
                  <c:pt idx="1">
                    <c:v>3.45</c:v>
                  </c:pt>
                  <c:pt idx="2">
                    <c:v>4.9400000000000004</c:v>
                  </c:pt>
                  <c:pt idx="3">
                    <c:v>4.79</c:v>
                  </c:pt>
                  <c:pt idx="4">
                    <c:v>4.76</c:v>
                  </c:pt>
                  <c:pt idx="5">
                    <c:v>5.78</c:v>
                  </c:pt>
                  <c:pt idx="6">
                    <c:v>4.57</c:v>
                  </c:pt>
                  <c:pt idx="7">
                    <c:v>5.03</c:v>
                  </c:pt>
                  <c:pt idx="8">
                    <c:v>4.6100000000000003</c:v>
                  </c:pt>
                  <c:pt idx="9">
                    <c:v>4.21</c:v>
                  </c:pt>
                </c:numCache>
              </c:numRef>
            </c:plus>
            <c:minus>
              <c:numRef>
                <c:f>Sheet1!$J$19:$J$28</c:f>
                <c:numCache>
                  <c:formatCode>General</c:formatCode>
                  <c:ptCount val="10"/>
                  <c:pt idx="0">
                    <c:v>4.55</c:v>
                  </c:pt>
                  <c:pt idx="1">
                    <c:v>3.45</c:v>
                  </c:pt>
                  <c:pt idx="2">
                    <c:v>4.9400000000000004</c:v>
                  </c:pt>
                  <c:pt idx="3">
                    <c:v>4.79</c:v>
                  </c:pt>
                  <c:pt idx="4">
                    <c:v>4.76</c:v>
                  </c:pt>
                  <c:pt idx="5">
                    <c:v>5.78</c:v>
                  </c:pt>
                  <c:pt idx="6">
                    <c:v>4.57</c:v>
                  </c:pt>
                  <c:pt idx="7">
                    <c:v>5.03</c:v>
                  </c:pt>
                  <c:pt idx="8">
                    <c:v>4.6100000000000003</c:v>
                  </c:pt>
                  <c:pt idx="9">
                    <c:v>4.21</c:v>
                  </c:pt>
                </c:numCache>
              </c:numRef>
            </c:minus>
            <c:spPr>
              <a:noFill/>
              <a:ln w="22225" cap="flat" cmpd="sng" algn="ctr">
                <a:solidFill>
                  <a:srgbClr val="70AD47">
                    <a:lumMod val="75000"/>
                  </a:srgbClr>
                </a:solidFill>
                <a:round/>
              </a:ln>
              <a:effectLst/>
            </c:spPr>
          </c:errBars>
          <c:cat>
            <c:numRef>
              <c:f>Sheet1!$B$19:$B$28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Sheet1!$I$19:$I$28</c:f>
              <c:numCache>
                <c:formatCode>General</c:formatCode>
                <c:ptCount val="10"/>
                <c:pt idx="0">
                  <c:v>16.29</c:v>
                </c:pt>
                <c:pt idx="1">
                  <c:v>16.559999999999999</c:v>
                </c:pt>
                <c:pt idx="2">
                  <c:v>16.579999999999998</c:v>
                </c:pt>
                <c:pt idx="3">
                  <c:v>15.84</c:v>
                </c:pt>
                <c:pt idx="4">
                  <c:v>18.809999999999999</c:v>
                </c:pt>
                <c:pt idx="5">
                  <c:v>17.41</c:v>
                </c:pt>
                <c:pt idx="6">
                  <c:v>16.88</c:v>
                </c:pt>
                <c:pt idx="7">
                  <c:v>16.03</c:v>
                </c:pt>
                <c:pt idx="8">
                  <c:v>16.71</c:v>
                </c:pt>
                <c:pt idx="9">
                  <c:v>16.37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9D85-4CD8-8BF2-5543D24BC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0321007"/>
        <c:axId val="1200312687"/>
      </c:lineChart>
      <c:catAx>
        <c:axId val="1258783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58778303"/>
        <c:crosses val="autoZero"/>
        <c:auto val="1"/>
        <c:lblAlgn val="ctr"/>
        <c:lblOffset val="100"/>
        <c:noMultiLvlLbl val="0"/>
      </c:catAx>
      <c:valAx>
        <c:axId val="1258778303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4472C4">
                  <a:lumMod val="20000"/>
                  <a:lumOff val="80000"/>
                </a:srgbClr>
              </a:solidFill>
              <a:prstDash val="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>
                    <a:solidFill>
                      <a:schemeClr val="tx1"/>
                    </a:solidFill>
                  </a:rPr>
                  <a:t>SRAD or PAR or Rain</a:t>
                </a:r>
              </a:p>
            </c:rich>
          </c:tx>
          <c:layout>
            <c:manualLayout>
              <c:xMode val="edge"/>
              <c:yMode val="edge"/>
              <c:x val="3.7910618262630784E-3"/>
              <c:y val="0.312345747259479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58783711"/>
        <c:crosses val="autoZero"/>
        <c:crossBetween val="between"/>
      </c:valAx>
      <c:valAx>
        <c:axId val="1200312687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 b="0">
                    <a:solidFill>
                      <a:schemeClr val="tx1"/>
                    </a:solidFill>
                  </a:rPr>
                  <a:t>Average temperatures (maximum and minimum)</a:t>
                </a:r>
              </a:p>
            </c:rich>
          </c:tx>
          <c:layout>
            <c:manualLayout>
              <c:xMode val="edge"/>
              <c:yMode val="edge"/>
              <c:x val="0.96637766208264164"/>
              <c:y val="9.775147895359859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00321007"/>
        <c:crosses val="max"/>
        <c:crossBetween val="between"/>
      </c:valAx>
      <c:catAx>
        <c:axId val="120032100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00312687"/>
        <c:crosses val="autoZero"/>
        <c:auto val="1"/>
        <c:lblAlgn val="ctr"/>
        <c:lblOffset val="100"/>
        <c:noMultiLvlLbl val="0"/>
      </c:catAx>
      <c:spPr>
        <a:noFill/>
        <a:ln>
          <a:solidFill>
            <a:srgbClr val="4472C4">
              <a:lumMod val="20000"/>
              <a:lumOff val="80000"/>
            </a:srgbClr>
          </a:solidFill>
        </a:ln>
        <a:effectLst/>
      </c:spPr>
    </c:plotArea>
    <c:legend>
      <c:legendPos val="b"/>
      <c:layout>
        <c:manualLayout>
          <c:xMode val="edge"/>
          <c:yMode val="edge"/>
          <c:x val="0.10781260515512484"/>
          <c:y val="2.1848101410904423E-2"/>
          <c:w val="0.67906083854902743"/>
          <c:h val="0.20390291006200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rgbClr val="4472C4">
          <a:lumMod val="75000"/>
        </a:srgbClr>
      </a:solidFill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Reshmi Sarkar</dc:creator>
  <cp:keywords/>
  <dc:description/>
  <cp:lastModifiedBy>Reshmi Sarkar</cp:lastModifiedBy>
  <cp:revision>2</cp:revision>
  <dcterms:created xsi:type="dcterms:W3CDTF">2024-10-04T19:53:00Z</dcterms:created>
  <dcterms:modified xsi:type="dcterms:W3CDTF">2024-10-09T21:24:00Z</dcterms:modified>
</cp:coreProperties>
</file>