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C6275" w14:textId="3076F703" w:rsidR="00DB5C55" w:rsidRPr="007311DA" w:rsidRDefault="00DB5C55" w:rsidP="00DB5C55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Additional file 4</w:t>
      </w:r>
      <w:r w:rsidRPr="000A57F1">
        <w:rPr>
          <w:sz w:val="22"/>
          <w:szCs w:val="22"/>
          <w:lang w:val="en-US"/>
        </w:rPr>
        <w:t>. Sensitivity analysis of the effect of 0.01% atropine on accommodative amplitude across follow-up periods.</w:t>
      </w:r>
    </w:p>
    <w:p w14:paraId="50CB2B5C" w14:textId="77777777" w:rsidR="00DB5C55" w:rsidRPr="00AD7B57" w:rsidRDefault="00DB5C55" w:rsidP="00DB5C55">
      <w:pPr>
        <w:pStyle w:val="NormalWeb"/>
        <w:spacing w:before="0" w:beforeAutospacing="0" w:after="0" w:afterAutospacing="0" w:line="276" w:lineRule="auto"/>
        <w:jc w:val="both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US"/>
          <w14:ligatures w14:val="standardContextual"/>
        </w:rPr>
        <w:drawing>
          <wp:inline distT="0" distB="0" distL="0" distR="0" wp14:anchorId="6B39D602" wp14:editId="24D40A7B">
            <wp:extent cx="5400040" cy="7858760"/>
            <wp:effectExtent l="0" t="0" r="0" b="0"/>
            <wp:docPr id="1754473620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473620" name="Gráfico 1754473620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85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C7B41" w14:textId="77777777" w:rsidR="003F7CF4" w:rsidRDefault="003F7CF4"/>
    <w:sectPr w:rsidR="003F7C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55"/>
    <w:rsid w:val="003F7CF4"/>
    <w:rsid w:val="007C444D"/>
    <w:rsid w:val="00805A8E"/>
    <w:rsid w:val="00DB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1B6A0B"/>
  <w15:chartTrackingRefBased/>
  <w15:docId w15:val="{CBD6FC7D-19CE-614A-B05F-267C0E382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5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5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5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5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5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5C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5C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5C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5C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5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5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5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5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5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5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5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5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5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5C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5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5C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5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5C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5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5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5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5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5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5C5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B5C5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Martínez Pérez</dc:creator>
  <cp:keywords/>
  <dc:description/>
  <cp:lastModifiedBy>Clara Martínez Pérez</cp:lastModifiedBy>
  <cp:revision>1</cp:revision>
  <dcterms:created xsi:type="dcterms:W3CDTF">2026-01-24T14:33:00Z</dcterms:created>
  <dcterms:modified xsi:type="dcterms:W3CDTF">2026-01-24T14:33:00Z</dcterms:modified>
</cp:coreProperties>
</file>