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FD522" w14:textId="50499769" w:rsidR="006512B6" w:rsidRDefault="006512B6" w:rsidP="006512B6">
      <w:pPr>
        <w:tabs>
          <w:tab w:val="left" w:pos="2070"/>
        </w:tabs>
        <w:spacing w:before="80" w:after="14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Material </w:t>
      </w:r>
    </w:p>
    <w:p w14:paraId="502588DE" w14:textId="1BB8C7FA" w:rsidR="006512B6" w:rsidRPr="00BB613A" w:rsidRDefault="006512B6" w:rsidP="006512B6">
      <w:pPr>
        <w:tabs>
          <w:tab w:val="left" w:pos="2070"/>
        </w:tabs>
        <w:spacing w:before="80" w:after="1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613A">
        <w:rPr>
          <w:rFonts w:ascii="Times New Roman" w:hAnsi="Times New Roman" w:cs="Times New Roman"/>
          <w:b/>
          <w:bCs/>
          <w:sz w:val="24"/>
          <w:szCs w:val="24"/>
        </w:rPr>
        <w:t>Cardiovascular Implications of 20th- versus 21st-Century Yoruba Dietary Transitions</w:t>
      </w:r>
    </w:p>
    <w:tbl>
      <w:tblPr>
        <w:tblStyle w:val="TableGrid"/>
        <w:tblW w:w="11340" w:type="dxa"/>
        <w:tblInd w:w="-1175" w:type="dxa"/>
        <w:tblLook w:val="0000" w:firstRow="0" w:lastRow="0" w:firstColumn="0" w:lastColumn="0" w:noHBand="0" w:noVBand="0"/>
      </w:tblPr>
      <w:tblGrid>
        <w:gridCol w:w="1710"/>
        <w:gridCol w:w="2250"/>
        <w:gridCol w:w="2421"/>
        <w:gridCol w:w="2799"/>
        <w:gridCol w:w="2160"/>
      </w:tblGrid>
      <w:tr w:rsidR="006512B6" w:rsidRPr="00BB613A" w14:paraId="61E67F78" w14:textId="77777777" w:rsidTr="00411CE5">
        <w:tc>
          <w:tcPr>
            <w:tcW w:w="1710" w:type="dxa"/>
          </w:tcPr>
          <w:p w14:paraId="4B00904D" w14:textId="77777777" w:rsidR="006512B6" w:rsidRPr="00BB613A" w:rsidRDefault="006512B6" w:rsidP="00411CE5">
            <w:pPr>
              <w:tabs>
                <w:tab w:val="left" w:pos="20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Dietary Feature</w:t>
            </w:r>
          </w:p>
        </w:tc>
        <w:tc>
          <w:tcPr>
            <w:tcW w:w="2250" w:type="dxa"/>
          </w:tcPr>
          <w:p w14:paraId="6FACCA23" w14:textId="77777777" w:rsidR="006512B6" w:rsidRPr="00BB613A" w:rsidRDefault="006512B6" w:rsidP="00411CE5">
            <w:pPr>
              <w:tabs>
                <w:tab w:val="left" w:pos="20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20th-Century Yoruba Diet</w:t>
            </w:r>
          </w:p>
        </w:tc>
        <w:tc>
          <w:tcPr>
            <w:tcW w:w="2421" w:type="dxa"/>
          </w:tcPr>
          <w:p w14:paraId="52D39DB2" w14:textId="77777777" w:rsidR="006512B6" w:rsidRPr="00BB613A" w:rsidRDefault="006512B6" w:rsidP="00411CE5">
            <w:pPr>
              <w:tabs>
                <w:tab w:val="left" w:pos="20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21st-Century Yoruba Diet</w:t>
            </w:r>
          </w:p>
        </w:tc>
        <w:tc>
          <w:tcPr>
            <w:tcW w:w="2799" w:type="dxa"/>
          </w:tcPr>
          <w:p w14:paraId="1B558E9B" w14:textId="77777777" w:rsidR="006512B6" w:rsidRPr="00BB613A" w:rsidRDefault="006512B6" w:rsidP="00411CE5">
            <w:pPr>
              <w:tabs>
                <w:tab w:val="left" w:pos="20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Cardiovascular Impact</w:t>
            </w:r>
          </w:p>
        </w:tc>
        <w:tc>
          <w:tcPr>
            <w:tcW w:w="2160" w:type="dxa"/>
          </w:tcPr>
          <w:p w14:paraId="3C4C9B16" w14:textId="77777777" w:rsidR="006512B6" w:rsidRPr="00BB613A" w:rsidRDefault="006512B6" w:rsidP="00411CE5">
            <w:pPr>
              <w:tabs>
                <w:tab w:val="left" w:pos="207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References</w:t>
            </w:r>
          </w:p>
        </w:tc>
      </w:tr>
      <w:tr w:rsidR="006512B6" w:rsidRPr="00BB613A" w14:paraId="2E6D16FB" w14:textId="77777777" w:rsidTr="00411CE5">
        <w:tc>
          <w:tcPr>
            <w:tcW w:w="1710" w:type="dxa"/>
          </w:tcPr>
          <w:p w14:paraId="62B50EAF" w14:textId="77777777" w:rsidR="006512B6" w:rsidRPr="00BB613A" w:rsidRDefault="006512B6" w:rsidP="00411CE5">
            <w:pPr>
              <w:tabs>
                <w:tab w:val="left" w:pos="207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Carbohydrate Sources</w:t>
            </w:r>
          </w:p>
        </w:tc>
        <w:tc>
          <w:tcPr>
            <w:tcW w:w="2250" w:type="dxa"/>
          </w:tcPr>
          <w:p w14:paraId="57014596" w14:textId="77777777" w:rsidR="006512B6" w:rsidRPr="00BB613A" w:rsidRDefault="006512B6" w:rsidP="00411CE5">
            <w:pPr>
              <w:tabs>
                <w:tab w:val="left" w:pos="207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Fresh yams, cassava, millet, plantain</w:t>
            </w:r>
          </w:p>
        </w:tc>
        <w:tc>
          <w:tcPr>
            <w:tcW w:w="2421" w:type="dxa"/>
          </w:tcPr>
          <w:p w14:paraId="66D7688D" w14:textId="77777777" w:rsidR="006512B6" w:rsidRPr="00BB613A" w:rsidRDefault="006512B6" w:rsidP="00411CE5">
            <w:pPr>
              <w:tabs>
                <w:tab w:val="left" w:pos="207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Parboiled rice, instant noodles, bread</w:t>
            </w:r>
          </w:p>
        </w:tc>
        <w:tc>
          <w:tcPr>
            <w:tcW w:w="2799" w:type="dxa"/>
          </w:tcPr>
          <w:p w14:paraId="70D2D9FD" w14:textId="77777777" w:rsidR="006512B6" w:rsidRPr="00BB613A" w:rsidRDefault="006512B6" w:rsidP="00411CE5">
            <w:pPr>
              <w:tabs>
                <w:tab w:val="left" w:pos="207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Indigenous staples provide dietary fibre and a low glycaemic index, supporting cardiovascular health; refined carbohydrates raise glycaemic load and cardiac risk</w:t>
            </w:r>
          </w:p>
        </w:tc>
        <w:tc>
          <w:tcPr>
            <w:tcW w:w="2160" w:type="dxa"/>
          </w:tcPr>
          <w:p w14:paraId="6401A6E9" w14:textId="77777777" w:rsidR="006512B6" w:rsidRPr="00BB613A" w:rsidRDefault="006512B6" w:rsidP="00411CE5">
            <w:pPr>
              <w:tabs>
                <w:tab w:val="left" w:pos="207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(Ugoala, 2025; Kouamé et al., 2015)</w:t>
            </w:r>
          </w:p>
        </w:tc>
      </w:tr>
      <w:tr w:rsidR="006512B6" w:rsidRPr="00BB613A" w14:paraId="16C79FA0" w14:textId="77777777" w:rsidTr="00411CE5">
        <w:tc>
          <w:tcPr>
            <w:tcW w:w="1710" w:type="dxa"/>
          </w:tcPr>
          <w:p w14:paraId="2A1768F6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and Fat Sources</w:t>
            </w:r>
          </w:p>
        </w:tc>
        <w:tc>
          <w:tcPr>
            <w:tcW w:w="2250" w:type="dxa"/>
          </w:tcPr>
          <w:p w14:paraId="5F226DAC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Fish, beans, bushmeat (limited red meat)</w:t>
            </w:r>
          </w:p>
        </w:tc>
        <w:tc>
          <w:tcPr>
            <w:tcW w:w="2421" w:type="dxa"/>
          </w:tcPr>
          <w:p w14:paraId="46D64430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Red meat, fried poultry, eggs, processed meats</w:t>
            </w:r>
          </w:p>
        </w:tc>
        <w:tc>
          <w:tcPr>
            <w:tcW w:w="2799" w:type="dxa"/>
          </w:tcPr>
          <w:p w14:paraId="2502C413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Fish and legumes are cardioprotective (omega-3 fatty acids, fibre); processed and fried meats elevate LDL cholesterol and risk of heart failure</w:t>
            </w:r>
          </w:p>
        </w:tc>
        <w:tc>
          <w:tcPr>
            <w:tcW w:w="2160" w:type="dxa"/>
          </w:tcPr>
          <w:p w14:paraId="7628D02F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(Williams, 2025; Flores et al., 2021; Djoussé et al., 2015)</w:t>
            </w:r>
          </w:p>
        </w:tc>
      </w:tr>
      <w:tr w:rsidR="006512B6" w:rsidRPr="00BB613A" w14:paraId="3CE8AA7A" w14:textId="77777777" w:rsidTr="00411CE5">
        <w:tc>
          <w:tcPr>
            <w:tcW w:w="1710" w:type="dxa"/>
          </w:tcPr>
          <w:p w14:paraId="03437D0B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Vegetable Intake</w:t>
            </w:r>
          </w:p>
        </w:tc>
        <w:tc>
          <w:tcPr>
            <w:tcW w:w="2250" w:type="dxa"/>
          </w:tcPr>
          <w:p w14:paraId="4F20C026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High (ewedu, ugwu, okra, local greens)</w:t>
            </w:r>
          </w:p>
        </w:tc>
        <w:tc>
          <w:tcPr>
            <w:tcW w:w="2421" w:type="dxa"/>
          </w:tcPr>
          <w:p w14:paraId="367851A4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Often reduced, especially in urban areas</w:t>
            </w:r>
          </w:p>
        </w:tc>
        <w:tc>
          <w:tcPr>
            <w:tcW w:w="2799" w:type="dxa"/>
          </w:tcPr>
          <w:p w14:paraId="40E0D745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 xml:space="preserve">High vegetable intake is cardioprotective via antioxidants and </w:t>
            </w:r>
            <w:r w:rsidRPr="00BB61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potassium; declining intake raises CVD risk</w:t>
            </w:r>
          </w:p>
        </w:tc>
        <w:tc>
          <w:tcPr>
            <w:tcW w:w="2160" w:type="dxa"/>
          </w:tcPr>
          <w:p w14:paraId="0CAF51FA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(Abubakar et al., 2024; Bergeron et al., 2019)</w:t>
            </w:r>
          </w:p>
        </w:tc>
      </w:tr>
      <w:tr w:rsidR="006512B6" w:rsidRPr="00BB613A" w14:paraId="58B3B635" w14:textId="77777777" w:rsidTr="00411CE5">
        <w:tc>
          <w:tcPr>
            <w:tcW w:w="1710" w:type="dxa"/>
          </w:tcPr>
          <w:p w14:paraId="44E0EF2C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Food Preparation</w:t>
            </w:r>
          </w:p>
        </w:tc>
        <w:tc>
          <w:tcPr>
            <w:tcW w:w="2250" w:type="dxa"/>
          </w:tcPr>
          <w:p w14:paraId="0444578F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Boiled, pounded, fermented; communal cooking</w:t>
            </w:r>
          </w:p>
        </w:tc>
        <w:tc>
          <w:tcPr>
            <w:tcW w:w="2421" w:type="dxa"/>
          </w:tcPr>
          <w:p w14:paraId="4CDFC3FE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Predominantly fried, microwaved; individual or mechanised</w:t>
            </w:r>
          </w:p>
        </w:tc>
        <w:tc>
          <w:tcPr>
            <w:tcW w:w="2799" w:type="dxa"/>
          </w:tcPr>
          <w:p w14:paraId="3F6EC635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Traditional methods retain nutrients and fibre; modern methods increase unhealthy fat and sodium content</w:t>
            </w:r>
          </w:p>
        </w:tc>
        <w:tc>
          <w:tcPr>
            <w:tcW w:w="2160" w:type="dxa"/>
          </w:tcPr>
          <w:p w14:paraId="17B6BE6A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(Michel et al., 2024; Clemente-Suárez et al., 2023; Bergeron et al., 2019)</w:t>
            </w:r>
          </w:p>
        </w:tc>
      </w:tr>
      <w:tr w:rsidR="006512B6" w:rsidRPr="00BB613A" w14:paraId="039EA812" w14:textId="77777777" w:rsidTr="00411CE5">
        <w:tc>
          <w:tcPr>
            <w:tcW w:w="1710" w:type="dxa"/>
          </w:tcPr>
          <w:p w14:paraId="0161F6F5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Beverages</w:t>
            </w:r>
          </w:p>
        </w:tc>
        <w:tc>
          <w:tcPr>
            <w:tcW w:w="2250" w:type="dxa"/>
          </w:tcPr>
          <w:p w14:paraId="264BD778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Water, palm wine, herbal teas, fresh fruit juice</w:t>
            </w:r>
          </w:p>
        </w:tc>
        <w:tc>
          <w:tcPr>
            <w:tcW w:w="2421" w:type="dxa"/>
          </w:tcPr>
          <w:p w14:paraId="4695CE7E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Carbonated drinks, energy drinks, commercial alcohol, cow milk</w:t>
            </w:r>
          </w:p>
        </w:tc>
        <w:tc>
          <w:tcPr>
            <w:tcW w:w="2799" w:type="dxa"/>
          </w:tcPr>
          <w:p w14:paraId="7C1F8A14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Traditional beverages supply antioxidants and potassium; modern beverages are linked to hypertension, dyslipidaemia, and obesity</w:t>
            </w:r>
          </w:p>
        </w:tc>
        <w:tc>
          <w:tcPr>
            <w:tcW w:w="2160" w:type="dxa"/>
          </w:tcPr>
          <w:p w14:paraId="610122BD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(Bolajoko et al., 2025; Awofala &amp; Ogundele, 2018; Chukwuonye et al., 2025)</w:t>
            </w:r>
          </w:p>
        </w:tc>
      </w:tr>
      <w:tr w:rsidR="006512B6" w:rsidRPr="00BB613A" w14:paraId="1BB2C026" w14:textId="77777777" w:rsidTr="00411CE5">
        <w:tc>
          <w:tcPr>
            <w:tcW w:w="1710" w:type="dxa"/>
          </w:tcPr>
          <w:p w14:paraId="78A2743B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Food Packaging</w:t>
            </w:r>
          </w:p>
        </w:tc>
        <w:tc>
          <w:tcPr>
            <w:tcW w:w="2250" w:type="dxa"/>
          </w:tcPr>
          <w:p w14:paraId="0B51F665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Broad leaves of medicinal plants (e.g., eeran, gbodogi), calabashes, palm-frond baskets</w:t>
            </w:r>
          </w:p>
        </w:tc>
        <w:tc>
          <w:tcPr>
            <w:tcW w:w="2421" w:type="dxa"/>
          </w:tcPr>
          <w:p w14:paraId="62663703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Polythene bags, plastic containers</w:t>
            </w:r>
          </w:p>
        </w:tc>
        <w:tc>
          <w:tcPr>
            <w:tcW w:w="2799" w:type="dxa"/>
          </w:tcPr>
          <w:p w14:paraId="06596262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Natural leaf packaging is biodegradable and has antioxidant and antimicrobial properties; plastic packaging risks BPA and other toxin exposure</w:t>
            </w:r>
          </w:p>
        </w:tc>
        <w:tc>
          <w:tcPr>
            <w:tcW w:w="2160" w:type="dxa"/>
          </w:tcPr>
          <w:p w14:paraId="2E1FF97B" w14:textId="77777777" w:rsidR="006512B6" w:rsidRPr="00BB613A" w:rsidRDefault="006512B6" w:rsidP="00411C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13A">
              <w:rPr>
                <w:rFonts w:ascii="Times New Roman" w:hAnsi="Times New Roman" w:cs="Times New Roman"/>
                <w:sz w:val="24"/>
                <w:szCs w:val="24"/>
              </w:rPr>
              <w:t>(Kalina et al., 2024; Adeyi &amp; Babalola, 2019; Gómez et al., 2023)</w:t>
            </w:r>
          </w:p>
        </w:tc>
      </w:tr>
    </w:tbl>
    <w:p w14:paraId="33822AD4" w14:textId="77777777" w:rsidR="006512B6" w:rsidRPr="00BB613A" w:rsidRDefault="006512B6" w:rsidP="006512B6">
      <w:pPr>
        <w:spacing w:before="60" w:after="60" w:line="480" w:lineRule="auto"/>
        <w:rPr>
          <w:rFonts w:ascii="Times New Roman" w:hAnsi="Times New Roman" w:cs="Times New Roman"/>
          <w:sz w:val="24"/>
          <w:szCs w:val="24"/>
        </w:rPr>
      </w:pPr>
    </w:p>
    <w:p w14:paraId="0779C70B" w14:textId="77777777" w:rsidR="00BB4D9C" w:rsidRDefault="00BB4D9C"/>
    <w:sectPr w:rsidR="00BB4D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B6"/>
    <w:rsid w:val="00095CB1"/>
    <w:rsid w:val="00435E3B"/>
    <w:rsid w:val="00522B5E"/>
    <w:rsid w:val="00624D01"/>
    <w:rsid w:val="006512B6"/>
    <w:rsid w:val="006F4E82"/>
    <w:rsid w:val="009D1F43"/>
    <w:rsid w:val="00BB4D9C"/>
    <w:rsid w:val="00BB735F"/>
    <w:rsid w:val="00BD7AE5"/>
    <w:rsid w:val="00CB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2E355"/>
  <w15:chartTrackingRefBased/>
  <w15:docId w15:val="{6A053747-196C-41EE-BD6F-565D8B1D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2B6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1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2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2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2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2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2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2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2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2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2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2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2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2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2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2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2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2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2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12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12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2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2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2B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512B6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 oyedayo</dc:creator>
  <cp:keywords/>
  <dc:description/>
  <cp:lastModifiedBy>akano oyedayo</cp:lastModifiedBy>
  <cp:revision>2</cp:revision>
  <dcterms:created xsi:type="dcterms:W3CDTF">2026-04-28T11:07:00Z</dcterms:created>
  <dcterms:modified xsi:type="dcterms:W3CDTF">2026-04-28T13:09:00Z</dcterms:modified>
</cp:coreProperties>
</file>